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drawings/drawing5.xml" ContentType="application/vnd.openxmlformats-officedocument.drawingml.chartshap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charts/chart13.xml" ContentType="application/vnd.openxmlformats-officedocument.drawingml.chart+xml"/>
  <Override PartName="/word/drawings/drawing6.xml" ContentType="application/vnd.openxmlformats-officedocument.drawingml.chartshapes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FCB450" w14:textId="1641BFBA" w:rsidR="002C657D" w:rsidRPr="00C62639" w:rsidRDefault="00256773" w:rsidP="002C657D">
      <w:pPr>
        <w:jc w:val="center"/>
        <w:rPr>
          <w:rFonts w:asciiTheme="minorHAnsi" w:hAnsiTheme="minorHAnsi" w:cs="Arial"/>
          <w:b/>
          <w:u w:val="single"/>
        </w:rPr>
      </w:pPr>
      <w:r w:rsidRPr="00E85FA5">
        <w:rPr>
          <w:rFonts w:asciiTheme="minorHAnsi" w:hAnsiTheme="minorHAnsi"/>
          <w:noProof/>
          <w:spacing w:val="-4"/>
          <w:lang w:eastAsia="cs-CZ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EE8085A" wp14:editId="630326E5">
                <wp:simplePos x="0" y="0"/>
                <wp:positionH relativeFrom="margin">
                  <wp:posOffset>4594639</wp:posOffset>
                </wp:positionH>
                <wp:positionV relativeFrom="paragraph">
                  <wp:posOffset>387</wp:posOffset>
                </wp:positionV>
                <wp:extent cx="1221740" cy="614045"/>
                <wp:effectExtent l="0" t="0" r="0" b="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9EFE" w14:textId="4ADF31CC" w:rsidR="00F64C3C" w:rsidRPr="00DD0AB5" w:rsidRDefault="00F64C3C" w:rsidP="00256773">
                            <w:pPr>
                              <w:pStyle w:val="Normlnzprva"/>
                              <w:ind w:firstLine="0"/>
                              <w:rPr>
                                <w:i/>
                              </w:rPr>
                            </w:pPr>
                            <w:r w:rsidRPr="00DD0AB5">
                              <w:rPr>
                                <w:i/>
                              </w:rPr>
                              <w:t>III.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  <w:r w:rsidRPr="00DD0AB5">
                              <w:rPr>
                                <w:i/>
                              </w:rPr>
                              <w:t>.</w:t>
                            </w:r>
                          </w:p>
                          <w:p w14:paraId="0A3C3A03" w14:textId="77777777" w:rsidR="00F64C3C" w:rsidRPr="00DD0AB5" w:rsidRDefault="00F64C3C" w:rsidP="00256773">
                            <w:pPr>
                              <w:pStyle w:val="Normlnzprva"/>
                              <w:ind w:firstLine="0"/>
                              <w:rPr>
                                <w:i/>
                              </w:rPr>
                            </w:pPr>
                            <w:r w:rsidRPr="00DD0AB5">
                              <w:rPr>
                                <w:i/>
                              </w:rPr>
                              <w:t>Vlastní materiál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8085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1.8pt;margin-top:.05pt;width:96.2pt;height:48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" stroked="f">
                <v:textbox>
                  <w:txbxContent>
                    <w:p w14:paraId="070C9EFE" w14:textId="4ADF31CC" w:rsidR="00F64C3C" w:rsidRPr="00DD0AB5" w:rsidRDefault="00F64C3C" w:rsidP="00256773">
                      <w:pPr>
                        <w:pStyle w:val="Normlnzprva"/>
                        <w:ind w:firstLine="0"/>
                        <w:rPr>
                          <w:i/>
                        </w:rPr>
                      </w:pPr>
                      <w:proofErr w:type="gramStart"/>
                      <w:r w:rsidRPr="00DD0AB5">
                        <w:rPr>
                          <w:i/>
                        </w:rPr>
                        <w:t>III.</w:t>
                      </w:r>
                      <w:r>
                        <w:rPr>
                          <w:i/>
                        </w:rPr>
                        <w:t>1</w:t>
                      </w:r>
                      <w:r w:rsidRPr="00DD0AB5">
                        <w:rPr>
                          <w:i/>
                        </w:rPr>
                        <w:t>.</w:t>
                      </w:r>
                      <w:proofErr w:type="gramEnd"/>
                    </w:p>
                    <w:p w14:paraId="0A3C3A03" w14:textId="77777777" w:rsidR="00F64C3C" w:rsidRPr="00DD0AB5" w:rsidRDefault="00F64C3C" w:rsidP="00256773">
                      <w:pPr>
                        <w:pStyle w:val="Normlnzprva"/>
                        <w:ind w:firstLine="0"/>
                        <w:rPr>
                          <w:i/>
                        </w:rPr>
                      </w:pPr>
                      <w:r w:rsidRPr="00DD0AB5">
                        <w:rPr>
                          <w:i/>
                        </w:rPr>
                        <w:t>Vlastní materiál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57D">
        <w:rPr>
          <w:rFonts w:asciiTheme="minorHAnsi" w:hAnsiTheme="minorHAnsi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294B15" wp14:editId="11948F94">
                <wp:simplePos x="0" y="0"/>
                <wp:positionH relativeFrom="column">
                  <wp:posOffset>-271145</wp:posOffset>
                </wp:positionH>
                <wp:positionV relativeFrom="paragraph">
                  <wp:posOffset>-805815</wp:posOffset>
                </wp:positionV>
                <wp:extent cx="2598420" cy="1504950"/>
                <wp:effectExtent l="0" t="0" r="0" b="0"/>
                <wp:wrapNone/>
                <wp:docPr id="14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F1C70" id="Skupina 2" o:spid="_x0000_s1026" style="position:absolute;margin-left:-21.35pt;margin-top:-63.45pt;width:204.6pt;height:118.5pt;z-index:-251657216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">
                  <v:imagedata r:id="rId9" o:title="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" stroked="f" strokecolor="#333" strokeweight="0">
                  <v:textbox inset="0,0"/>
                </v:rect>
              </v:group>
            </w:pict>
          </mc:Fallback>
        </mc:AlternateContent>
      </w:r>
    </w:p>
    <w:p w14:paraId="599E4AC9" w14:textId="2A3A364C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28A7E62D" w14:textId="3442A8DE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52E9BD48" w14:textId="3C4F276F" w:rsidR="00B656C2" w:rsidRPr="00B656C2" w:rsidRDefault="00B656C2" w:rsidP="00B656C2">
      <w:pPr>
        <w:rPr>
          <w:rFonts w:asciiTheme="minorHAnsi" w:hAnsiTheme="minorHAnsi" w:cs="Arial"/>
          <w:b/>
        </w:rPr>
      </w:pPr>
      <w:r w:rsidRPr="00B656C2">
        <w:rPr>
          <w:rFonts w:asciiTheme="minorHAnsi" w:hAnsiTheme="minorHAnsi" w:cs="Arial"/>
          <w:b/>
        </w:rPr>
        <w:t>Odbor hlavníh</w:t>
      </w:r>
      <w:r w:rsidR="00962A95">
        <w:rPr>
          <w:rFonts w:asciiTheme="minorHAnsi" w:hAnsiTheme="minorHAnsi" w:cs="Arial"/>
          <w:b/>
        </w:rPr>
        <w:t>o </w:t>
      </w:r>
      <w:r w:rsidRPr="00B656C2">
        <w:rPr>
          <w:rFonts w:asciiTheme="minorHAnsi" w:hAnsiTheme="minorHAnsi" w:cs="Arial"/>
          <w:b/>
        </w:rPr>
        <w:t>regulátora a vrchníh</w:t>
      </w:r>
      <w:r w:rsidR="00962A95">
        <w:rPr>
          <w:rFonts w:asciiTheme="minorHAnsi" w:hAnsiTheme="minorHAnsi" w:cs="Arial"/>
          <w:b/>
        </w:rPr>
        <w:t>o </w:t>
      </w:r>
      <w:r w:rsidRPr="00B656C2">
        <w:rPr>
          <w:rFonts w:asciiTheme="minorHAnsi" w:hAnsiTheme="minorHAnsi" w:cs="Arial"/>
          <w:b/>
        </w:rPr>
        <w:t>dohledu sektoru VaK,</w:t>
      </w:r>
    </w:p>
    <w:p w14:paraId="4FE04519" w14:textId="6C0F6352" w:rsidR="002C657D" w:rsidRPr="00C62639" w:rsidRDefault="00B656C2" w:rsidP="00B656C2">
      <w:pPr>
        <w:rPr>
          <w:rFonts w:asciiTheme="minorHAnsi" w:hAnsiTheme="minorHAnsi" w:cs="Arial"/>
          <w:b/>
        </w:rPr>
      </w:pPr>
      <w:r w:rsidRPr="00B656C2">
        <w:rPr>
          <w:rFonts w:asciiTheme="minorHAnsi" w:hAnsiTheme="minorHAnsi" w:cs="Arial"/>
          <w:b/>
        </w:rPr>
        <w:t>oddělení analytické a benchmarkingu</w:t>
      </w:r>
    </w:p>
    <w:p w14:paraId="69C7B083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2CCB8907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1754998D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23937F0E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6C7E04D7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398C9442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61206E08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342A22BE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4F8393D6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05CB5728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64DB47E9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4B62A031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21A85CE2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52FFFEDA" w14:textId="77777777" w:rsidR="002C657D" w:rsidRPr="00C62639" w:rsidRDefault="002C657D" w:rsidP="002C657D">
      <w:pPr>
        <w:jc w:val="center"/>
        <w:rPr>
          <w:rFonts w:asciiTheme="minorHAnsi" w:hAnsiTheme="minorHAnsi" w:cs="Arial"/>
          <w:b/>
        </w:rPr>
      </w:pPr>
    </w:p>
    <w:p w14:paraId="41E0C63D" w14:textId="2D37D567" w:rsidR="002C657D" w:rsidRPr="00C62639" w:rsidRDefault="002C657D" w:rsidP="002C657D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C62639">
        <w:rPr>
          <w:rStyle w:val="Nzevknihy"/>
          <w:rFonts w:asciiTheme="minorHAnsi" w:hAnsiTheme="minorHAnsi"/>
          <w:noProof/>
          <w:color w:val="365F91"/>
          <w:sz w:val="44"/>
        </w:rPr>
        <w:t xml:space="preserve">Zpráva </w:t>
      </w:r>
      <w:r w:rsidR="00962A95">
        <w:rPr>
          <w:rStyle w:val="Nzevknihy"/>
          <w:rFonts w:asciiTheme="minorHAnsi" w:hAnsiTheme="minorHAnsi"/>
          <w:noProof/>
          <w:color w:val="365F91"/>
          <w:sz w:val="44"/>
        </w:rPr>
        <w:t>z </w:t>
      </w:r>
      <w:r w:rsidRPr="00C62639">
        <w:rPr>
          <w:rStyle w:val="Nzevknihy"/>
          <w:rFonts w:asciiTheme="minorHAnsi" w:hAnsiTheme="minorHAnsi"/>
          <w:noProof/>
          <w:color w:val="365F91"/>
          <w:sz w:val="44"/>
        </w:rPr>
        <w:t xml:space="preserve">benchmarkingu </w:t>
      </w:r>
      <w:r w:rsidR="00962A95">
        <w:rPr>
          <w:rStyle w:val="Nzevknihy"/>
          <w:rFonts w:asciiTheme="minorHAnsi" w:hAnsiTheme="minorHAnsi"/>
          <w:noProof/>
          <w:color w:val="365F91"/>
          <w:sz w:val="44"/>
        </w:rPr>
        <w:t>za </w:t>
      </w:r>
      <w:r w:rsidRPr="00C62639">
        <w:rPr>
          <w:rStyle w:val="Nzevknihy"/>
          <w:rFonts w:asciiTheme="minorHAnsi" w:hAnsiTheme="minorHAnsi"/>
          <w:noProof/>
          <w:color w:val="365F91"/>
          <w:sz w:val="44"/>
        </w:rPr>
        <w:t>ro</w:t>
      </w:r>
      <w:r w:rsidR="00962A95">
        <w:rPr>
          <w:rStyle w:val="Nzevknihy"/>
          <w:rFonts w:asciiTheme="minorHAnsi" w:hAnsiTheme="minorHAnsi"/>
          <w:noProof/>
          <w:color w:val="365F91"/>
          <w:sz w:val="44"/>
        </w:rPr>
        <w:t>k </w:t>
      </w:r>
      <w:r w:rsidRPr="00C62639">
        <w:rPr>
          <w:rStyle w:val="Nzevknihy"/>
          <w:rFonts w:asciiTheme="minorHAnsi" w:hAnsiTheme="minorHAnsi"/>
          <w:noProof/>
          <w:color w:val="365F91"/>
          <w:sz w:val="44"/>
        </w:rPr>
        <w:t>201</w:t>
      </w:r>
      <w:r>
        <w:rPr>
          <w:rStyle w:val="Nzevknihy"/>
          <w:rFonts w:asciiTheme="minorHAnsi" w:hAnsiTheme="minorHAnsi"/>
          <w:noProof/>
          <w:color w:val="365F91"/>
          <w:sz w:val="44"/>
        </w:rPr>
        <w:t>8</w:t>
      </w:r>
    </w:p>
    <w:p w14:paraId="6721F237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1C5622F1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2F872DCD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6FF4D86D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1F1FCE54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223B2264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51A320CE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7A2E6DCD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6237520C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7F538ADF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43037829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77258D24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76A48C85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21AFC0A1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6E7DB322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674E069A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37602779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7ED72B83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1FAD49A3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55EEAE3B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409EFA3B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2DF27962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4A27772C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6713B344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79D12133" w14:textId="77777777" w:rsidR="002C657D" w:rsidRPr="00C62639" w:rsidRDefault="002C657D" w:rsidP="002C657D">
      <w:pPr>
        <w:jc w:val="center"/>
        <w:rPr>
          <w:rFonts w:asciiTheme="minorHAnsi" w:hAnsiTheme="minorHAnsi" w:cs="Arial"/>
        </w:rPr>
      </w:pPr>
    </w:p>
    <w:p w14:paraId="66F39823" w14:textId="660647C4" w:rsidR="002C657D" w:rsidRPr="00C62639" w:rsidRDefault="002C657D" w:rsidP="002C657D">
      <w:pPr>
        <w:jc w:val="left"/>
        <w:rPr>
          <w:rStyle w:val="Nzevknihy"/>
          <w:rFonts w:asciiTheme="minorHAnsi" w:hAnsiTheme="minorHAnsi"/>
          <w:noProof/>
          <w:color w:val="365F91"/>
          <w:sz w:val="44"/>
        </w:rPr>
        <w:sectPr w:rsidR="002C657D" w:rsidRPr="00C62639" w:rsidSect="009A5E9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62639">
        <w:rPr>
          <w:rFonts w:asciiTheme="minorHAnsi" w:hAnsiTheme="minorHAnsi" w:cs="Arial"/>
        </w:rPr>
        <w:t>Praha</w:t>
      </w:r>
      <w:r>
        <w:rPr>
          <w:rFonts w:asciiTheme="minorHAnsi" w:hAnsiTheme="minorHAnsi" w:cs="Arial"/>
        </w:rPr>
        <w:t xml:space="preserve">, </w:t>
      </w:r>
      <w:r w:rsidR="005E32AA">
        <w:rPr>
          <w:rFonts w:asciiTheme="minorHAnsi" w:hAnsiTheme="minorHAnsi" w:cs="Arial"/>
        </w:rPr>
        <w:t>17</w:t>
      </w:r>
      <w:r>
        <w:rPr>
          <w:rFonts w:asciiTheme="minorHAnsi" w:hAnsiTheme="minorHAnsi" w:cs="Arial"/>
        </w:rPr>
        <w:t>. února 2020</w:t>
      </w:r>
    </w:p>
    <w:bookmarkStart w:id="1" w:name="_Toc963455" w:displacedByCustomXml="next"/>
    <w:sdt>
      <w:sdtPr>
        <w:rPr>
          <w:rFonts w:ascii="Calibri" w:eastAsia="Calibri" w:hAnsi="Calibri"/>
          <w:color w:val="auto"/>
          <w:sz w:val="24"/>
          <w:szCs w:val="22"/>
          <w:lang w:eastAsia="en-US"/>
        </w:rPr>
        <w:id w:val="1903252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43DFA7" w14:textId="6939CAB5" w:rsidR="00164038" w:rsidRDefault="00164038">
          <w:pPr>
            <w:pStyle w:val="Nadpisobsahu"/>
          </w:pPr>
          <w:r>
            <w:t>Obsah</w:t>
          </w:r>
        </w:p>
        <w:p w14:paraId="5797FA87" w14:textId="3C00420B" w:rsidR="000E44C0" w:rsidRDefault="00164038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210364" w:history="1">
            <w:r w:rsidR="000E44C0" w:rsidRPr="00050FF5">
              <w:rPr>
                <w:rStyle w:val="Hypertextovodkaz"/>
                <w:noProof/>
              </w:rPr>
              <w:t>1.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Úvod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_Toc34210364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 w:rsidR="00A37FCB">
              <w:rPr>
                <w:noProof/>
                <w:webHidden/>
              </w:rPr>
              <w:t>4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C72E5AE" w14:textId="151414BD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65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Terminologie a použité zkratky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_Toc34210365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EE23FD7" w14:textId="5DFFD462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66" w:history="1">
            <w:r w:rsidR="000E44C0" w:rsidRPr="00050FF5">
              <w:rPr>
                <w:rStyle w:val="Hypertextovodkaz"/>
                <w:noProof/>
              </w:rPr>
              <w:t>1.1.1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Terminologie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_Toc34210366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28B81038" w14:textId="6437B553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67" w:history="1">
            <w:r w:rsidR="000E44C0" w:rsidRPr="00050FF5">
              <w:rPr>
                <w:rStyle w:val="Hypertextovodkaz"/>
                <w:noProof/>
              </w:rPr>
              <w:t>1.1.2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Použité zkratky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_Toc34210367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8530A83" w14:textId="1184EDB4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68" w:history="1">
            <w:r w:rsidR="000E44C0" w:rsidRPr="00050FF5">
              <w:rPr>
                <w:rStyle w:val="Hypertextovodkaz"/>
                <w:noProof/>
              </w:rPr>
              <w:t>2.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Funkce zprávy z benchmarkingu v procesu regulace - provázanost s vizí a záměry dozoru a regulace oboru VaK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_Toc34210368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4C71915" w14:textId="1667C571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69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Vize regulace oboru VaK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_Toc34210369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51A1E22" w14:textId="08F59E11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0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Záměry regulace oboru VaK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_Toc34210370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1602E096" w14:textId="7121A503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1" w:history="1">
            <w:r w:rsidR="000E44C0" w:rsidRPr="00050FF5">
              <w:rPr>
                <w:rStyle w:val="Hypertextovodkaz"/>
                <w:noProof/>
              </w:rPr>
              <w:t>3.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Vývoj vybraných ukazatelů v letech 2016 - 2018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_Toc34210371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76E92FE" w14:textId="3325E48C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2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Vodovod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_Toc34210372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809CC1A" w14:textId="36E17086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3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Kanalizace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_Toc34210373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AE7D344" w14:textId="6EA396ED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4" w:history="1">
            <w:r w:rsidR="000E44C0" w:rsidRPr="00050FF5">
              <w:rPr>
                <w:rStyle w:val="Hypertextovodkaz"/>
                <w:noProof/>
              </w:rPr>
              <w:t>4.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Proces zlepšování kvality sbíraných dat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AA0BF07" w14:textId="3DD83D2D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5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Přehled počtu očištěných dat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3CD5BF6" w14:textId="0E73D88E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6" w:history="1">
            <w:r w:rsidR="000E44C0" w:rsidRPr="00050FF5">
              <w:rPr>
                <w:rStyle w:val="Hypertextovodkaz"/>
                <w:noProof/>
              </w:rPr>
              <w:t>5.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Důvody, které znemožňují použití dat pro benchmarking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_Toc34210376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84DE633" w14:textId="0AC24B38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7" w:history="1">
            <w:r w:rsidR="000E44C0" w:rsidRPr="00050FF5">
              <w:rPr>
                <w:rStyle w:val="Hypertextovodkaz"/>
                <w:noProof/>
              </w:rPr>
              <w:t>5.1.1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Vodovod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_Toc34210377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F8519B4" w14:textId="6C11A91F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8" w:history="1">
            <w:r w:rsidR="000E44C0" w:rsidRPr="00050FF5">
              <w:rPr>
                <w:rStyle w:val="Hypertextovodkaz"/>
                <w:noProof/>
              </w:rPr>
              <w:t>5.1.2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Kanalizace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_Toc34210378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037ECCC" w14:textId="09662BE1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79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Rozdělení Porovnání do vlastnických a provozovatelských skupin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_Toc34210379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2C844938" w14:textId="45711322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0" w:history="1">
            <w:r w:rsidR="000E44C0" w:rsidRPr="00050FF5">
              <w:rPr>
                <w:rStyle w:val="Hypertextovodkaz"/>
                <w:noProof/>
              </w:rPr>
              <w:t>5.2.1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Skupiny vlastnického benchmarkingu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_Toc34210380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9F9AD9A" w14:textId="463D5687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1" w:history="1">
            <w:r w:rsidR="000E44C0" w:rsidRPr="00050FF5">
              <w:rPr>
                <w:rStyle w:val="Hypertextovodkaz"/>
                <w:noProof/>
              </w:rPr>
              <w:t>5.2.2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Skupiny provozovatelského benchmarkingu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_Toc34210381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2A85D8FE" w14:textId="77A37BD7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2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Seznam a způsob identifikace hodnocených anomálií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_Toc34210382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BE25F43" w14:textId="155166D9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3" w:history="1">
            <w:r w:rsidR="000E44C0" w:rsidRPr="00050FF5">
              <w:rPr>
                <w:rStyle w:val="Hypertextovodkaz"/>
                <w:noProof/>
              </w:rPr>
              <w:t>5.3.1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Benchmarking vlastnických subjektů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_Toc34210383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66D891F" w14:textId="21ADE39F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4" w:history="1">
            <w:r w:rsidR="000E44C0" w:rsidRPr="00050FF5">
              <w:rPr>
                <w:rStyle w:val="Hypertextovodkaz"/>
                <w:noProof/>
              </w:rPr>
              <w:t>5.3.2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Benchmarkingu provozovatelských subjektů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133246CD" w14:textId="14E4A06B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5" w:history="1">
            <w:r w:rsidR="000E44C0" w:rsidRPr="00050FF5">
              <w:rPr>
                <w:rStyle w:val="Hypertextovodkaz"/>
                <w:noProof/>
              </w:rPr>
              <w:t>6.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Změny postupů  - benchmarking provozovatelských subjektů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AD2E677" w14:textId="4B5045C7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6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Ukazatel Rentabilita nákladů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_Toc34210386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7E01B5A" w14:textId="300E87A5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7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Metodika výběru Porovnání splňujících stanovená kritéria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_Toc34210387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B862768" w14:textId="370A0F1C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8" w:history="1">
            <w:r w:rsidR="000E44C0" w:rsidRPr="00050FF5">
              <w:rPr>
                <w:rStyle w:val="Hypertextovodkaz"/>
                <w:noProof/>
              </w:rPr>
              <w:t>7.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Benchmarking vlastnických subjektů 2018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_Toc34210388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4A2A735" w14:textId="4A70053F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89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Cíl zprávy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_Toc34210389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1EF581B6" w14:textId="24A5A06E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0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rFonts w:eastAsia="Calibri Light"/>
                <w:noProof/>
              </w:rPr>
              <w:t>Vodovod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_Toc34210390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B7DD47F" w14:textId="3A18281D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1" w:history="1">
            <w:r w:rsidR="000E44C0" w:rsidRPr="00050FF5">
              <w:rPr>
                <w:rStyle w:val="Hypertextovodkaz"/>
                <w:noProof/>
              </w:rPr>
              <w:t>7.2.1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Chybné vykazování dat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_Toc34210391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54DDA83" w14:textId="48908EA6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2" w:history="1">
            <w:r w:rsidR="000E44C0" w:rsidRPr="00050FF5">
              <w:rPr>
                <w:rStyle w:val="Hypertextovodkaz"/>
                <w:noProof/>
              </w:rPr>
              <w:t>7.2.2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Anomálie související s regulačními záměry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_Toc34210392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6C4AD48" w14:textId="35A44E05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3" w:history="1">
            <w:r w:rsidR="000E44C0" w:rsidRPr="00050FF5">
              <w:rPr>
                <w:rStyle w:val="Hypertextovodkaz"/>
                <w:noProof/>
              </w:rPr>
              <w:t>7.2.3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Nedostatečná tvorba prostředků na obnovu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_Toc34210393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23866E4" w14:textId="0FE862C7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4" w:history="1">
            <w:r w:rsidR="000E44C0" w:rsidRPr="00050FF5">
              <w:rPr>
                <w:rStyle w:val="Hypertextovodkaz"/>
                <w:noProof/>
              </w:rPr>
              <w:t>7.2.4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Výskyt anomálii v jednotlivých skupinách vlastníků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8D01A77" w14:textId="76268EDB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5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Kanalizace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293EE58" w14:textId="7244545D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6" w:history="1">
            <w:r w:rsidR="000E44C0" w:rsidRPr="00050FF5">
              <w:rPr>
                <w:rStyle w:val="Hypertextovodkaz"/>
                <w:noProof/>
              </w:rPr>
              <w:t>7.3.1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Chybné vykazování dat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_Toc34210396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02B78C3" w14:textId="479B740A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7" w:history="1">
            <w:r w:rsidR="000E44C0" w:rsidRPr="00050FF5">
              <w:rPr>
                <w:rStyle w:val="Hypertextovodkaz"/>
                <w:noProof/>
              </w:rPr>
              <w:t>7.3.2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Anomálie související s regulačními záměry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_Toc34210397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EC4C607" w14:textId="1D0EDC2C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8" w:history="1">
            <w:r w:rsidR="000E44C0" w:rsidRPr="00050FF5">
              <w:rPr>
                <w:rStyle w:val="Hypertextovodkaz"/>
                <w:noProof/>
              </w:rPr>
              <w:t>7.3.3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Nedostatečná tvorba prostředků na obnovu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_Toc34210398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DEDD7AD" w14:textId="3B7ED9DC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399" w:history="1">
            <w:r w:rsidR="000E44C0" w:rsidRPr="00050FF5">
              <w:rPr>
                <w:rStyle w:val="Hypertextovodkaz"/>
                <w:noProof/>
              </w:rPr>
              <w:t>7.3.4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Výskyt anomálii v jednotlivých skupinách vlastníků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_Toc34210399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877FF95" w14:textId="0949938B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0" w:history="1">
            <w:r w:rsidR="000E44C0" w:rsidRPr="00050FF5">
              <w:rPr>
                <w:rStyle w:val="Hypertextovodkaz"/>
                <w:rFonts w:eastAsia="Calibri Light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rFonts w:eastAsia="Calibri Light"/>
                <w:noProof/>
              </w:rPr>
              <w:t>Závěry benchmarkingového projektu vlastnických subjektů za rok 2018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_Toc34210400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E94DB29" w14:textId="3C3C5B08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1" w:history="1">
            <w:r w:rsidR="000E44C0" w:rsidRPr="00050FF5">
              <w:rPr>
                <w:rStyle w:val="Hypertextovodkaz"/>
                <w:noProof/>
              </w:rPr>
              <w:t>7.4.1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SWOT analýza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_Toc34210401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FA87A2C" w14:textId="4392EC16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2" w:history="1">
            <w:r w:rsidR="000E44C0" w:rsidRPr="00050FF5">
              <w:rPr>
                <w:rStyle w:val="Hypertextovodkaz"/>
                <w:noProof/>
              </w:rPr>
              <w:t>7.4.2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Závěr, zhodnocení a návrh dalšího postupu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_Toc34210402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D63F8B8" w14:textId="7002BB57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3" w:history="1">
            <w:r w:rsidR="000E44C0" w:rsidRPr="00050FF5">
              <w:rPr>
                <w:rStyle w:val="Hypertextovodkaz"/>
                <w:noProof/>
              </w:rPr>
              <w:t>8.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Benchmarking provozovatelských subjektů 2018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_Toc34210403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7F49AC17" w14:textId="4C86EACF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4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Cíl zprávy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85BFB4C" w14:textId="423E4006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5" w:history="1">
            <w:r w:rsidR="000E44C0" w:rsidRPr="00050FF5">
              <w:rPr>
                <w:rStyle w:val="Hypertextovodkaz"/>
                <w:rFonts w:eastAsia="Calibri Light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rFonts w:eastAsia="Calibri Light"/>
                <w:noProof/>
              </w:rPr>
              <w:t>Vodovod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BC45FB7" w14:textId="2FFD64E3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6" w:history="1">
            <w:r w:rsidR="000E44C0" w:rsidRPr="00050FF5">
              <w:rPr>
                <w:rStyle w:val="Hypertextovodkaz"/>
                <w:noProof/>
              </w:rPr>
              <w:t>8.2.1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Chybné vykazování dat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_Toc34210406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7989F70" w14:textId="4D702548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7" w:history="1">
            <w:r w:rsidR="000E44C0" w:rsidRPr="00050FF5">
              <w:rPr>
                <w:rStyle w:val="Hypertextovodkaz"/>
                <w:noProof/>
              </w:rPr>
              <w:t>8.2.2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Anomálie související s regulačními záměry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_Toc34210407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52948C2" w14:textId="2AA971AB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8" w:history="1">
            <w:r w:rsidR="000E44C0" w:rsidRPr="00050FF5">
              <w:rPr>
                <w:rStyle w:val="Hypertextovodkaz"/>
                <w:noProof/>
              </w:rPr>
              <w:t>8.2.3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Výskyt anomálii v jednotlivých skupinách provozovatelů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_Toc34210408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1BD8EF61" w14:textId="13C9665A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09" w:history="1">
            <w:r w:rsidR="000E44C0" w:rsidRPr="00050FF5">
              <w:rPr>
                <w:rStyle w:val="Hypertextovodkaz"/>
                <w:noProof/>
              </w:rPr>
              <w:t>8.2.4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bCs/>
                <w:noProof/>
              </w:rPr>
              <w:t>Porovnání průměrných hodnot sledovaných ukazatelů z Porovnání splňujících daná kritéria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_Toc34210409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C6418DA" w14:textId="2E4D7FCF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0" w:history="1">
            <w:r w:rsidR="000E44C0" w:rsidRPr="00050FF5">
              <w:rPr>
                <w:rStyle w:val="Hypertextovodkaz"/>
                <w:noProof/>
              </w:rPr>
              <w:t>8.2.5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bCs/>
                <w:noProof/>
              </w:rPr>
              <w:t>Voda nefakturovaná a ztráty vody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_Toc34210410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71A6160" w14:textId="4B58BD7C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1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Kanalizace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_Toc34210411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2A167538" w14:textId="4D4046DD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2" w:history="1">
            <w:r w:rsidR="000E44C0" w:rsidRPr="00050FF5">
              <w:rPr>
                <w:rStyle w:val="Hypertextovodkaz"/>
                <w:noProof/>
              </w:rPr>
              <w:t>8.3.1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Chybné vykazování dat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_Toc34210412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A9BBAEA" w14:textId="22ED68F9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3" w:history="1">
            <w:r w:rsidR="000E44C0" w:rsidRPr="00050FF5">
              <w:rPr>
                <w:rStyle w:val="Hypertextovodkaz"/>
                <w:noProof/>
              </w:rPr>
              <w:t>8.3.2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Anomálie související s regulačními záměry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_Toc34210413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35E671F" w14:textId="334CDDE0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4" w:history="1">
            <w:r w:rsidR="000E44C0" w:rsidRPr="00050FF5">
              <w:rPr>
                <w:rStyle w:val="Hypertextovodkaz"/>
                <w:noProof/>
              </w:rPr>
              <w:t>8.3.3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Výskyt anomálii v jednotlivých skupinách provozovatelů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7A6C802" w14:textId="4839B4F2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5" w:history="1">
            <w:r w:rsidR="000E44C0" w:rsidRPr="00050FF5">
              <w:rPr>
                <w:rStyle w:val="Hypertextovodkaz"/>
                <w:noProof/>
              </w:rPr>
              <w:t>8.3.4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bCs/>
                <w:noProof/>
              </w:rPr>
              <w:t>Porovnání průměrných hodnot sledovaných ukazatelů z Porovnání splňujících daná kritéria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453D3F6" w14:textId="61DD96A5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6" w:history="1">
            <w:r w:rsidR="000E44C0" w:rsidRPr="00050FF5">
              <w:rPr>
                <w:rStyle w:val="Hypertextovodkaz"/>
                <w:rFonts w:eastAsia="Calibri Light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rFonts w:eastAsia="Calibri Light"/>
                <w:noProof/>
              </w:rPr>
              <w:t>Závěry benchmarkingového projektu provozovatelských subjektů  za rok 2018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_Toc34210416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0EF7590A" w14:textId="678692DB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7" w:history="1">
            <w:r w:rsidR="000E44C0" w:rsidRPr="00050FF5">
              <w:rPr>
                <w:rStyle w:val="Hypertextovodkaz"/>
                <w:noProof/>
              </w:rPr>
              <w:t>8.4.1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SWOT analýza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_Toc34210417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21F91D9" w14:textId="56872DAF" w:rsidR="000E44C0" w:rsidRDefault="00A37FCB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8" w:history="1">
            <w:r w:rsidR="000E44C0" w:rsidRPr="00050FF5">
              <w:rPr>
                <w:rStyle w:val="Hypertextovodkaz"/>
                <w:noProof/>
              </w:rPr>
              <w:t>8.4.2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Závěr, zhodnocení a návrh dalšího postupu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_Toc34210418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02B1B08" w14:textId="18C5FEC8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19" w:history="1">
            <w:r w:rsidR="000E44C0" w:rsidRPr="00050FF5">
              <w:rPr>
                <w:rStyle w:val="Hypertextovodkaz"/>
                <w:noProof/>
              </w:rPr>
              <w:t>9.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Posouzení závěrů a jejich porovnání se záměry regulace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_Toc34210419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20B8DCA6" w14:textId="70CFD720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20" w:history="1">
            <w:r w:rsidR="000E44C0" w:rsidRPr="00050FF5">
              <w:rPr>
                <w:rStyle w:val="Hypertextovodkaz"/>
                <w:noProof/>
              </w:rPr>
              <w:t>10.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Příloha č. 1 - Základní východiska a postupy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_Toc34210420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6EF57E81" w14:textId="0037C138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21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Stručná charakteristika rozdílů analyzovaných modelů provozování a jejich podskupin.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_Toc34210421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5B030F86" w14:textId="6663BAE5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22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10.2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Výpočet roční výše potřeby akumulace finančních prostředků na obnovu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_Toc34210422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1F7780D7" w14:textId="46CCE698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23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10.3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Výpočet skutečně dosažené výše PO pro jednotlivé modely provozování a jejich podskupiny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_Toc34210423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469686EE" w14:textId="38A917B5" w:rsidR="000E44C0" w:rsidRDefault="00A37FC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24" w:history="1">
            <w:r w:rsidR="000E44C0" w:rsidRPr="00050FF5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10.4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Postup výpočtu ukazatele - teoretická cena pro vodné a stočné při pokrytí PO a nulovém zisku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_Toc34210424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17C33599" w14:textId="617FF25B" w:rsidR="000E44C0" w:rsidRDefault="00A37FC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34210425" w:history="1">
            <w:r w:rsidR="000E44C0" w:rsidRPr="00050FF5">
              <w:rPr>
                <w:rStyle w:val="Hypertextovodkaz"/>
                <w:noProof/>
              </w:rPr>
              <w:t>11.</w:t>
            </w:r>
            <w:r w:rsidR="000E44C0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0E44C0" w:rsidRPr="00050FF5">
              <w:rPr>
                <w:rStyle w:val="Hypertextovodkaz"/>
                <w:noProof/>
              </w:rPr>
              <w:t>Příloha č. 2 – Voda nefakturovaná a ztráty</w:t>
            </w:r>
            <w:r w:rsidR="000E44C0">
              <w:rPr>
                <w:noProof/>
                <w:webHidden/>
              </w:rPr>
              <w:tab/>
            </w:r>
            <w:r w:rsidR="000E44C0">
              <w:rPr>
                <w:noProof/>
                <w:webHidden/>
              </w:rPr>
              <w:fldChar w:fldCharType="begin"/>
            </w:r>
            <w:r w:rsidR="000E44C0">
              <w:rPr>
                <w:noProof/>
                <w:webHidden/>
              </w:rPr>
              <w:instrText xml:space="preserve"> PAGEREF _Toc34210425 \h </w:instrText>
            </w:r>
            <w:r w:rsidR="000E44C0">
              <w:rPr>
                <w:noProof/>
                <w:webHidden/>
              </w:rPr>
            </w:r>
            <w:r w:rsidR="000E44C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 w:rsidR="000E44C0">
              <w:rPr>
                <w:noProof/>
                <w:webHidden/>
              </w:rPr>
              <w:fldChar w:fldCharType="end"/>
            </w:r>
          </w:hyperlink>
        </w:p>
        <w:p w14:paraId="35E7EABC" w14:textId="7A20CE51" w:rsidR="00164038" w:rsidRDefault="00164038">
          <w:r>
            <w:rPr>
              <w:b/>
              <w:bCs/>
            </w:rPr>
            <w:fldChar w:fldCharType="end"/>
          </w:r>
        </w:p>
      </w:sdtContent>
    </w:sdt>
    <w:p w14:paraId="50790E76" w14:textId="77777777" w:rsidR="00164038" w:rsidRDefault="00164038">
      <w:pPr>
        <w:spacing w:before="0" w:after="160" w:line="259" w:lineRule="auto"/>
        <w:contextualSpacing w:val="0"/>
        <w:jc w:val="left"/>
        <w:rPr>
          <w:rFonts w:asciiTheme="minorHAnsi" w:eastAsia="Times New Roman" w:hAnsiTheme="minorHAnsi"/>
          <w:noProof/>
          <w:color w:val="365F91"/>
          <w:sz w:val="32"/>
          <w:szCs w:val="32"/>
        </w:rPr>
      </w:pPr>
      <w:r>
        <w:rPr>
          <w:rFonts w:asciiTheme="minorHAnsi" w:hAnsiTheme="minorHAnsi"/>
          <w:noProof/>
        </w:rPr>
        <w:br w:type="page"/>
      </w:r>
    </w:p>
    <w:p w14:paraId="2A20653C" w14:textId="34D452CB" w:rsidR="002C657D" w:rsidRPr="004958C5" w:rsidRDefault="002C657D" w:rsidP="002C657D">
      <w:pPr>
        <w:pStyle w:val="Nadpis1"/>
        <w:rPr>
          <w:rFonts w:asciiTheme="minorHAnsi" w:hAnsiTheme="minorHAnsi"/>
          <w:noProof/>
        </w:rPr>
      </w:pPr>
      <w:bookmarkStart w:id="2" w:name="_Toc34210364"/>
      <w:r w:rsidRPr="004958C5">
        <w:rPr>
          <w:rFonts w:asciiTheme="minorHAnsi" w:hAnsiTheme="minorHAnsi"/>
          <w:noProof/>
        </w:rPr>
        <w:lastRenderedPageBreak/>
        <w:t>Úvod</w:t>
      </w:r>
      <w:bookmarkEnd w:id="2"/>
      <w:bookmarkEnd w:id="1"/>
    </w:p>
    <w:p w14:paraId="37D88591" w14:textId="67D433E6" w:rsidR="002C657D" w:rsidRPr="00A340F8" w:rsidRDefault="002C657D" w:rsidP="002C657D">
      <w:pPr>
        <w:pStyle w:val="NORMLN0"/>
      </w:pPr>
      <w:r w:rsidRPr="00A340F8">
        <w:t xml:space="preserve">Zpráva </w:t>
      </w:r>
      <w:r w:rsidR="00962A95">
        <w:t>z </w:t>
      </w:r>
      <w:r w:rsidRPr="00A340F8">
        <w:t xml:space="preserve">benchmarkingu </w:t>
      </w:r>
      <w:r w:rsidR="00962A95">
        <w:t>za </w:t>
      </w:r>
      <w:r w:rsidRPr="00A340F8">
        <w:t>ro</w:t>
      </w:r>
      <w:r w:rsidR="00962A95">
        <w:t>k </w:t>
      </w:r>
      <w:r w:rsidRPr="00A340F8">
        <w:t>201</w:t>
      </w:r>
      <w:r w:rsidR="009A5E9D">
        <w:t>8</w:t>
      </w:r>
      <w:r w:rsidRPr="00A340F8">
        <w:t xml:space="preserve"> prezentuje</w:t>
      </w:r>
      <w:r>
        <w:t xml:space="preserve"> </w:t>
      </w:r>
      <w:r w:rsidRPr="00A340F8">
        <w:t xml:space="preserve">odborné i laické veřejnosti výsledky realizovaných projektů: benchmarkingu vlastnických subjektů a benchmarkingu </w:t>
      </w:r>
      <w:r w:rsidRPr="00A340F8">
        <w:rPr>
          <w:rStyle w:val="NormlnzprvaChar"/>
        </w:rPr>
        <w:t>provoz</w:t>
      </w:r>
      <w:r>
        <w:rPr>
          <w:rStyle w:val="NormlnzprvaChar"/>
        </w:rPr>
        <w:t xml:space="preserve">ovatelských subjektů </w:t>
      </w:r>
      <w:r w:rsidR="00962A95">
        <w:rPr>
          <w:rStyle w:val="NormlnzprvaChar"/>
        </w:rPr>
        <w:t>za </w:t>
      </w:r>
      <w:r>
        <w:rPr>
          <w:rStyle w:val="NormlnzprvaChar"/>
        </w:rPr>
        <w:t>ro</w:t>
      </w:r>
      <w:r w:rsidR="00962A95">
        <w:rPr>
          <w:rStyle w:val="NormlnzprvaChar"/>
        </w:rPr>
        <w:t>k </w:t>
      </w:r>
      <w:r>
        <w:rPr>
          <w:rStyle w:val="NormlnzprvaChar"/>
        </w:rPr>
        <w:t>201</w:t>
      </w:r>
      <w:r w:rsidR="009A5E9D">
        <w:rPr>
          <w:rStyle w:val="NormlnzprvaChar"/>
        </w:rPr>
        <w:t>8</w:t>
      </w:r>
      <w:r w:rsidRPr="00A340F8">
        <w:rPr>
          <w:rStyle w:val="NormlnzprvaChar"/>
        </w:rPr>
        <w:t>. Cílem zprávy je</w:t>
      </w:r>
      <w:r w:rsidRPr="00A340F8">
        <w:t xml:space="preserve"> srozumitelnou formou přiblížit zjištěné nedostatky vyskytující se </w:t>
      </w:r>
      <w:r w:rsidR="00962A95">
        <w:t>v </w:t>
      </w:r>
      <w:r w:rsidRPr="00A340F8">
        <w:t xml:space="preserve">jednotlivých skupinách, informovat </w:t>
      </w:r>
      <w:r w:rsidR="00962A95">
        <w:t>o </w:t>
      </w:r>
      <w:r w:rsidRPr="00A340F8">
        <w:t xml:space="preserve">závěrech projektů a navrhnout další kroky vedoucí </w:t>
      </w:r>
      <w:r w:rsidR="00962A95">
        <w:t>k </w:t>
      </w:r>
      <w:r w:rsidRPr="00A340F8">
        <w:t>plnění záměrů regulace</w:t>
      </w:r>
      <w:r w:rsidR="003661E0">
        <w:t xml:space="preserve"> a tímt</w:t>
      </w:r>
      <w:r w:rsidR="00962A95">
        <w:t>o </w:t>
      </w:r>
      <w:r w:rsidR="003661E0">
        <w:t xml:space="preserve">způsobem zabezpečit informovanost vlastníků, provozovatelů, odběratelů a odborné veřejnosti </w:t>
      </w:r>
      <w:r w:rsidR="00962A95">
        <w:t>o </w:t>
      </w:r>
      <w:r w:rsidR="003661E0">
        <w:t xml:space="preserve">stavu sektoru </w:t>
      </w:r>
      <w:r w:rsidR="00962A95">
        <w:t>v </w:t>
      </w:r>
      <w:r w:rsidR="003661E0">
        <w:t>roce 2018</w:t>
      </w:r>
      <w:r w:rsidR="00B635E2">
        <w:t>.</w:t>
      </w:r>
    </w:p>
    <w:p w14:paraId="0888CC31" w14:textId="034F9ECB" w:rsidR="003661E0" w:rsidRPr="00A340F8" w:rsidRDefault="00962A95" w:rsidP="003661E0">
      <w:pPr>
        <w:pStyle w:val="NORMLN0"/>
      </w:pPr>
      <w:r>
        <w:t>Ve </w:t>
      </w:r>
      <w:r w:rsidR="003661E0" w:rsidRPr="00A340F8">
        <w:t xml:space="preserve">vztahu </w:t>
      </w:r>
      <w:r>
        <w:t>k </w:t>
      </w:r>
      <w:r w:rsidR="003661E0" w:rsidRPr="00A340F8">
        <w:t>činnosti M</w:t>
      </w:r>
      <w:r>
        <w:t>Ze </w:t>
      </w:r>
      <w:r w:rsidR="003661E0" w:rsidRPr="00A340F8">
        <w:t xml:space="preserve">a Výboru </w:t>
      </w:r>
      <w:r>
        <w:t>pro </w:t>
      </w:r>
      <w:r w:rsidR="003661E0" w:rsidRPr="00A340F8">
        <w:t xml:space="preserve">koordinaci regulace oboru vodovodů a kanalizací je cílem zprávy poskytnout informace potřebné </w:t>
      </w:r>
      <w:r>
        <w:t>pro </w:t>
      </w:r>
      <w:r w:rsidR="003661E0" w:rsidRPr="00A340F8">
        <w:t>případnou úpravu strategie regulace oboru Va</w:t>
      </w:r>
      <w:r>
        <w:t>K </w:t>
      </w:r>
      <w:r w:rsidR="003661E0" w:rsidRPr="00A340F8">
        <w:t>neb</w:t>
      </w:r>
      <w:r>
        <w:t>o </w:t>
      </w:r>
      <w:r w:rsidR="003661E0">
        <w:t xml:space="preserve">stanovení </w:t>
      </w:r>
      <w:r w:rsidR="003661E0" w:rsidRPr="00A340F8">
        <w:t xml:space="preserve">cílů benchmarkingu </w:t>
      </w:r>
      <w:r>
        <w:t>pro </w:t>
      </w:r>
      <w:r w:rsidR="003661E0" w:rsidRPr="00A340F8">
        <w:t xml:space="preserve">další rok, čímž se </w:t>
      </w:r>
      <w:r>
        <w:t>ve </w:t>
      </w:r>
      <w:r w:rsidR="003661E0" w:rsidRPr="00A340F8">
        <w:t>smyslu platné Metodiky benchmarkingu ukončí roční cyklus benchmarkingu.</w:t>
      </w:r>
    </w:p>
    <w:p w14:paraId="030E3657" w14:textId="07B49E45" w:rsidR="002C657D" w:rsidRDefault="00962A95" w:rsidP="002C657D">
      <w:pPr>
        <w:pStyle w:val="NORMLN0"/>
      </w:pPr>
      <w:r>
        <w:t>V </w:t>
      </w:r>
      <w:r w:rsidR="003661E0">
        <w:t xml:space="preserve">porovnání s předchozími </w:t>
      </w:r>
      <w:r w:rsidR="00694162">
        <w:t>zprávami doznala</w:t>
      </w:r>
      <w:r w:rsidR="003661E0">
        <w:t xml:space="preserve"> zpráva </w:t>
      </w:r>
      <w:r>
        <w:t>za </w:t>
      </w:r>
      <w:r w:rsidR="003661E0">
        <w:t>ro</w:t>
      </w:r>
      <w:r>
        <w:t>k </w:t>
      </w:r>
      <w:r w:rsidR="003661E0">
        <w:t xml:space="preserve">2018 menších úprav, které </w:t>
      </w:r>
      <w:r w:rsidR="00D26A35">
        <w:t xml:space="preserve">vedly </w:t>
      </w:r>
      <w:r>
        <w:t>k </w:t>
      </w:r>
      <w:r w:rsidR="003661E0">
        <w:t>zestručnění a zpřehlednění prezentovaných informací.</w:t>
      </w:r>
      <w:r w:rsidR="00371EFB">
        <w:t xml:space="preserve"> </w:t>
      </w:r>
      <w:r w:rsidR="002C657D" w:rsidRPr="00A340F8"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e="preserve"> </w:t>
      </w:r>
      <w:r w:rsidR="002C657D" w:rsidRPr="00A340F8">
        <w:t>benchmarkingu je třeba připomenout, že</w:t>
      </w:r>
      <w:r w:rsidR="002C657D">
        <w:t xml:space="preserve"> </w:t>
      </w:r>
      <w:r w:rsidR="002C657D" w:rsidRPr="00A340F8">
        <w:t xml:space="preserve">všechny tři zprávy (Benchmarking vlastnických subjektů </w:t>
      </w:r>
      <w:r>
        <w:t>za </w:t>
      </w:r>
      <w:r w:rsidR="002C657D" w:rsidRPr="00A340F8">
        <w:t>ro</w:t>
      </w:r>
      <w:r>
        <w:t>k </w:t>
      </w:r>
      <w:r w:rsidR="003A30B7" w:rsidRPr="00A340F8">
        <w:t>201</w:t>
      </w:r>
      <w:r w:rsidR="003A30B7">
        <w:t>8</w:t>
      </w:r>
      <w:r w:rsidR="002C657D" w:rsidRPr="00A340F8">
        <w:t>, Benchmarking</w:t>
      </w:r>
      <w:r w:rsidR="002C657D">
        <w:t xml:space="preserve"> </w:t>
      </w:r>
      <w:r w:rsidR="002C657D" w:rsidRPr="00A340F8">
        <w:t xml:space="preserve">provozovatelských subjektů </w:t>
      </w:r>
      <w:r>
        <w:t>za </w:t>
      </w:r>
      <w:r w:rsidR="002C657D" w:rsidRPr="00A340F8">
        <w:t>ro</w:t>
      </w:r>
      <w:r>
        <w:t>k </w:t>
      </w:r>
      <w:r w:rsidR="003A30B7" w:rsidRPr="00A340F8">
        <w:t>201</w:t>
      </w:r>
      <w:r w:rsidR="003A30B7">
        <w:t>8</w:t>
      </w:r>
      <w:r w:rsidR="003A30B7" w:rsidRPr="00A340F8">
        <w:t xml:space="preserve"> </w:t>
      </w:r>
      <w:r w:rsidR="002C657D" w:rsidRPr="00A340F8">
        <w:t xml:space="preserve">a Zprávu </w:t>
      </w:r>
      <w:r>
        <w:t>z </w:t>
      </w:r>
      <w:r w:rsidR="002C657D" w:rsidRPr="00A340F8">
        <w:t xml:space="preserve">benchmarkingu </w:t>
      </w:r>
      <w:r>
        <w:t>za </w:t>
      </w:r>
      <w:r w:rsidR="002C657D" w:rsidRPr="00A340F8">
        <w:t>ro</w:t>
      </w:r>
      <w:r>
        <w:t>k </w:t>
      </w:r>
      <w:r w:rsidR="003A30B7" w:rsidRPr="00A340F8">
        <w:t>201</w:t>
      </w:r>
      <w:r w:rsidR="003A30B7">
        <w:t>8</w:t>
      </w:r>
      <w:r w:rsidR="002C657D" w:rsidRPr="00A340F8">
        <w:t>) je nutné vnímat jak</w:t>
      </w:r>
      <w:r>
        <w:t>o </w:t>
      </w:r>
      <w:r w:rsidR="002C657D" w:rsidRPr="00A340F8">
        <w:t>cele</w:t>
      </w:r>
      <w:r>
        <w:t>k </w:t>
      </w:r>
      <w:r w:rsidR="002C657D" w:rsidRPr="00A340F8">
        <w:t>a nehodnotit jednotlivé nálezy odděleně od ostatních souvislostí.</w:t>
      </w:r>
      <w:r w:rsidR="003A30B7">
        <w:t xml:space="preserve"> </w:t>
      </w:r>
    </w:p>
    <w:p w14:paraId="53476678" w14:textId="7426E8D8" w:rsidR="0001447A" w:rsidRDefault="00D26A35" w:rsidP="00694162">
      <w:pPr>
        <w:pStyle w:val="NORMLN0"/>
      </w:pPr>
      <w:r w:rsidRPr="005D772D">
        <w:t>Te</w:t>
      </w:r>
      <w:r w:rsidR="00B31618" w:rsidRPr="00194A43">
        <w:t>nt</w:t>
      </w:r>
      <w:r w:rsidR="00962A95">
        <w:t>o </w:t>
      </w:r>
      <w:r w:rsidR="00B31618" w:rsidRPr="00194A43">
        <w:t>ro</w:t>
      </w:r>
      <w:r w:rsidR="00962A95">
        <w:t>k </w:t>
      </w:r>
      <w:r w:rsidRPr="00194A43">
        <w:t>pop</w:t>
      </w:r>
      <w:r w:rsidRPr="00BE6740">
        <w:t>rvé</w:t>
      </w:r>
      <w:r w:rsidR="00B31618" w:rsidRPr="00BE6740">
        <w:t xml:space="preserve"> přistoupil</w:t>
      </w:r>
      <w:r w:rsidR="00962A95">
        <w:t>o </w:t>
      </w:r>
      <w:r w:rsidR="00B31618" w:rsidRPr="00BE6740">
        <w:t>M</w:t>
      </w:r>
      <w:r w:rsidR="00962A95">
        <w:t>Ze k </w:t>
      </w:r>
      <w:r w:rsidR="00B31618" w:rsidRPr="00BE6740">
        <w:t xml:space="preserve">uveřejnění </w:t>
      </w:r>
      <w:r w:rsidRPr="00A054B8">
        <w:t>pr</w:t>
      </w:r>
      <w:r w:rsidRPr="00FC5933">
        <w:t xml:space="preserve">votních </w:t>
      </w:r>
      <w:r w:rsidR="00B31618" w:rsidRPr="0037600C">
        <w:t>dat</w:t>
      </w:r>
      <w:r w:rsidRPr="006B7B79">
        <w:t xml:space="preserve"> a </w:t>
      </w:r>
      <w:r w:rsidRPr="000C453E">
        <w:t xml:space="preserve">vypočtených </w:t>
      </w:r>
      <w:r w:rsidRPr="005D0A02">
        <w:t>ukazatelů</w:t>
      </w:r>
      <w:r w:rsidR="00B31618" w:rsidRPr="00C27569">
        <w:t>, kter</w:t>
      </w:r>
      <w:r w:rsidRPr="00613A31">
        <w:t>é</w:t>
      </w:r>
      <w:r w:rsidR="00B31618" w:rsidRPr="00D26A35">
        <w:t xml:space="preserve"> byl</w:t>
      </w:r>
      <w:r>
        <w:t>y</w:t>
      </w:r>
      <w:r w:rsidR="00B31618" w:rsidRPr="00D26A35">
        <w:t xml:space="preserve"> </w:t>
      </w:r>
      <w:r w:rsidR="00962A95">
        <w:t>v </w:t>
      </w:r>
      <w:r>
        <w:t>projektech analyzovány a následně hodnoceny</w:t>
      </w:r>
      <w:r w:rsidR="00B31618" w:rsidRPr="00D26A35">
        <w:t xml:space="preserve">. </w:t>
      </w:r>
      <w:r>
        <w:t>Nedílnou s</w:t>
      </w:r>
      <w:r w:rsidR="00B31618" w:rsidRPr="00D26A35">
        <w:t xml:space="preserve">oučást Benchmarkingu vlastnických subjektů a Benchmarkingu provozovatelských subjektů </w:t>
      </w:r>
      <w:r>
        <w:t>ta</w:t>
      </w:r>
      <w:r w:rsidR="00962A95">
        <w:t>k </w:t>
      </w:r>
      <w:r w:rsidR="0001447A">
        <w:t>představují</w:t>
      </w:r>
      <w:r w:rsidR="00B31618" w:rsidRPr="00D26A35">
        <w:t xml:space="preserve"> soubory </w:t>
      </w:r>
      <w:r w:rsidR="00962A95">
        <w:t>ve </w:t>
      </w:r>
      <w:r w:rsidR="00B31618" w:rsidRPr="00D26A35">
        <w:t xml:space="preserve">formátu *.xls </w:t>
      </w:r>
      <w:r w:rsidR="0001447A">
        <w:t>z</w:t>
      </w:r>
      <w:r w:rsidR="00B31618" w:rsidRPr="00D26A35">
        <w:t>přístupn</w:t>
      </w:r>
      <w:r w:rsidR="0001447A">
        <w:t>ěné</w:t>
      </w:r>
      <w:r w:rsidR="00B31618" w:rsidRPr="00D26A35">
        <w:t xml:space="preserve"> </w:t>
      </w:r>
      <w:r w:rsidR="00962A95">
        <w:t>na </w:t>
      </w:r>
      <w:r w:rsidR="00B31618" w:rsidRPr="00D26A35">
        <w:t xml:space="preserve">webu MZe. </w:t>
      </w:r>
      <w:bookmarkStart w:id="3" w:name="_Toc459133203"/>
      <w:bookmarkStart w:id="4" w:name="_Toc963456"/>
    </w:p>
    <w:p w14:paraId="7532F2A5" w14:textId="77777777" w:rsidR="0001447A" w:rsidRDefault="0001447A" w:rsidP="00694162">
      <w:pPr>
        <w:pStyle w:val="NORMLN0"/>
        <w:ind w:firstLine="0"/>
      </w:pPr>
    </w:p>
    <w:p w14:paraId="3E9387BF" w14:textId="77777777" w:rsidR="002C657D" w:rsidRPr="00694162" w:rsidRDefault="002C657D">
      <w:pPr>
        <w:pStyle w:val="Nadpis2"/>
        <w:rPr>
          <w:rFonts w:eastAsia="Calibri"/>
        </w:rPr>
      </w:pPr>
      <w:bookmarkStart w:id="5" w:name="_Toc34210365"/>
      <w:r w:rsidRPr="00694162">
        <w:rPr>
          <w:rFonts w:eastAsia="Calibri"/>
        </w:rPr>
        <w:t>Terminologie a použité zkratky</w:t>
      </w:r>
      <w:bookmarkEnd w:id="3"/>
      <w:bookmarkEnd w:id="4"/>
      <w:bookmarkEnd w:id="5"/>
    </w:p>
    <w:p w14:paraId="3CCB8221" w14:textId="77777777" w:rsidR="002C657D" w:rsidRPr="004958C5" w:rsidRDefault="002C657D">
      <w:pPr>
        <w:pStyle w:val="Nadpis3"/>
        <w:rPr>
          <w:noProof/>
        </w:rPr>
      </w:pPr>
      <w:bookmarkStart w:id="6" w:name="_Toc459133204"/>
      <w:bookmarkStart w:id="7" w:name="_Toc963457"/>
      <w:bookmarkStart w:id="8" w:name="_Toc34210366"/>
      <w:r w:rsidRPr="004958C5">
        <w:rPr>
          <w:noProof/>
        </w:rPr>
        <w:t>Terminologie</w:t>
      </w:r>
      <w:bookmarkEnd w:id="6"/>
      <w:bookmarkEnd w:id="7"/>
      <w:bookmarkEnd w:id="8"/>
    </w:p>
    <w:p w14:paraId="664BFA5C" w14:textId="6EAA41F1" w:rsidR="002C657D" w:rsidRDefault="002C657D" w:rsidP="002C657D">
      <w:pPr>
        <w:pStyle w:val="NORMLN0"/>
        <w:ind w:firstLine="0"/>
      </w:pPr>
      <w:r w:rsidRPr="009A6A49">
        <w:rPr>
          <w:b/>
          <w:i/>
        </w:rPr>
        <w:t>Anomálie</w:t>
      </w:r>
      <w:r>
        <w:t xml:space="preserve"> - údaj, vztah, stav, který se významně odlišuje od střední neb</w:t>
      </w:r>
      <w:r w:rsidR="00962A95">
        <w:t>o </w:t>
      </w:r>
      <w:r>
        <w:t xml:space="preserve">očekávané hodnoty, stavu, vztahu, případně signalizuje porušení platné legislativy a zamezuje plnění </w:t>
      </w:r>
      <w:r w:rsidRPr="00AC1DA3">
        <w:rPr>
          <w:rStyle w:val="normlntextvodstavcchChar"/>
        </w:rPr>
        <w:t>cílů regulace</w:t>
      </w:r>
      <w:r>
        <w:t>.</w:t>
      </w:r>
    </w:p>
    <w:p w14:paraId="0BD09B7A" w14:textId="77777777" w:rsidR="002C657D" w:rsidRDefault="002C657D" w:rsidP="002C657D">
      <w:pPr>
        <w:pStyle w:val="NORMLN0"/>
        <w:ind w:firstLine="0"/>
      </w:pPr>
    </w:p>
    <w:p w14:paraId="5CE95B0E" w14:textId="44AFB077" w:rsidR="002C657D" w:rsidRDefault="002C657D" w:rsidP="002C657D">
      <w:pPr>
        <w:pStyle w:val="NORMLN0"/>
        <w:ind w:firstLine="0"/>
      </w:pPr>
      <w:r w:rsidRPr="009A6A49">
        <w:rPr>
          <w:b/>
          <w:i/>
        </w:rPr>
        <w:t>Benchmarking</w:t>
      </w:r>
      <w:r>
        <w:t xml:space="preserve"> - systematický proces </w:t>
      </w:r>
      <w:r w:rsidR="00962A95">
        <w:t>pro </w:t>
      </w:r>
      <w:r>
        <w:t xml:space="preserve">identifikaci, obeznámení se a přijetí úspěšných nástrojů, metod a postupů řízení </w:t>
      </w:r>
      <w:r w:rsidR="00962A95">
        <w:t>pro </w:t>
      </w:r>
      <w:r>
        <w:t xml:space="preserve">srovnávané subjekty. Typicky se jedná </w:t>
      </w:r>
      <w:r w:rsidR="00962A95">
        <w:t>o </w:t>
      </w:r>
      <w:r>
        <w:t>souvislý neb</w:t>
      </w:r>
      <w:r w:rsidR="00962A95">
        <w:t>o </w:t>
      </w:r>
      <w:r>
        <w:t>opakující se proces, hlavním cílem benchmarkingu je zlepšení činnosti zúčastněných srovnávaných subjektů.</w:t>
      </w:r>
    </w:p>
    <w:p w14:paraId="7F5709B7" w14:textId="77777777" w:rsidR="002C657D" w:rsidRDefault="002C657D" w:rsidP="002C657D">
      <w:pPr>
        <w:pStyle w:val="NORMLN0"/>
        <w:ind w:firstLine="0"/>
      </w:pPr>
    </w:p>
    <w:p w14:paraId="491CA552" w14:textId="24B72219" w:rsidR="002C657D" w:rsidRDefault="002C657D" w:rsidP="002C657D">
      <w:pPr>
        <w:pStyle w:val="NORMLN0"/>
        <w:ind w:firstLine="0"/>
      </w:pPr>
      <w:r w:rsidRPr="009A6A49">
        <w:rPr>
          <w:b/>
          <w:i/>
        </w:rPr>
        <w:t>Investiční činnost</w:t>
      </w:r>
      <w:r>
        <w:t xml:space="preserve"> - procesy související s ob</w:t>
      </w:r>
      <w:r w:rsidR="00164038">
        <w:t xml:space="preserve">novou a rozvojem </w:t>
      </w:r>
      <w:r>
        <w:t>vodohospodářskéh</w:t>
      </w:r>
      <w:r w:rsidR="00962A95">
        <w:t>o </w:t>
      </w:r>
      <w:r w:rsidR="00164038">
        <w:br/>
      </w:r>
      <w:r>
        <w:t>infrastrukturníh</w:t>
      </w:r>
      <w:r w:rsidR="00962A95">
        <w:t>o </w:t>
      </w:r>
      <w:r>
        <w:t>majetku.</w:t>
      </w:r>
    </w:p>
    <w:p w14:paraId="6AFF0DBB" w14:textId="77777777" w:rsidR="002C657D" w:rsidRDefault="002C657D" w:rsidP="002C657D">
      <w:pPr>
        <w:pStyle w:val="NORMLN0"/>
        <w:ind w:firstLine="0"/>
      </w:pPr>
    </w:p>
    <w:p w14:paraId="55BEC20F" w14:textId="4E4F7FCA" w:rsidR="002C657D" w:rsidRDefault="002C657D" w:rsidP="002C657D">
      <w:pPr>
        <w:pStyle w:val="NORMLN0"/>
        <w:ind w:firstLine="0"/>
      </w:pPr>
      <w:r w:rsidRPr="009A6A49">
        <w:rPr>
          <w:b/>
          <w:i/>
        </w:rPr>
        <w:t>Kalkulace</w:t>
      </w:r>
      <w:r>
        <w:t xml:space="preserve"> - přiřazování nákladů, respekti</w:t>
      </w:r>
      <w:r w:rsidR="00962A95">
        <w:t>ve </w:t>
      </w:r>
      <w:r>
        <w:t xml:space="preserve">zisku </w:t>
      </w:r>
      <w:r w:rsidR="00962A95">
        <w:t>na </w:t>
      </w:r>
      <w:r>
        <w:t>jednu kalkulační jednici (zde m</w:t>
      </w:r>
      <w:r w:rsidRPr="003D64F9">
        <w:rPr>
          <w:vertAlign w:val="superscript"/>
        </w:rPr>
        <w:t>3</w:t>
      </w:r>
      <w:r>
        <w:t>).</w:t>
      </w:r>
    </w:p>
    <w:p w14:paraId="12278E7F" w14:textId="77777777" w:rsidR="002C657D" w:rsidRDefault="002C657D" w:rsidP="002C657D">
      <w:pPr>
        <w:pStyle w:val="NORMLN0"/>
        <w:ind w:firstLine="0"/>
      </w:pPr>
    </w:p>
    <w:p w14:paraId="129257D6" w14:textId="2AF16D28" w:rsidR="002C657D" w:rsidRDefault="002C657D" w:rsidP="002C657D">
      <w:pPr>
        <w:pStyle w:val="NORMLN0"/>
        <w:ind w:firstLine="0"/>
      </w:pPr>
      <w:r w:rsidRPr="009A6A49">
        <w:rPr>
          <w:b/>
          <w:i/>
        </w:rPr>
        <w:t>Kalkulační položka</w:t>
      </w:r>
      <w:r>
        <w:t xml:space="preserve"> - část kalkulace sdružující podobné druhy nákladů, respekti</w:t>
      </w:r>
      <w:r w:rsidR="00962A95">
        <w:t>ve </w:t>
      </w:r>
      <w:r>
        <w:t>zis</w:t>
      </w:r>
      <w:r w:rsidR="00962A95">
        <w:t>k </w:t>
      </w:r>
      <w:r>
        <w:t xml:space="preserve">(zde položka </w:t>
      </w:r>
      <w:r w:rsidR="00962A95">
        <w:t>v </w:t>
      </w:r>
      <w:r>
        <w:t>cenové kalkulaci vodnéh</w:t>
      </w:r>
      <w:r w:rsidR="00962A95">
        <w:t>o </w:t>
      </w:r>
      <w:r>
        <w:t>neb</w:t>
      </w:r>
      <w:r w:rsidR="00962A95">
        <w:t>o </w:t>
      </w:r>
      <w:r>
        <w:t xml:space="preserve">stočného, dle přílohy č. 19 </w:t>
      </w:r>
      <w:r w:rsidR="00962A95">
        <w:t>k </w:t>
      </w:r>
      <w:r>
        <w:t>vyhlášce č. 428/2001 Sb.).</w:t>
      </w:r>
    </w:p>
    <w:p w14:paraId="13405AFA" w14:textId="77777777" w:rsidR="002C657D" w:rsidRDefault="002C657D" w:rsidP="002C657D">
      <w:pPr>
        <w:pStyle w:val="NORMLN0"/>
        <w:ind w:firstLine="0"/>
      </w:pPr>
    </w:p>
    <w:p w14:paraId="26EEDF12" w14:textId="53D77ED4" w:rsidR="002C657D" w:rsidRDefault="002C657D" w:rsidP="002C657D">
      <w:pPr>
        <w:pStyle w:val="NORMLN0"/>
        <w:ind w:firstLine="0"/>
      </w:pPr>
      <w:r w:rsidRPr="009A6A49">
        <w:rPr>
          <w:b/>
          <w:i/>
        </w:rPr>
        <w:t>Kombinovaný model provozování</w:t>
      </w:r>
      <w:r>
        <w:t xml:space="preserve"> - jeden </w:t>
      </w:r>
      <w:r w:rsidR="00962A95">
        <w:t>z </w:t>
      </w:r>
      <w:r>
        <w:t>vlastníků vodohospodářskéh</w:t>
      </w:r>
      <w:r w:rsidR="00962A95">
        <w:t>o</w:t>
      </w:r>
      <w:r w:rsidR="00164038">
        <w:br/>
      </w:r>
      <w:r w:rsidR="00962A95">
        <w:t> </w:t>
      </w:r>
      <w:r>
        <w:t>infrastrukturníh</w:t>
      </w:r>
      <w:r w:rsidR="00962A95">
        <w:t>o </w:t>
      </w:r>
      <w:r>
        <w:t>majetku je jeh</w:t>
      </w:r>
      <w:r w:rsidR="00962A95">
        <w:t>o </w:t>
      </w:r>
      <w:r>
        <w:t>provozovatelem, který provozuje infrastrukturní majete</w:t>
      </w:r>
      <w:r w:rsidR="00962A95">
        <w:t>k na </w:t>
      </w:r>
      <w:r>
        <w:t>základě dlouhodobé smlouvy.</w:t>
      </w:r>
    </w:p>
    <w:p w14:paraId="34F07C7F" w14:textId="77777777" w:rsidR="002C657D" w:rsidRDefault="002C657D" w:rsidP="002C657D">
      <w:pPr>
        <w:pStyle w:val="NORMLN0"/>
        <w:ind w:firstLine="0"/>
      </w:pPr>
    </w:p>
    <w:p w14:paraId="08E4EE81" w14:textId="207DFC16" w:rsidR="002C657D" w:rsidRDefault="002C657D" w:rsidP="002C657D">
      <w:pPr>
        <w:pStyle w:val="NORMLN0"/>
        <w:ind w:firstLine="0"/>
      </w:pPr>
      <w:r w:rsidRPr="009A6A49">
        <w:rPr>
          <w:b/>
          <w:i/>
        </w:rPr>
        <w:t>Obnova vodohospodářské infrastruktury</w:t>
      </w:r>
      <w:r>
        <w:t xml:space="preserve"> - výmě</w:t>
      </w:r>
      <w:r w:rsidR="00962A95">
        <w:t>na </w:t>
      </w:r>
      <w:r>
        <w:t>části vodovodu, úpravny vody, kanalizace neb</w:t>
      </w:r>
      <w:r w:rsidR="00962A95">
        <w:t>o </w:t>
      </w:r>
      <w:r>
        <w:t>čistírny odpadních vod, která je inventárně sledovanou částí majetku vlastníka neb</w:t>
      </w:r>
      <w:r w:rsidR="00962A95">
        <w:t>o </w:t>
      </w:r>
      <w:r>
        <w:t xml:space="preserve">samostatnou položkou uvedenou </w:t>
      </w:r>
      <w:r w:rsidR="00962A95">
        <w:t>ve </w:t>
      </w:r>
      <w:r>
        <w:t xml:space="preserve">vybraných údajích majetkové evidence </w:t>
      </w:r>
      <w:r w:rsidR="00962A95">
        <w:t>za </w:t>
      </w:r>
      <w:r>
        <w:t>účelem prodloužení životnosti stavby a s ní související technologie (dle Záko</w:t>
      </w:r>
      <w:r w:rsidR="00962A95">
        <w:t>na </w:t>
      </w:r>
      <w:r>
        <w:t>č. 274/2001 Sb.).</w:t>
      </w:r>
    </w:p>
    <w:p w14:paraId="519E8096" w14:textId="77777777" w:rsidR="002C657D" w:rsidRDefault="002C657D" w:rsidP="002C657D">
      <w:pPr>
        <w:pStyle w:val="NORMLN0"/>
        <w:ind w:firstLine="0"/>
      </w:pPr>
    </w:p>
    <w:p w14:paraId="48B7DD66" w14:textId="6752F98D" w:rsidR="00D26A35" w:rsidRPr="000C19A9" w:rsidRDefault="00D26A35" w:rsidP="00D26A35">
      <w:r w:rsidRPr="000C19A9">
        <w:rPr>
          <w:b/>
          <w:i/>
        </w:rPr>
        <w:t>Oddílný model provozování vodohospodářskéh</w:t>
      </w:r>
      <w:r w:rsidR="00962A95">
        <w:rPr>
          <w:b/>
          <w:i/>
        </w:rPr>
        <w:t>o </w:t>
      </w:r>
      <w:r w:rsidRPr="000C19A9">
        <w:rPr>
          <w:b/>
          <w:i/>
        </w:rPr>
        <w:t>infrastrukturníh</w:t>
      </w:r>
      <w:r w:rsidR="00962A95">
        <w:rPr>
          <w:b/>
          <w:i/>
        </w:rPr>
        <w:t>o </w:t>
      </w:r>
      <w:r w:rsidRPr="000C19A9">
        <w:rPr>
          <w:b/>
          <w:i/>
        </w:rPr>
        <w:t>majetku</w:t>
      </w:r>
      <w:r w:rsidRPr="000C19A9">
        <w:t xml:space="preserve"> - vlastní</w:t>
      </w:r>
      <w:r w:rsidR="00962A95">
        <w:t>k </w:t>
      </w:r>
      <w:r w:rsidRPr="000C19A9">
        <w:t>vodohospodářské infrastruktury uzavírá dlouhodobou smlouvu s provozovatelem zabezpečující provozování vodohospodářské infrastruktury.</w:t>
      </w:r>
      <w:r w:rsidR="00371EFB">
        <w:t xml:space="preserve"> </w:t>
      </w:r>
      <w:r>
        <w:t>Pokud je p</w:t>
      </w:r>
      <w:r w:rsidRPr="000C19A9">
        <w:t>říjemce</w:t>
      </w:r>
      <w:r>
        <w:t>m</w:t>
      </w:r>
      <w:r w:rsidRPr="000C19A9">
        <w:t xml:space="preserve"> vodnéh</w:t>
      </w:r>
      <w:r w:rsidR="00962A95">
        <w:t>o </w:t>
      </w:r>
      <w:r w:rsidRPr="000C19A9">
        <w:t>neb</w:t>
      </w:r>
      <w:r w:rsidR="00962A95">
        <w:t>o </w:t>
      </w:r>
      <w:r w:rsidRPr="000C19A9">
        <w:t>stočnéh</w:t>
      </w:r>
      <w:r w:rsidR="00962A95">
        <w:t>o </w:t>
      </w:r>
      <w:r w:rsidRPr="000C19A9">
        <w:t>provozovatel (koncesní smlouva)</w:t>
      </w:r>
      <w:r>
        <w:t xml:space="preserve">, jedná se </w:t>
      </w:r>
      <w:r w:rsidR="00B635E2">
        <w:t xml:space="preserve">o </w:t>
      </w:r>
      <w:r w:rsidRPr="008810B3">
        <w:rPr>
          <w:b/>
          <w:i/>
        </w:rPr>
        <w:t>čistě oddílný model provozování.</w:t>
      </w:r>
      <w:r>
        <w:t xml:space="preserve"> Pokud je příjemcem vodnéh</w:t>
      </w:r>
      <w:r w:rsidR="00962A95">
        <w:t>o </w:t>
      </w:r>
      <w:r>
        <w:t>neb</w:t>
      </w:r>
      <w:r w:rsidR="00962A95">
        <w:t>o </w:t>
      </w:r>
      <w:r>
        <w:t>stočnéh</w:t>
      </w:r>
      <w:r w:rsidR="00962A95">
        <w:t>o </w:t>
      </w:r>
      <w:r w:rsidRPr="000C19A9">
        <w:t>vlastní</w:t>
      </w:r>
      <w:r w:rsidR="00962A95">
        <w:t>k </w:t>
      </w:r>
      <w:r w:rsidRPr="000C19A9">
        <w:t>(servisní smlouva)</w:t>
      </w:r>
      <w:r>
        <w:t>,</w:t>
      </w:r>
      <w:r w:rsidRPr="000C19A9">
        <w:t xml:space="preserve"> </w:t>
      </w:r>
      <w:r>
        <w:t xml:space="preserve">jedná se </w:t>
      </w:r>
      <w:r w:rsidR="00962A95">
        <w:t>o </w:t>
      </w:r>
      <w:r>
        <w:t xml:space="preserve">model </w:t>
      </w:r>
      <w:r w:rsidRPr="008810B3">
        <w:rPr>
          <w:b/>
          <w:i/>
        </w:rPr>
        <w:t>oddílný se servisní smlouvou</w:t>
      </w:r>
      <w:r>
        <w:t>.</w:t>
      </w:r>
      <w:r w:rsidRPr="000C19A9">
        <w:t xml:space="preserve"> </w:t>
      </w:r>
      <w:r>
        <w:t>Oba dva druhy mohou zahrnovat model vlastnický, kde je vlastní</w:t>
      </w:r>
      <w:r w:rsidR="00962A95">
        <w:t>k </w:t>
      </w:r>
      <w:r>
        <w:t>VIM zároveň vlastníkem provozovatelské společnosti.</w:t>
      </w:r>
    </w:p>
    <w:p w14:paraId="50B562E7" w14:textId="77777777" w:rsidR="002C657D" w:rsidRDefault="002C657D" w:rsidP="002C657D">
      <w:pPr>
        <w:pStyle w:val="NORMLN0"/>
        <w:ind w:firstLine="0"/>
      </w:pPr>
    </w:p>
    <w:p w14:paraId="59A01162" w14:textId="3F5BDD12" w:rsidR="002C657D" w:rsidRDefault="002C657D" w:rsidP="002C657D">
      <w:pPr>
        <w:pStyle w:val="NORMLN0"/>
        <w:ind w:firstLine="0"/>
      </w:pPr>
      <w:r w:rsidRPr="009A6A49">
        <w:rPr>
          <w:b/>
          <w:i/>
        </w:rPr>
        <w:t>Orientační ukazatele</w:t>
      </w:r>
      <w:r>
        <w:t xml:space="preserve"> - ukazatele výpočtu pořizovací (aktualizované) ceny objektů d</w:t>
      </w:r>
      <w:r w:rsidR="00962A95">
        <w:t>o </w:t>
      </w:r>
      <w:r>
        <w:t xml:space="preserve">Vybraných údajů majetkové evidence vodovodů a kanalizací, </w:t>
      </w:r>
      <w:r w:rsidR="00962A95">
        <w:t>pro </w:t>
      </w:r>
      <w:r>
        <w:t>Plány rozvoje vodovodů a kanalizací a </w:t>
      </w:r>
      <w:r w:rsidR="00962A95">
        <w:t>pro </w:t>
      </w:r>
      <w:r>
        <w:t>Plány financování obnovy vodovodů a kanalizací dle Metodickéh</w:t>
      </w:r>
      <w:r w:rsidR="00962A95">
        <w:t>o </w:t>
      </w:r>
      <w:r>
        <w:t>pokynu Ministerstva zemědělství čj.: 401/2010-15000</w:t>
      </w:r>
    </w:p>
    <w:p w14:paraId="6CC7B1CB" w14:textId="77777777" w:rsidR="002C657D" w:rsidRDefault="002C657D" w:rsidP="002C657D">
      <w:pPr>
        <w:pStyle w:val="NORMLN0"/>
        <w:ind w:firstLine="0"/>
      </w:pPr>
    </w:p>
    <w:p w14:paraId="43FCA6BE" w14:textId="5E0E2E6B" w:rsidR="002C657D" w:rsidRDefault="002C657D" w:rsidP="002C657D">
      <w:pPr>
        <w:pStyle w:val="NORMLN0"/>
        <w:ind w:firstLine="0"/>
      </w:pPr>
      <w:r w:rsidRPr="009A6A49">
        <w:rPr>
          <w:b/>
          <w:i/>
        </w:rPr>
        <w:t>Plán financování obnovy vodohospodářské infrastruktury</w:t>
      </w:r>
      <w:r>
        <w:t xml:space="preserve"> - výkaz, jehož obsahem je vymezení infrastrukturníh</w:t>
      </w:r>
      <w:r w:rsidR="00962A95">
        <w:t>o </w:t>
      </w:r>
      <w:r>
        <w:t xml:space="preserve">majetku </w:t>
      </w:r>
      <w:r w:rsidR="00962A95">
        <w:t>v </w:t>
      </w:r>
      <w:r>
        <w:t xml:space="preserve">členění podle vybraných údajů majetkové evidence s reprodukční pořizovací cenou, vyhodnocení stavu majetku vyjádřené </w:t>
      </w:r>
      <w:r w:rsidR="00962A95">
        <w:t>v </w:t>
      </w:r>
      <w:r>
        <w:t xml:space="preserve">% opotřebení, výpočet teoretické doby akumulace finančních prostředků, roční potřeba finančních prostředků a její krytí a doklady </w:t>
      </w:r>
      <w:r w:rsidR="00962A95">
        <w:t>o </w:t>
      </w:r>
      <w:r>
        <w:t>čerpání vytvořených finančních prostředků včetně faktur neb</w:t>
      </w:r>
      <w:r w:rsidR="00962A95">
        <w:t>o </w:t>
      </w:r>
      <w:r>
        <w:t xml:space="preserve">jejich kopií. Zpracování se provádí podle přílohy č. 18 </w:t>
      </w:r>
      <w:r w:rsidR="00962A95">
        <w:t>k </w:t>
      </w:r>
      <w:r>
        <w:t>vyhlášce č. 428/2001 Sb. Každá provedená aktualizace je součástí původníh</w:t>
      </w:r>
      <w:r w:rsidR="00962A95">
        <w:t>o </w:t>
      </w:r>
      <w:r>
        <w:t>plánu financování obnovy vodovodů neb</w:t>
      </w:r>
      <w:r w:rsidR="00962A95">
        <w:t>o </w:t>
      </w:r>
      <w:r>
        <w:t>kanalizací.</w:t>
      </w:r>
    </w:p>
    <w:p w14:paraId="4E959360" w14:textId="77777777" w:rsidR="002C657D" w:rsidRDefault="002C657D" w:rsidP="002C657D">
      <w:pPr>
        <w:pStyle w:val="NORMLN0"/>
        <w:ind w:firstLine="0"/>
      </w:pPr>
    </w:p>
    <w:p w14:paraId="5B43A73C" w14:textId="28B685B3" w:rsidR="002C657D" w:rsidRDefault="002C657D" w:rsidP="002C657D">
      <w:pPr>
        <w:pStyle w:val="NORMLN0"/>
        <w:ind w:firstLine="0"/>
      </w:pPr>
      <w:r w:rsidRPr="009A6A49">
        <w:rPr>
          <w:b/>
          <w:i/>
        </w:rPr>
        <w:t>Porovnání</w:t>
      </w:r>
      <w:r>
        <w:t xml:space="preserve">  </w:t>
      </w:r>
      <w:r w:rsidR="00A50EF3">
        <w:t xml:space="preserve">- </w:t>
      </w:r>
      <w:r w:rsidR="00B635E2">
        <w:t xml:space="preserve">Porovnání všech položek výpočtu (kalkulace) cen pro vodné a stočné za kalendářní rok a dosažené skutečnosti v témže roce, tj. výkaz, který zpracovává příjemce vodného nebo stočného </w:t>
      </w:r>
      <w:r>
        <w:t xml:space="preserve">podle přílohy č. 20 </w:t>
      </w:r>
      <w:r w:rsidR="00962A95">
        <w:t>k </w:t>
      </w:r>
      <w:r>
        <w:t>vyhlášce č. 428/2001 Sb.</w:t>
      </w:r>
      <w:r w:rsidR="00B635E2">
        <w:t xml:space="preserve"> a zasílá </w:t>
      </w:r>
      <w:r w:rsidR="00C6047D">
        <w:t xml:space="preserve">do 30. 4. následujícího kalendářního roku MZe. </w:t>
      </w:r>
      <w:r>
        <w:t xml:space="preserve"> </w:t>
      </w:r>
    </w:p>
    <w:p w14:paraId="4D738F13" w14:textId="77777777" w:rsidR="002C657D" w:rsidRDefault="002C657D" w:rsidP="002C657D">
      <w:pPr>
        <w:pStyle w:val="NORMLN0"/>
        <w:ind w:firstLine="0"/>
      </w:pPr>
    </w:p>
    <w:p w14:paraId="6544A36B" w14:textId="0842E057" w:rsidR="002C657D" w:rsidRDefault="002C657D" w:rsidP="002C657D">
      <w:pPr>
        <w:pStyle w:val="NORMLN0"/>
        <w:ind w:firstLine="0"/>
      </w:pPr>
      <w:r w:rsidRPr="009A6A49">
        <w:rPr>
          <w:b/>
          <w:i/>
        </w:rPr>
        <w:lastRenderedPageBreak/>
        <w:t>Samofinancovatelnost vodohospodářské infrastruktury</w:t>
      </w:r>
      <w:r>
        <w:t xml:space="preserve"> - stav, kdy výnosy </w:t>
      </w:r>
      <w:r w:rsidR="00962A95">
        <w:t>z </w:t>
      </w:r>
      <w:r>
        <w:t>výběru vodnéh</w:t>
      </w:r>
      <w:r w:rsidR="00962A95">
        <w:t>o </w:t>
      </w:r>
      <w:r>
        <w:t>a stočnéh</w:t>
      </w:r>
      <w:r w:rsidR="00962A95">
        <w:t>o </w:t>
      </w:r>
      <w:r>
        <w:t xml:space="preserve">pokrývají veškeré náklady, resp. výdaje </w:t>
      </w:r>
      <w:r w:rsidR="00962A95">
        <w:t>na </w:t>
      </w:r>
      <w:r>
        <w:t>jeh</w:t>
      </w:r>
      <w:r w:rsidR="00962A95">
        <w:t>o </w:t>
      </w:r>
      <w:r>
        <w:t>provoz, obnovu a rozvoj.</w:t>
      </w:r>
    </w:p>
    <w:p w14:paraId="153E1FB5" w14:textId="77777777" w:rsidR="0001447A" w:rsidRDefault="0001447A" w:rsidP="002C657D">
      <w:pPr>
        <w:pStyle w:val="NORMLN0"/>
        <w:ind w:firstLine="0"/>
      </w:pPr>
    </w:p>
    <w:p w14:paraId="0B532272" w14:textId="2FA44450" w:rsidR="002C657D" w:rsidRDefault="002C657D" w:rsidP="002C657D">
      <w:pPr>
        <w:pStyle w:val="NORMLN0"/>
        <w:ind w:firstLine="0"/>
      </w:pPr>
      <w:r w:rsidRPr="009A6A49">
        <w:rPr>
          <w:b/>
          <w:i/>
        </w:rPr>
        <w:t>Smíšený model provozování vodohospodářskéh</w:t>
      </w:r>
      <w:r w:rsidR="00962A95">
        <w:rPr>
          <w:b/>
          <w:i/>
        </w:rPr>
        <w:t>o </w:t>
      </w:r>
      <w:r w:rsidRPr="009A6A49">
        <w:rPr>
          <w:b/>
          <w:i/>
        </w:rPr>
        <w:t>infrastrukturníh</w:t>
      </w:r>
      <w:r w:rsidR="00962A95">
        <w:rPr>
          <w:b/>
          <w:i/>
        </w:rPr>
        <w:t>o </w:t>
      </w:r>
      <w:r w:rsidRPr="009A6A49">
        <w:rPr>
          <w:b/>
          <w:i/>
        </w:rPr>
        <w:t>majetku</w:t>
      </w:r>
      <w:r>
        <w:t xml:space="preserve"> - vlastní</w:t>
      </w:r>
      <w:r w:rsidR="00962A95">
        <w:t>k </w:t>
      </w:r>
      <w:r>
        <w:t>vodohospodářské infrastruktury vloží infrastrukturní majete</w:t>
      </w:r>
      <w:r w:rsidR="00962A95">
        <w:t>k </w:t>
      </w:r>
      <w:r>
        <w:t>d</w:t>
      </w:r>
      <w:r w:rsidR="00962A95">
        <w:t>o </w:t>
      </w:r>
      <w:r>
        <w:t>obchodní společnosti, která jej poté vlastní i provozuje, vlastní</w:t>
      </w:r>
      <w:r w:rsidR="00962A95">
        <w:t>k </w:t>
      </w:r>
      <w:r>
        <w:t xml:space="preserve">má </w:t>
      </w:r>
      <w:r w:rsidR="00962A95">
        <w:t>v </w:t>
      </w:r>
      <w:r>
        <w:t>provozovateli majetkový podíl. Formou smíšenéh</w:t>
      </w:r>
      <w:r w:rsidR="00962A95">
        <w:t>o </w:t>
      </w:r>
      <w:r>
        <w:t xml:space="preserve">modelu je také samoprovozování </w:t>
      </w:r>
      <w:r w:rsidR="00962A95">
        <w:t>v </w:t>
      </w:r>
      <w:r>
        <w:t xml:space="preserve">případě obcí. </w:t>
      </w:r>
      <w:r w:rsidR="00962A95">
        <w:t>Pro </w:t>
      </w:r>
      <w:r>
        <w:t>účely tét</w:t>
      </w:r>
      <w:r w:rsidR="00962A95">
        <w:t>o </w:t>
      </w:r>
      <w:r>
        <w:t>analýzy se oba tyt</w:t>
      </w:r>
      <w:r w:rsidR="00962A95">
        <w:t>o </w:t>
      </w:r>
      <w:r>
        <w:t>modely označují jak</w:t>
      </w:r>
      <w:r w:rsidR="00962A95">
        <w:t>o </w:t>
      </w:r>
      <w:r>
        <w:t>smíšené.</w:t>
      </w:r>
    </w:p>
    <w:p w14:paraId="0F5D3207" w14:textId="77777777" w:rsidR="002C657D" w:rsidRDefault="002C657D" w:rsidP="002C657D">
      <w:pPr>
        <w:pStyle w:val="NORMLN0"/>
        <w:ind w:firstLine="0"/>
      </w:pPr>
    </w:p>
    <w:p w14:paraId="0554FC61" w14:textId="7E6AEC7B" w:rsidR="002C657D" w:rsidRDefault="002C657D" w:rsidP="002C657D">
      <w:pPr>
        <w:pStyle w:val="NORMLN0"/>
        <w:ind w:firstLine="0"/>
      </w:pPr>
      <w:r w:rsidRPr="009A6A49">
        <w:rPr>
          <w:b/>
          <w:i/>
        </w:rPr>
        <w:t>SWOT analý</w:t>
      </w:r>
      <w:r w:rsidR="00962A95">
        <w:rPr>
          <w:b/>
          <w:i/>
        </w:rPr>
        <w:t>za </w:t>
      </w:r>
      <w:r>
        <w:t xml:space="preserve">- metoda, kterou identifikujeme silné (Strengths) a slabé (Weaknesses) stránky, příležitosti (Opportunities) a hrozby (Threats) spojené s určitým projektem, typem podnikání (zde s použitím metody benchmarkingu </w:t>
      </w:r>
      <w:r w:rsidR="00962A95">
        <w:t>pro </w:t>
      </w:r>
      <w:r>
        <w:t>hodnocení hospodářských subjektů).</w:t>
      </w:r>
    </w:p>
    <w:p w14:paraId="2862D3CE" w14:textId="77777777" w:rsidR="002C657D" w:rsidRDefault="002C657D" w:rsidP="002C657D">
      <w:pPr>
        <w:pStyle w:val="NORMLN0"/>
        <w:ind w:firstLine="0"/>
      </w:pPr>
    </w:p>
    <w:p w14:paraId="72645302" w14:textId="1DFF44E8" w:rsidR="002C657D" w:rsidRDefault="002C657D" w:rsidP="002C657D">
      <w:pPr>
        <w:pStyle w:val="NORMLN0"/>
        <w:ind w:firstLine="0"/>
      </w:pPr>
      <w:r w:rsidRPr="009A6A49">
        <w:rPr>
          <w:b/>
          <w:i/>
        </w:rPr>
        <w:t>Vlastní</w:t>
      </w:r>
      <w:r w:rsidR="00962A95">
        <w:rPr>
          <w:b/>
          <w:i/>
        </w:rPr>
        <w:t>k </w:t>
      </w:r>
      <w:r>
        <w:t>- chápán jak</w:t>
      </w:r>
      <w:r w:rsidR="00962A95">
        <w:t>o </w:t>
      </w:r>
      <w:r>
        <w:t>majitel vodohospodářskéh</w:t>
      </w:r>
      <w:r w:rsidR="00962A95">
        <w:t>o </w:t>
      </w:r>
      <w:r>
        <w:t>infrastrukturníh</w:t>
      </w:r>
      <w:r w:rsidR="00962A95">
        <w:t>o </w:t>
      </w:r>
      <w:r>
        <w:t>majetku</w:t>
      </w:r>
    </w:p>
    <w:p w14:paraId="0DD17761" w14:textId="77777777" w:rsidR="002C657D" w:rsidRDefault="002C657D" w:rsidP="002C657D">
      <w:pPr>
        <w:pStyle w:val="NORMLN0"/>
        <w:ind w:firstLine="0"/>
      </w:pPr>
    </w:p>
    <w:p w14:paraId="37DD7D42" w14:textId="47BACBBE" w:rsidR="002C657D" w:rsidRDefault="002C657D" w:rsidP="002C657D">
      <w:pPr>
        <w:pStyle w:val="NORMLN0"/>
        <w:ind w:firstLine="0"/>
      </w:pPr>
      <w:r w:rsidRPr="009A6A49">
        <w:rPr>
          <w:b/>
          <w:i/>
        </w:rPr>
        <w:t>Vlastnický model provozování</w:t>
      </w:r>
      <w:r>
        <w:t xml:space="preserve"> - podskupi</w:t>
      </w:r>
      <w:r w:rsidR="00962A95">
        <w:t>na </w:t>
      </w:r>
      <w:r>
        <w:t>oddílnéh</w:t>
      </w:r>
      <w:r w:rsidR="00962A95">
        <w:t>o </w:t>
      </w:r>
      <w:r>
        <w:t>modelu provozování - vlastní</w:t>
      </w:r>
      <w:r w:rsidR="00962A95">
        <w:t>k </w:t>
      </w:r>
      <w:r>
        <w:t xml:space="preserve">vodohospodářské infrastruktury uzavírá dlouhodobou smlouvu </w:t>
      </w:r>
      <w:r w:rsidR="00962A95">
        <w:t>o </w:t>
      </w:r>
      <w:r>
        <w:t xml:space="preserve">provozování vodohospodářské infrastruktury s provozovatelem, </w:t>
      </w:r>
      <w:r w:rsidR="00962A95">
        <w:t>ve </w:t>
      </w:r>
      <w:r>
        <w:t>kterém má vlastnický podíl. Provozování VIM se zadává formou in-house veřejnéh</w:t>
      </w:r>
      <w:r w:rsidR="00962A95">
        <w:t>o </w:t>
      </w:r>
      <w:r>
        <w:t>zadávání.</w:t>
      </w:r>
    </w:p>
    <w:p w14:paraId="471B2F95" w14:textId="77777777" w:rsidR="002C657D" w:rsidRDefault="002C657D" w:rsidP="002C657D">
      <w:pPr>
        <w:pStyle w:val="NORMLN0"/>
        <w:ind w:firstLine="0"/>
      </w:pPr>
    </w:p>
    <w:p w14:paraId="78FD4277" w14:textId="6819AB7B" w:rsidR="002C657D" w:rsidRDefault="002C657D" w:rsidP="002C657D">
      <w:pPr>
        <w:pStyle w:val="NORMLN0"/>
        <w:ind w:firstLine="0"/>
      </w:pPr>
      <w:r>
        <w:rPr>
          <w:b/>
          <w:i/>
        </w:rPr>
        <w:t xml:space="preserve">Vyhláška č. 428/2001 Sb. - </w:t>
      </w:r>
      <w:r>
        <w:t xml:space="preserve">vyhláška č. 428/2001 Sb. Ministerstva zemědělství </w:t>
      </w:r>
      <w:r w:rsidR="00962A95">
        <w:t>ze </w:t>
      </w:r>
      <w:r>
        <w:t xml:space="preserve">dne 16. listopadu 2001, kterou se provádí zákon č. 274/2001 Sb., </w:t>
      </w:r>
      <w:r w:rsidR="00962A95">
        <w:t>o </w:t>
      </w:r>
      <w:r>
        <w:t xml:space="preserve">vodovodech a kanalizacích </w:t>
      </w:r>
      <w:r w:rsidR="00962A95">
        <w:t>pro </w:t>
      </w:r>
      <w:r>
        <w:t>veřejnou potřebu a </w:t>
      </w:r>
      <w:r w:rsidR="00962A95">
        <w:t>o </w:t>
      </w:r>
      <w:r>
        <w:t xml:space="preserve">změně některých zákonů, (zákon </w:t>
      </w:r>
      <w:r w:rsidR="00962A95">
        <w:t>o </w:t>
      </w:r>
      <w:r>
        <w:t>vodovodech a kanalizacích).</w:t>
      </w:r>
    </w:p>
    <w:p w14:paraId="26EBB92E" w14:textId="77777777" w:rsidR="002C657D" w:rsidRPr="00C62639" w:rsidRDefault="002C657D" w:rsidP="002C657D">
      <w:pPr>
        <w:pStyle w:val="Normlnzprva"/>
        <w:ind w:firstLine="0"/>
        <w:rPr>
          <w:rFonts w:asciiTheme="minorHAnsi" w:hAnsiTheme="minorHAnsi"/>
          <w:noProof/>
        </w:rPr>
      </w:pPr>
    </w:p>
    <w:p w14:paraId="3C2BED8E" w14:textId="77777777" w:rsidR="002C657D" w:rsidRPr="00C62639" w:rsidRDefault="002C657D" w:rsidP="005D772D">
      <w:pPr>
        <w:pStyle w:val="Nadpis3"/>
        <w:rPr>
          <w:noProof/>
        </w:rPr>
      </w:pPr>
      <w:bookmarkStart w:id="9" w:name="_Toc459133205"/>
      <w:r w:rsidRPr="00C62639">
        <w:rPr>
          <w:noProof/>
        </w:rPr>
        <w:t xml:space="preserve"> </w:t>
      </w:r>
      <w:bookmarkStart w:id="10" w:name="_Toc963458"/>
      <w:bookmarkStart w:id="11" w:name="_Toc34210367"/>
      <w:r w:rsidRPr="00C62639">
        <w:rPr>
          <w:noProof/>
        </w:rPr>
        <w:t>Použité zkratky</w:t>
      </w:r>
      <w:bookmarkEnd w:id="9"/>
      <w:bookmarkEnd w:id="10"/>
      <w:bookmarkEnd w:id="11"/>
    </w:p>
    <w:p w14:paraId="7C45443D" w14:textId="5CD5A302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M</w:t>
      </w:r>
      <w:r w:rsidR="00962A95">
        <w:rPr>
          <w:rFonts w:asciiTheme="minorHAnsi" w:eastAsia="Times New Roman" w:hAnsiTheme="minorHAnsi"/>
          <w:noProof/>
        </w:rPr>
        <w:t>Ze</w:t>
      </w:r>
      <w:r w:rsidR="00147EAF">
        <w:rPr>
          <w:rFonts w:asciiTheme="minorHAnsi" w:eastAsia="Times New Roman" w:hAnsiTheme="minorHAnsi"/>
          <w:noProof/>
        </w:rPr>
        <w:tab/>
      </w:r>
      <w:r w:rsidR="00962A95">
        <w:rPr>
          <w:rFonts w:asciiTheme="minorHAnsi" w:eastAsia="Times New Roman" w:hAnsiTheme="minorHAnsi"/>
          <w:noProof/>
        </w:rPr>
        <w:t> </w:t>
      </w:r>
      <w:r w:rsidRPr="00C62639">
        <w:rPr>
          <w:rFonts w:asciiTheme="minorHAnsi" w:eastAsia="Times New Roman" w:hAnsiTheme="minorHAnsi"/>
          <w:noProof/>
        </w:rPr>
        <w:t xml:space="preserve">- </w:t>
      </w:r>
      <w:r w:rsidRPr="00C62639">
        <w:rPr>
          <w:rFonts w:asciiTheme="minorHAnsi" w:eastAsia="Times New Roman" w:hAnsiTheme="minorHAnsi"/>
          <w:noProof/>
        </w:rPr>
        <w:tab/>
        <w:t>Ministerstv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 xml:space="preserve">zemědělství </w:t>
      </w:r>
    </w:p>
    <w:p w14:paraId="0857C855" w14:textId="4285282D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MF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 xml:space="preserve"> -</w:t>
      </w:r>
      <w:r w:rsidRPr="00C62639">
        <w:rPr>
          <w:rFonts w:asciiTheme="minorHAnsi" w:eastAsia="Times New Roman" w:hAnsiTheme="minorHAnsi"/>
          <w:noProof/>
        </w:rPr>
        <w:tab/>
        <w:t>Ministerstv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financí</w:t>
      </w:r>
    </w:p>
    <w:p w14:paraId="2AAD1536" w14:textId="39320DA1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 xml:space="preserve">MŽP 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>-</w:t>
      </w:r>
      <w:r w:rsidRPr="00C62639">
        <w:rPr>
          <w:rFonts w:asciiTheme="minorHAnsi" w:eastAsia="Times New Roman" w:hAnsiTheme="minorHAnsi"/>
          <w:noProof/>
        </w:rPr>
        <w:tab/>
        <w:t>Ministerstv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životníh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prostředí</w:t>
      </w:r>
    </w:p>
    <w:p w14:paraId="4D137229" w14:textId="09C7C0B8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 xml:space="preserve">VÚME 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>-</w:t>
      </w:r>
      <w:r w:rsidRPr="00C62639">
        <w:rPr>
          <w:rFonts w:asciiTheme="minorHAnsi" w:eastAsia="Times New Roman" w:hAnsiTheme="minorHAnsi"/>
          <w:noProof/>
        </w:rPr>
        <w:tab/>
        <w:t>Vybrané údaje majetkové evidence</w:t>
      </w:r>
    </w:p>
    <w:p w14:paraId="7E0F7BE9" w14:textId="0ADB722D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VÚPE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 xml:space="preserve">- </w:t>
      </w:r>
      <w:r w:rsidRPr="00C62639">
        <w:rPr>
          <w:rFonts w:asciiTheme="minorHAnsi" w:eastAsia="Times New Roman" w:hAnsiTheme="minorHAnsi"/>
          <w:noProof/>
        </w:rPr>
        <w:tab/>
        <w:t>Vybrané údaje provozní evidence</w:t>
      </w:r>
    </w:p>
    <w:p w14:paraId="3311A4DD" w14:textId="7A65C96E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IČPE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 xml:space="preserve">- </w:t>
      </w:r>
      <w:r w:rsidRPr="00C62639">
        <w:rPr>
          <w:rFonts w:asciiTheme="minorHAnsi" w:eastAsia="Times New Roman" w:hAnsiTheme="minorHAnsi"/>
          <w:noProof/>
        </w:rPr>
        <w:tab/>
        <w:t>Identifikační čísl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provozní evidence</w:t>
      </w:r>
    </w:p>
    <w:p w14:paraId="46EE78A5" w14:textId="7EA73155" w:rsidR="002C657D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PF</w:t>
      </w:r>
      <w:r w:rsidR="00962A95">
        <w:rPr>
          <w:rFonts w:asciiTheme="minorHAnsi" w:eastAsia="Times New Roman" w:hAnsiTheme="minorHAnsi"/>
          <w:noProof/>
        </w:rPr>
        <w:t>O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 xml:space="preserve">- </w:t>
      </w:r>
      <w:r w:rsidRPr="00C62639">
        <w:rPr>
          <w:rFonts w:asciiTheme="minorHAnsi" w:eastAsia="Times New Roman" w:hAnsiTheme="minorHAnsi"/>
          <w:noProof/>
        </w:rPr>
        <w:tab/>
        <w:t>Plán financování a obnovy vodohospodářskéh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infrastrukturníh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majetku</w:t>
      </w:r>
    </w:p>
    <w:p w14:paraId="45971AEC" w14:textId="02CFBB7C" w:rsidR="00EB3A59" w:rsidRPr="00C62639" w:rsidRDefault="00EB3A59" w:rsidP="002C657D">
      <w:pPr>
        <w:contextualSpacing w:val="0"/>
        <w:rPr>
          <w:rFonts w:asciiTheme="minorHAnsi" w:eastAsia="Times New Roman" w:hAnsiTheme="minorHAnsi"/>
          <w:noProof/>
        </w:rPr>
      </w:pPr>
      <w:r>
        <w:rPr>
          <w:rFonts w:asciiTheme="minorHAnsi" w:eastAsia="Times New Roman" w:hAnsiTheme="minorHAnsi"/>
          <w:noProof/>
        </w:rPr>
        <w:t>PO</w:t>
      </w:r>
      <w:r w:rsidR="00147EAF">
        <w:rPr>
          <w:rFonts w:asciiTheme="minorHAnsi" w:eastAsia="Times New Roman" w:hAnsiTheme="minorHAnsi"/>
          <w:noProof/>
        </w:rPr>
        <w:tab/>
      </w:r>
      <w:r>
        <w:rPr>
          <w:rFonts w:asciiTheme="minorHAnsi" w:eastAsia="Times New Roman" w:hAnsiTheme="minorHAnsi"/>
          <w:noProof/>
        </w:rPr>
        <w:t>-</w:t>
      </w:r>
      <w:r>
        <w:rPr>
          <w:rFonts w:asciiTheme="minorHAnsi" w:eastAsia="Times New Roman" w:hAnsiTheme="minorHAnsi"/>
          <w:noProof/>
        </w:rPr>
        <w:tab/>
        <w:t>Prostředky obnovy VIM</w:t>
      </w:r>
    </w:p>
    <w:p w14:paraId="50F0A66D" w14:textId="2EB2B47A" w:rsidR="002C657D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OKF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 xml:space="preserve"> -</w:t>
      </w:r>
      <w:r w:rsidRPr="00C62639">
        <w:rPr>
          <w:rFonts w:asciiTheme="minorHAnsi" w:eastAsia="Times New Roman" w:hAnsiTheme="minorHAnsi"/>
          <w:noProof/>
        </w:rPr>
        <w:tab/>
        <w:t>Operační koeficient (výpočet vi</w:t>
      </w:r>
      <w:r w:rsidR="00962A95">
        <w:rPr>
          <w:rFonts w:asciiTheme="minorHAnsi" w:eastAsia="Times New Roman" w:hAnsiTheme="minorHAnsi"/>
          <w:noProof/>
        </w:rPr>
        <w:t>z </w:t>
      </w:r>
      <w:r w:rsidRPr="00C62639">
        <w:rPr>
          <w:rFonts w:asciiTheme="minorHAnsi" w:eastAsia="Times New Roman" w:hAnsiTheme="minorHAnsi"/>
          <w:noProof/>
        </w:rPr>
        <w:t>platná Metodika benchmarkingu)</w:t>
      </w:r>
    </w:p>
    <w:p w14:paraId="3B2D8382" w14:textId="2D55E1EE" w:rsidR="002C657D" w:rsidRPr="004F15DC" w:rsidRDefault="002C657D" w:rsidP="002C657D">
      <w:pPr>
        <w:contextualSpacing w:val="0"/>
        <w:rPr>
          <w:rFonts w:asciiTheme="minorHAnsi" w:hAnsiTheme="minorHAnsi"/>
          <w:noProof/>
        </w:rPr>
      </w:pPr>
      <w:r>
        <w:rPr>
          <w:rFonts w:asciiTheme="minorHAnsi" w:eastAsia="Times New Roman" w:hAnsiTheme="minorHAnsi"/>
          <w:noProof/>
        </w:rPr>
        <w:t>ÚVN</w:t>
      </w:r>
      <w:r w:rsidR="00147EAF">
        <w:rPr>
          <w:rFonts w:asciiTheme="minorHAnsi" w:eastAsia="Times New Roman" w:hAnsiTheme="minorHAnsi"/>
          <w:noProof/>
        </w:rPr>
        <w:tab/>
      </w:r>
      <w:r>
        <w:rPr>
          <w:rFonts w:asciiTheme="minorHAnsi" w:eastAsia="Times New Roman" w:hAnsiTheme="minorHAnsi"/>
          <w:noProof/>
        </w:rPr>
        <w:t xml:space="preserve"> -</w:t>
      </w:r>
      <w:r>
        <w:rPr>
          <w:rFonts w:asciiTheme="minorHAnsi" w:eastAsia="Times New Roman" w:hAnsiTheme="minorHAnsi"/>
          <w:noProof/>
        </w:rPr>
        <w:tab/>
        <w:t xml:space="preserve">Úplné vlastní náklady včetně řádku 4.4 prostředky </w:t>
      </w:r>
      <w:r w:rsidR="00962A95">
        <w:rPr>
          <w:rFonts w:asciiTheme="minorHAnsi" w:eastAsia="Times New Roman" w:hAnsiTheme="minorHAnsi"/>
          <w:noProof/>
        </w:rPr>
        <w:t>na </w:t>
      </w:r>
      <w:r>
        <w:rPr>
          <w:rFonts w:asciiTheme="minorHAnsi" w:eastAsia="Times New Roman" w:hAnsiTheme="minorHAnsi"/>
          <w:noProof/>
        </w:rPr>
        <w:t>obnovu</w:t>
      </w:r>
    </w:p>
    <w:p w14:paraId="5C1AD8E2" w14:textId="20A3C766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VIM</w:t>
      </w:r>
      <w:r w:rsidR="00147EAF">
        <w:rPr>
          <w:rFonts w:asciiTheme="minorHAnsi" w:eastAsia="Times New Roman" w:hAnsiTheme="minorHAnsi"/>
          <w:noProof/>
        </w:rPr>
        <w:tab/>
        <w:t xml:space="preserve"> </w:t>
      </w:r>
      <w:r w:rsidRPr="00C62639">
        <w:rPr>
          <w:rFonts w:asciiTheme="minorHAnsi" w:eastAsia="Times New Roman" w:hAnsiTheme="minorHAnsi"/>
          <w:noProof/>
        </w:rPr>
        <w:t>-</w:t>
      </w:r>
      <w:r w:rsidRPr="00C62639">
        <w:rPr>
          <w:rFonts w:asciiTheme="minorHAnsi" w:eastAsia="Times New Roman" w:hAnsiTheme="minorHAnsi"/>
          <w:noProof/>
        </w:rPr>
        <w:tab/>
        <w:t>Vodohospodářský infrastrukturní majetek</w:t>
      </w:r>
    </w:p>
    <w:p w14:paraId="0CFF3AF5" w14:textId="0D68AE9E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lastRenderedPageBreak/>
        <w:t>ODaR</w:t>
      </w:r>
      <w:r w:rsidR="00962A95">
        <w:rPr>
          <w:rFonts w:asciiTheme="minorHAnsi" w:eastAsia="Times New Roman" w:hAnsiTheme="minorHAnsi"/>
          <w:noProof/>
        </w:rPr>
        <w:t>V </w:t>
      </w:r>
      <w:r w:rsidRPr="00C62639">
        <w:rPr>
          <w:rFonts w:asciiTheme="minorHAnsi" w:eastAsia="Times New Roman" w:hAnsiTheme="minorHAnsi"/>
          <w:noProof/>
        </w:rPr>
        <w:t>-</w:t>
      </w:r>
      <w:r w:rsidRPr="00C62639">
        <w:rPr>
          <w:rFonts w:asciiTheme="minorHAnsi" w:eastAsia="Times New Roman" w:hAnsiTheme="minorHAnsi"/>
          <w:noProof/>
        </w:rPr>
        <w:tab/>
        <w:t xml:space="preserve">Odbor </w:t>
      </w:r>
      <w:r w:rsidR="00962A95">
        <w:rPr>
          <w:rFonts w:asciiTheme="minorHAnsi" w:eastAsia="Times New Roman" w:hAnsiTheme="minorHAnsi"/>
          <w:noProof/>
        </w:rPr>
        <w:t>hlavního regulátora a vrchního dohledu sektoru VaK</w:t>
      </w:r>
    </w:p>
    <w:p w14:paraId="36858F36" w14:textId="6CA8C2CF" w:rsidR="002C657D" w:rsidRPr="00C62639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ZV</w:t>
      </w:r>
      <w:r w:rsidR="00962A95">
        <w:rPr>
          <w:rFonts w:asciiTheme="minorHAnsi" w:eastAsia="Times New Roman" w:hAnsiTheme="minorHAnsi"/>
          <w:noProof/>
        </w:rPr>
        <w:t>K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>-</w:t>
      </w:r>
      <w:r w:rsidRPr="00C62639">
        <w:rPr>
          <w:rFonts w:asciiTheme="minorHAnsi" w:eastAsia="Times New Roman" w:hAnsiTheme="minorHAnsi"/>
          <w:noProof/>
        </w:rPr>
        <w:tab/>
        <w:t xml:space="preserve">Zákon </w:t>
      </w:r>
      <w:r w:rsidR="00962A95">
        <w:rPr>
          <w:rFonts w:asciiTheme="minorHAnsi" w:eastAsia="Times New Roman" w:hAnsiTheme="minorHAnsi"/>
          <w:noProof/>
        </w:rPr>
        <w:t>o </w:t>
      </w:r>
      <w:r w:rsidRPr="00C62639">
        <w:rPr>
          <w:rFonts w:asciiTheme="minorHAnsi" w:eastAsia="Times New Roman" w:hAnsiTheme="minorHAnsi"/>
          <w:noProof/>
        </w:rPr>
        <w:t>vodovodech a kanalizacích č. 274/2001 Sb.</w:t>
      </w:r>
    </w:p>
    <w:p w14:paraId="3CD3EC06" w14:textId="6744E8F7" w:rsidR="002C657D" w:rsidRDefault="002C657D" w:rsidP="002C657D">
      <w:pPr>
        <w:contextualSpacing w:val="0"/>
        <w:rPr>
          <w:rFonts w:asciiTheme="minorHAnsi" w:eastAsia="Times New Roman" w:hAnsiTheme="minorHAnsi"/>
          <w:noProof/>
        </w:rPr>
      </w:pPr>
      <w:r w:rsidRPr="00C62639">
        <w:rPr>
          <w:rFonts w:asciiTheme="minorHAnsi" w:eastAsia="Times New Roman" w:hAnsiTheme="minorHAnsi"/>
          <w:noProof/>
        </w:rPr>
        <w:t>Va</w:t>
      </w:r>
      <w:r w:rsidR="00962A95">
        <w:rPr>
          <w:rFonts w:asciiTheme="minorHAnsi" w:eastAsia="Times New Roman" w:hAnsiTheme="minorHAnsi"/>
          <w:noProof/>
        </w:rPr>
        <w:t>K </w:t>
      </w:r>
      <w:r w:rsidR="00147EAF">
        <w:rPr>
          <w:rFonts w:asciiTheme="minorHAnsi" w:eastAsia="Times New Roman" w:hAnsiTheme="minorHAnsi"/>
          <w:noProof/>
        </w:rPr>
        <w:tab/>
      </w:r>
      <w:r w:rsidRPr="00C62639">
        <w:rPr>
          <w:rFonts w:asciiTheme="minorHAnsi" w:eastAsia="Times New Roman" w:hAnsiTheme="minorHAnsi"/>
          <w:noProof/>
        </w:rPr>
        <w:t>-</w:t>
      </w:r>
      <w:r w:rsidRPr="00C62639">
        <w:rPr>
          <w:rFonts w:asciiTheme="minorHAnsi" w:eastAsia="Times New Roman" w:hAnsiTheme="minorHAnsi"/>
          <w:noProof/>
        </w:rPr>
        <w:tab/>
        <w:t xml:space="preserve">Vodovody a kanalizace </w:t>
      </w:r>
      <w:r w:rsidR="00962A95">
        <w:rPr>
          <w:rFonts w:asciiTheme="minorHAnsi" w:eastAsia="Times New Roman" w:hAnsiTheme="minorHAnsi"/>
          <w:noProof/>
        </w:rPr>
        <w:t>pro </w:t>
      </w:r>
      <w:r w:rsidRPr="00C62639">
        <w:rPr>
          <w:rFonts w:asciiTheme="minorHAnsi" w:eastAsia="Times New Roman" w:hAnsiTheme="minorHAnsi"/>
          <w:noProof/>
        </w:rPr>
        <w:t>veřejnou potřebu</w:t>
      </w:r>
    </w:p>
    <w:p w14:paraId="2912811E" w14:textId="77777777" w:rsidR="007027ED" w:rsidRDefault="007027ED">
      <w:pPr>
        <w:spacing w:before="0" w:after="160" w:line="259" w:lineRule="auto"/>
        <w:contextualSpacing w:val="0"/>
        <w:jc w:val="left"/>
      </w:pPr>
      <w:r>
        <w:br w:type="page"/>
      </w:r>
    </w:p>
    <w:p w14:paraId="45F014B2" w14:textId="02459EC8" w:rsidR="004A07BA" w:rsidRPr="00C62639" w:rsidRDefault="004A07BA" w:rsidP="004A07BA">
      <w:pPr>
        <w:pStyle w:val="Nadpis1"/>
        <w:rPr>
          <w:rFonts w:asciiTheme="minorHAnsi" w:hAnsiTheme="minorHAnsi"/>
          <w:noProof/>
        </w:rPr>
      </w:pPr>
      <w:bookmarkStart w:id="12" w:name="_Toc963461"/>
      <w:bookmarkStart w:id="13" w:name="_Toc34210368"/>
      <w:r w:rsidRPr="00C62639">
        <w:rPr>
          <w:rFonts w:asciiTheme="minorHAnsi" w:hAnsiTheme="minorHAnsi"/>
          <w:noProof/>
        </w:rPr>
        <w:lastRenderedPageBreak/>
        <w:t xml:space="preserve">Funkce zprávy </w:t>
      </w:r>
      <w:r w:rsidR="00962A95">
        <w:rPr>
          <w:rFonts w:asciiTheme="minorHAnsi" w:hAnsiTheme="minorHAnsi"/>
          <w:noProof/>
        </w:rPr>
        <w:t>z </w:t>
      </w:r>
      <w:r w:rsidRPr="00C62639">
        <w:rPr>
          <w:rFonts w:asciiTheme="minorHAnsi" w:hAnsiTheme="minorHAnsi"/>
          <w:noProof/>
        </w:rPr>
        <w:t>benchmarkingu</w:t>
      </w:r>
      <w:r>
        <w:rPr>
          <w:rFonts w:asciiTheme="minorHAnsi" w:hAnsiTheme="minorHAnsi"/>
          <w:noProof/>
        </w:rPr>
        <w:t xml:space="preserve"> </w:t>
      </w:r>
      <w:r w:rsidR="00962A95">
        <w:rPr>
          <w:rFonts w:asciiTheme="minorHAnsi" w:hAnsiTheme="minorHAnsi"/>
          <w:noProof/>
        </w:rPr>
        <w:t>v </w:t>
      </w:r>
      <w:r w:rsidRPr="00C62639">
        <w:rPr>
          <w:rFonts w:asciiTheme="minorHAnsi" w:hAnsiTheme="minorHAnsi"/>
          <w:noProof/>
        </w:rPr>
        <w:t>procesu regulace - provázanost</w:t>
      </w:r>
      <w:r>
        <w:rPr>
          <w:rFonts w:asciiTheme="minorHAnsi" w:hAnsiTheme="minorHAnsi"/>
          <w:noProof/>
        </w:rPr>
        <w:t xml:space="preserve"> </w:t>
      </w:r>
      <w:r w:rsidRPr="00C62639">
        <w:rPr>
          <w:rFonts w:asciiTheme="minorHAnsi" w:hAnsiTheme="minorHAnsi"/>
          <w:noProof/>
        </w:rPr>
        <w:t>s vizí a záměry dozoru a regulace oboru VaK</w:t>
      </w:r>
      <w:bookmarkEnd w:id="12"/>
      <w:bookmarkEnd w:id="13"/>
    </w:p>
    <w:p w14:paraId="2656BE5E" w14:textId="6F8CB78E" w:rsidR="004A07BA" w:rsidRPr="00962A95" w:rsidRDefault="004A07BA" w:rsidP="00962A95">
      <w:pPr>
        <w:pStyle w:val="NORMLN0"/>
      </w:pPr>
      <w:r w:rsidRPr="00962A95">
        <w:t xml:space="preserve">Podstatou a cílem Zprávy </w:t>
      </w:r>
      <w:r w:rsidR="00962A95">
        <w:t>z </w:t>
      </w:r>
      <w:r w:rsidRPr="00962A95">
        <w:t xml:space="preserve">benchmarkingu je souhrnně přiblížit závěry benchmarkingových projektů všem zúčastněným stranám, zhodnotit jejich výsledky </w:t>
      </w:r>
      <w:r w:rsidR="00962A95">
        <w:t>ve </w:t>
      </w:r>
      <w:r w:rsidRPr="00962A95">
        <w:t>vztahu</w:t>
      </w:r>
      <w:r w:rsidR="00BD5FF3">
        <w:t xml:space="preserve"> ke </w:t>
      </w:r>
      <w:r w:rsidRPr="00962A95">
        <w:t>stanovené vizi a záměrům regulace, navrhnout a definovat oblasti problémů, které je nutn</w:t>
      </w:r>
      <w:r w:rsidR="00962A95">
        <w:t>o </w:t>
      </w:r>
      <w:r w:rsidRPr="00962A95">
        <w:t xml:space="preserve">řešit </w:t>
      </w:r>
      <w:r w:rsidR="00962A95">
        <w:t>v </w:t>
      </w:r>
      <w:r w:rsidRPr="00962A95">
        <w:t xml:space="preserve">zájmu zlepšení fungování oboru VaK, a popřípadě navrhnout změny </w:t>
      </w:r>
      <w:r w:rsidR="00962A95">
        <w:t>v </w:t>
      </w:r>
      <w:r w:rsidRPr="00962A95">
        <w:t>metodických postupech samotnéh</w:t>
      </w:r>
      <w:r w:rsidR="00962A95">
        <w:t>o </w:t>
      </w:r>
      <w:r w:rsidRPr="00962A95">
        <w:t xml:space="preserve">benchmarkingu. </w:t>
      </w:r>
    </w:p>
    <w:p w14:paraId="68D1DD7C" w14:textId="77777777" w:rsidR="004A07BA" w:rsidRPr="00C62639" w:rsidRDefault="004A07BA" w:rsidP="004A07BA">
      <w:pPr>
        <w:pStyle w:val="NORMLN0"/>
        <w:rPr>
          <w:rFonts w:asciiTheme="minorHAnsi" w:hAnsiTheme="minorHAnsi" w:cs="Calibri"/>
          <w:noProof/>
        </w:rPr>
      </w:pPr>
    </w:p>
    <w:p w14:paraId="562AC6DF" w14:textId="29BDE1E7" w:rsidR="004A07BA" w:rsidRPr="00C62639" w:rsidRDefault="004A07BA" w:rsidP="004A07BA">
      <w:pPr>
        <w:pStyle w:val="Nadpis2"/>
        <w:rPr>
          <w:rFonts w:asciiTheme="minorHAnsi" w:hAnsiTheme="minorHAnsi"/>
          <w:noProof/>
        </w:rPr>
      </w:pPr>
      <w:bookmarkStart w:id="14" w:name="_Toc963462"/>
      <w:bookmarkStart w:id="15" w:name="_Toc34210369"/>
      <w:r w:rsidRPr="00C62639">
        <w:rPr>
          <w:rFonts w:asciiTheme="minorHAnsi" w:hAnsiTheme="minorHAnsi"/>
          <w:noProof/>
        </w:rPr>
        <w:t>Vi</w:t>
      </w:r>
      <w:r w:rsidR="00962A95">
        <w:rPr>
          <w:rFonts w:asciiTheme="minorHAnsi" w:hAnsiTheme="minorHAnsi"/>
          <w:noProof/>
        </w:rPr>
        <w:t>ze </w:t>
      </w:r>
      <w:r w:rsidRPr="00C62639">
        <w:rPr>
          <w:rFonts w:asciiTheme="minorHAnsi" w:hAnsiTheme="minorHAnsi"/>
          <w:noProof/>
        </w:rPr>
        <w:t>regulace oboru VaK</w:t>
      </w:r>
      <w:bookmarkEnd w:id="14"/>
      <w:bookmarkEnd w:id="15"/>
    </w:p>
    <w:p w14:paraId="421C3746" w14:textId="0534DCA8" w:rsidR="004A07BA" w:rsidRPr="00C62639" w:rsidRDefault="004A07BA" w:rsidP="004A07BA">
      <w:pPr>
        <w:pStyle w:val="NORMLN0"/>
        <w:rPr>
          <w:noProof/>
        </w:rPr>
      </w:pPr>
      <w:r w:rsidRPr="00C62639">
        <w:rPr>
          <w:noProof/>
        </w:rPr>
        <w:t xml:space="preserve">Čistá </w:t>
      </w:r>
      <w:r w:rsidRPr="00BF56FA">
        <w:t>výroba</w:t>
      </w:r>
      <w:r w:rsidRPr="00C62639">
        <w:rPr>
          <w:noProof/>
        </w:rPr>
        <w:t xml:space="preserve"> a nepřetržitá dodávka kvalitní pitné vody a odvádění a kvalitní čištění odp</w:t>
      </w:r>
      <w:r>
        <w:rPr>
          <w:noProof/>
        </w:rPr>
        <w:t xml:space="preserve">adních vod </w:t>
      </w:r>
      <w:r w:rsidR="00962A95">
        <w:rPr>
          <w:noProof/>
        </w:rPr>
        <w:t>pro </w:t>
      </w:r>
      <w:r>
        <w:rPr>
          <w:noProof/>
        </w:rPr>
        <w:t>všechny potřebné</w:t>
      </w:r>
      <w:r w:rsidRPr="00C62639">
        <w:rPr>
          <w:noProof/>
        </w:rPr>
        <w:t xml:space="preserve"> </w:t>
      </w:r>
      <w:r w:rsidR="00962A95">
        <w:rPr>
          <w:noProof/>
        </w:rPr>
        <w:t>za </w:t>
      </w:r>
      <w:r w:rsidRPr="00C62639">
        <w:rPr>
          <w:noProof/>
        </w:rPr>
        <w:t xml:space="preserve">přiměřenou a dostupnou cenu se zřetelem </w:t>
      </w:r>
      <w:r w:rsidR="00962A95">
        <w:rPr>
          <w:noProof/>
        </w:rPr>
        <w:t>na </w:t>
      </w:r>
      <w:r w:rsidRPr="00C62639">
        <w:rPr>
          <w:noProof/>
        </w:rPr>
        <w:t xml:space="preserve">zachování schopnosti budoucích generací uspokojovat své potřeby </w:t>
      </w:r>
      <w:r w:rsidR="00962A95">
        <w:rPr>
          <w:noProof/>
        </w:rPr>
        <w:t>v </w:t>
      </w:r>
      <w:r w:rsidRPr="00C62639">
        <w:rPr>
          <w:noProof/>
        </w:rPr>
        <w:t>oblasti infrastruktury vodovodů a kanalizací.</w:t>
      </w:r>
    </w:p>
    <w:p w14:paraId="4F813F3C" w14:textId="77777777" w:rsidR="004A07BA" w:rsidRPr="00C62639" w:rsidRDefault="004A07BA" w:rsidP="004A07BA">
      <w:pPr>
        <w:pStyle w:val="Nadpis2"/>
        <w:rPr>
          <w:rFonts w:asciiTheme="minorHAnsi" w:hAnsiTheme="minorHAnsi"/>
          <w:noProof/>
        </w:rPr>
      </w:pPr>
      <w:bookmarkStart w:id="16" w:name="_Toc963463"/>
      <w:bookmarkStart w:id="17" w:name="_Toc34210370"/>
      <w:r w:rsidRPr="00C62639">
        <w:rPr>
          <w:rFonts w:asciiTheme="minorHAnsi" w:hAnsiTheme="minorHAnsi"/>
          <w:noProof/>
        </w:rPr>
        <w:t>Záměry regulace oboru VaK</w:t>
      </w:r>
      <w:bookmarkEnd w:id="16"/>
      <w:bookmarkEnd w:id="17"/>
    </w:p>
    <w:tbl>
      <w:tblPr>
        <w:tblW w:w="9099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441"/>
        <w:gridCol w:w="3792"/>
        <w:gridCol w:w="4866"/>
      </w:tblGrid>
      <w:tr w:rsidR="004A07BA" w:rsidRPr="00C62639" w14:paraId="608C8C4E" w14:textId="77777777" w:rsidTr="004A07BA">
        <w:trPr>
          <w:jc w:val="center"/>
        </w:trPr>
        <w:tc>
          <w:tcPr>
            <w:tcW w:w="42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14:paraId="2C63D397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14:paraId="0CB905D3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szCs w:val="20"/>
                <w:lang w:eastAsia="cs-CZ"/>
              </w:rPr>
              <w:t>ZÁMĚRY</w:t>
            </w:r>
          </w:p>
        </w:tc>
        <w:tc>
          <w:tcPr>
            <w:tcW w:w="4876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</w:tcPr>
          <w:p w14:paraId="31212B72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szCs w:val="20"/>
                <w:lang w:eastAsia="cs-CZ"/>
              </w:rPr>
              <w:t>PROBLEMATIKA</w:t>
            </w:r>
          </w:p>
        </w:tc>
      </w:tr>
      <w:tr w:rsidR="004A07BA" w:rsidRPr="00C62639" w14:paraId="549AB92B" w14:textId="77777777" w:rsidTr="004A07BA">
        <w:trPr>
          <w:jc w:val="center"/>
        </w:trPr>
        <w:tc>
          <w:tcPr>
            <w:tcW w:w="425" w:type="dxa"/>
            <w:shd w:val="clear" w:color="auto" w:fill="E2EFD9"/>
            <w:vAlign w:val="center"/>
          </w:tcPr>
          <w:p w14:paraId="0AEF68A7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3798" w:type="dxa"/>
            <w:shd w:val="clear" w:color="auto" w:fill="E2EFD9"/>
            <w:vAlign w:val="center"/>
          </w:tcPr>
          <w:p w14:paraId="1D8E79C1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 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Dosáhnout </w:t>
            </w: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samofinancovatelnosti infrastruktury</w:t>
            </w:r>
          </w:p>
        </w:tc>
        <w:tc>
          <w:tcPr>
            <w:tcW w:w="4876" w:type="dxa"/>
            <w:shd w:val="clear" w:color="auto" w:fill="E2EFD9"/>
            <w:vAlign w:val="center"/>
          </w:tcPr>
          <w:p w14:paraId="7DE1A598" w14:textId="05274C07" w:rsidR="004A07BA" w:rsidRPr="00C62639" w:rsidRDefault="004A07BA" w:rsidP="004A07BA">
            <w:pPr>
              <w:spacing w:after="0"/>
              <w:ind w:firstLine="29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Obnova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 vodohospodářské infrastruktury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z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hlediska dosažení udržitelnosti infrastruktury a hlediska reinvestování získaných prostředků od spotřebitelů</w:t>
            </w:r>
            <w:r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.</w:t>
            </w:r>
          </w:p>
        </w:tc>
      </w:tr>
      <w:tr w:rsidR="004A07BA" w:rsidRPr="00C62639" w14:paraId="1BED0CC4" w14:textId="77777777" w:rsidTr="004A07BA">
        <w:trPr>
          <w:trHeight w:val="1036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EBE97B0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0CE1874" w14:textId="24773BAB" w:rsidR="004A07BA" w:rsidRPr="00C62639" w:rsidRDefault="004A07BA" w:rsidP="004A07BA">
            <w:pPr>
              <w:spacing w:after="0"/>
              <w:ind w:firstLine="29"/>
              <w:jc w:val="left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Zabezpečit rovnováhu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 mezi cenou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za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služby a náklady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na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poskytování služeb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D8CC1A0" w14:textId="4DFC3450" w:rsidR="004A07BA" w:rsidRPr="00C62639" w:rsidRDefault="004A07BA" w:rsidP="004A07BA">
            <w:pPr>
              <w:spacing w:after="0"/>
              <w:ind w:right="-57" w:firstLine="29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Cenotvorba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 – stanovení ceny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za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služby, která pokryje provozní náklady a náklady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na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obnovu infrastruktury 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br/>
              <w:t xml:space="preserve">a zabezpečí dostupnost služby všem spotřebitelům 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br/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za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sociálně únosnou cenu.</w:t>
            </w:r>
          </w:p>
        </w:tc>
      </w:tr>
      <w:tr w:rsidR="004A07BA" w:rsidRPr="00C62639" w14:paraId="1B1E8638" w14:textId="77777777" w:rsidTr="004A07BA">
        <w:trPr>
          <w:trHeight w:val="824"/>
          <w:jc w:val="center"/>
        </w:trPr>
        <w:tc>
          <w:tcPr>
            <w:tcW w:w="425" w:type="dxa"/>
            <w:shd w:val="clear" w:color="auto" w:fill="E2EFD9"/>
            <w:vAlign w:val="center"/>
          </w:tcPr>
          <w:p w14:paraId="700F80F5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3798" w:type="dxa"/>
            <w:shd w:val="clear" w:color="auto" w:fill="E2EFD9"/>
            <w:vAlign w:val="center"/>
          </w:tcPr>
          <w:p w14:paraId="1DD33B54" w14:textId="77777777" w:rsidR="004A07BA" w:rsidRPr="00C62639" w:rsidRDefault="004A07BA" w:rsidP="004A07BA">
            <w:pPr>
              <w:spacing w:after="0"/>
              <w:ind w:firstLine="29"/>
              <w:jc w:val="left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Zajistit dostatečnou </w:t>
            </w: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úroveň kvality služeb</w:t>
            </w:r>
          </w:p>
        </w:tc>
        <w:tc>
          <w:tcPr>
            <w:tcW w:w="4876" w:type="dxa"/>
            <w:shd w:val="clear" w:color="auto" w:fill="E2EFD9"/>
            <w:vAlign w:val="center"/>
          </w:tcPr>
          <w:p w14:paraId="4B97D6F6" w14:textId="5848E650" w:rsidR="004A07BA" w:rsidRPr="00C62639" w:rsidRDefault="004A07BA" w:rsidP="004A07BA">
            <w:pPr>
              <w:spacing w:after="0"/>
              <w:ind w:firstLine="29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Stálé dodávky pitné vody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v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požadovaném množství 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br/>
              <w:t>a kvalitě a kontinuální odvádění odpadních vod a jejich čištění podle legislativně stanovených parametrů</w:t>
            </w:r>
            <w:r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.</w:t>
            </w:r>
          </w:p>
        </w:tc>
      </w:tr>
      <w:tr w:rsidR="004A07BA" w:rsidRPr="00C62639" w14:paraId="1F194ABB" w14:textId="77777777" w:rsidTr="004A07BA">
        <w:trPr>
          <w:trHeight w:val="806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D0FC691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  <w:t>IV.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14199AA" w14:textId="777E9169" w:rsidR="004A07BA" w:rsidRPr="00C62639" w:rsidRDefault="004A07BA" w:rsidP="004A07BA">
            <w:pPr>
              <w:spacing w:after="0"/>
              <w:ind w:firstLine="29"/>
              <w:jc w:val="left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Zajistit</w:t>
            </w: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 xml:space="preserve"> ochranu životníh</w:t>
            </w:r>
            <w:r w:rsidR="00962A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o </w:t>
            </w: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prostředí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 a minimalizaci dopadů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na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něj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CB10BAA" w14:textId="7C99C3D9" w:rsidR="004A07BA" w:rsidRPr="00C62639" w:rsidRDefault="004A07BA" w:rsidP="004A07BA">
            <w:pPr>
              <w:spacing w:after="0"/>
              <w:ind w:firstLine="29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Snižování negativních vlivů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na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životní prostředí (energetická náročnost, dodržování požadovaných limitů)</w:t>
            </w:r>
            <w:r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.</w:t>
            </w:r>
          </w:p>
        </w:tc>
      </w:tr>
      <w:tr w:rsidR="004A07BA" w:rsidRPr="00C62639" w14:paraId="73E3F6DC" w14:textId="77777777" w:rsidTr="004A07BA">
        <w:trPr>
          <w:jc w:val="center"/>
        </w:trPr>
        <w:tc>
          <w:tcPr>
            <w:tcW w:w="425" w:type="dxa"/>
            <w:shd w:val="clear" w:color="auto" w:fill="E2EFD9"/>
            <w:vAlign w:val="center"/>
          </w:tcPr>
          <w:p w14:paraId="2854B6D6" w14:textId="77777777" w:rsidR="004A07BA" w:rsidRPr="00C62639" w:rsidRDefault="004A07BA" w:rsidP="004A07BA">
            <w:pPr>
              <w:spacing w:after="0"/>
              <w:jc w:val="left"/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3798" w:type="dxa"/>
            <w:shd w:val="clear" w:color="auto" w:fill="E2EFD9"/>
            <w:vAlign w:val="center"/>
          </w:tcPr>
          <w:p w14:paraId="54F6ED7B" w14:textId="5F180E31" w:rsidR="004A07BA" w:rsidRPr="00C62639" w:rsidRDefault="004A07BA" w:rsidP="004A07BA">
            <w:pPr>
              <w:spacing w:after="0"/>
              <w:ind w:firstLine="29"/>
              <w:jc w:val="left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Zvýšit </w:t>
            </w:r>
            <w:r w:rsidRPr="00C62639">
              <w:rPr>
                <w:rFonts w:asciiTheme="minorHAnsi" w:hAnsiTheme="minorHAnsi" w:cs="Arial"/>
                <w:b/>
                <w:noProof/>
                <w:sz w:val="20"/>
                <w:szCs w:val="20"/>
                <w:lang w:eastAsia="cs-CZ"/>
              </w:rPr>
              <w:t>transparentnost informací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 všech zúčastněných stran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v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sektoru</w:t>
            </w:r>
          </w:p>
        </w:tc>
        <w:tc>
          <w:tcPr>
            <w:tcW w:w="4876" w:type="dxa"/>
            <w:shd w:val="clear" w:color="auto" w:fill="E2EFD9"/>
            <w:vAlign w:val="center"/>
          </w:tcPr>
          <w:p w14:paraId="20017B4D" w14:textId="286409BD" w:rsidR="004A07BA" w:rsidRPr="00C62639" w:rsidRDefault="004A07BA" w:rsidP="004A07BA">
            <w:pPr>
              <w:spacing w:after="0"/>
              <w:ind w:firstLine="29"/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</w:pP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 xml:space="preserve">Zabezpečení transparentní informovanosti </w:t>
            </w:r>
            <w:r w:rsidR="00962A95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o </w:t>
            </w:r>
            <w:r w:rsidRPr="00C62639"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cenotvorbě, fungování, potřebách a problémech sektoru vodovodů a kanalizací</w:t>
            </w:r>
            <w:r>
              <w:rPr>
                <w:rFonts w:asciiTheme="minorHAnsi" w:hAnsiTheme="minorHAnsi" w:cs="Arial"/>
                <w:noProof/>
                <w:sz w:val="20"/>
                <w:szCs w:val="20"/>
                <w:lang w:eastAsia="cs-CZ"/>
              </w:rPr>
              <w:t>.</w:t>
            </w:r>
          </w:p>
        </w:tc>
      </w:tr>
    </w:tbl>
    <w:p w14:paraId="0B82577A" w14:textId="77777777" w:rsidR="004A07BA" w:rsidRDefault="004A07BA" w:rsidP="004A07BA">
      <w:pPr>
        <w:spacing w:before="0" w:after="200" w:line="276" w:lineRule="auto"/>
        <w:contextualSpacing w:val="0"/>
        <w:jc w:val="left"/>
        <w:rPr>
          <w:rFonts w:asciiTheme="minorHAnsi" w:hAnsiTheme="minorHAnsi" w:cs="Calibri"/>
          <w:noProof/>
        </w:rPr>
      </w:pPr>
    </w:p>
    <w:p w14:paraId="2262990C" w14:textId="77777777" w:rsidR="004A07BA" w:rsidRDefault="004A07BA" w:rsidP="004A07BA">
      <w:pPr>
        <w:spacing w:before="0" w:after="200" w:line="276" w:lineRule="auto"/>
        <w:contextualSpacing w:val="0"/>
        <w:jc w:val="left"/>
        <w:rPr>
          <w:rFonts w:asciiTheme="minorHAnsi" w:hAnsiTheme="minorHAnsi" w:cs="Calibri"/>
          <w:noProof/>
        </w:rPr>
      </w:pPr>
    </w:p>
    <w:p w14:paraId="3B961DE7" w14:textId="77777777" w:rsidR="001261BC" w:rsidRDefault="001261BC">
      <w:pPr>
        <w:spacing w:before="0" w:after="160" w:line="259" w:lineRule="auto"/>
        <w:contextualSpacing w:val="0"/>
        <w:jc w:val="left"/>
        <w:rPr>
          <w:rFonts w:ascii="Cambria" w:eastAsia="Times New Roman" w:hAnsi="Cambria"/>
          <w:color w:val="365F91"/>
          <w:sz w:val="32"/>
          <w:szCs w:val="32"/>
        </w:rPr>
      </w:pPr>
      <w:bookmarkStart w:id="18" w:name="_Toc963464"/>
      <w:r>
        <w:br w:type="page"/>
      </w:r>
    </w:p>
    <w:p w14:paraId="0905F7C5" w14:textId="538EFB7C" w:rsidR="001261BC" w:rsidRDefault="00694162" w:rsidP="001261BC">
      <w:pPr>
        <w:pStyle w:val="Nadpis1"/>
      </w:pPr>
      <w:bookmarkStart w:id="19" w:name="_Toc34210371"/>
      <w:r>
        <w:lastRenderedPageBreak/>
        <w:t xml:space="preserve">Vývoj vybraných ukazatelů </w:t>
      </w:r>
      <w:r w:rsidR="00962A95">
        <w:t>v </w:t>
      </w:r>
      <w:r>
        <w:t>letech 2016 - 2018</w:t>
      </w:r>
      <w:bookmarkEnd w:id="19"/>
      <w:r w:rsidR="00AD2DA0">
        <w:t xml:space="preserve"> </w:t>
      </w:r>
    </w:p>
    <w:p w14:paraId="44FEF3AB" w14:textId="48B6B83D" w:rsidR="00805B91" w:rsidRDefault="001261BC" w:rsidP="00694162">
      <w:pPr>
        <w:ind w:firstLine="567"/>
      </w:pPr>
      <w:r>
        <w:t>M</w:t>
      </w:r>
      <w:r w:rsidR="00962A95">
        <w:t>Ze </w:t>
      </w:r>
      <w:r>
        <w:t>realizuje projekt benchmarkingu třetím rokem, co</w:t>
      </w:r>
      <w:r w:rsidR="00AF24C7">
        <w:t>ž</w:t>
      </w:r>
      <w:r w:rsidR="00C137EE">
        <w:t xml:space="preserve"> nabízí pohled </w:t>
      </w:r>
      <w:r w:rsidR="00962A95">
        <w:t>na </w:t>
      </w:r>
      <w:r>
        <w:t>vývoj sektoru prostřednictvím</w:t>
      </w:r>
      <w:r w:rsidR="00D95164">
        <w:t xml:space="preserve"> </w:t>
      </w:r>
      <w:r w:rsidR="00AF2A53">
        <w:t xml:space="preserve">některých </w:t>
      </w:r>
      <w:r>
        <w:t>údajů</w:t>
      </w:r>
      <w:r w:rsidR="00C137EE">
        <w:t xml:space="preserve"> </w:t>
      </w:r>
      <w:r w:rsidR="00962A95">
        <w:t>v </w:t>
      </w:r>
      <w:r w:rsidR="00C137EE">
        <w:t>jednotlivých letech</w:t>
      </w:r>
      <w:r>
        <w:t>.</w:t>
      </w:r>
      <w:r w:rsidR="00D95164">
        <w:t xml:space="preserve"> </w:t>
      </w:r>
      <w:r w:rsidR="00962A95">
        <w:t>V </w:t>
      </w:r>
      <w:r w:rsidR="00D95164">
        <w:t>následujících tabulkách jsou uv</w:t>
      </w:r>
      <w:r w:rsidR="00BD60DE">
        <w:t>edeny</w:t>
      </w:r>
      <w:r w:rsidR="00D95164">
        <w:t xml:space="preserve"> hodnoty </w:t>
      </w:r>
      <w:r w:rsidR="00C137EE">
        <w:t xml:space="preserve">vybraných ukazatelů </w:t>
      </w:r>
      <w:r w:rsidR="00D95164">
        <w:t xml:space="preserve">spočtené </w:t>
      </w:r>
      <w:r w:rsidR="00962A95">
        <w:t>za </w:t>
      </w:r>
      <w:r w:rsidR="00D95164">
        <w:t xml:space="preserve">celý soubor analyzovaných dat </w:t>
      </w:r>
      <w:r w:rsidR="00962A95">
        <w:t>za </w:t>
      </w:r>
      <w:r w:rsidR="00D95164">
        <w:t>roky 2016 – 2018</w:t>
      </w:r>
      <w:r w:rsidR="00BD60DE">
        <w:t>. Tyt</w:t>
      </w:r>
      <w:r w:rsidR="00962A95">
        <w:t>o </w:t>
      </w:r>
      <w:r w:rsidR="00BD60DE">
        <w:t>ukazatele</w:t>
      </w:r>
      <w:r w:rsidR="00C137EE">
        <w:t xml:space="preserve"> umožňovaly zpracovatelům analý</w:t>
      </w:r>
      <w:r w:rsidR="00962A95">
        <w:t>z </w:t>
      </w:r>
      <w:r w:rsidR="00C137EE">
        <w:t>i extern</w:t>
      </w:r>
      <w:r w:rsidR="00805B91">
        <w:t>ím uživa</w:t>
      </w:r>
      <w:r w:rsidR="00C137EE">
        <w:t>telům</w:t>
      </w:r>
      <w:r w:rsidR="00805B91">
        <w:t xml:space="preserve"> </w:t>
      </w:r>
      <w:r w:rsidR="00962A95">
        <w:t>v </w:t>
      </w:r>
      <w:r w:rsidR="00AF2A53">
        <w:t xml:space="preserve">daném roce </w:t>
      </w:r>
      <w:r w:rsidR="00BD60DE">
        <w:t>srovnání výsledků vybraných skupin</w:t>
      </w:r>
      <w:r w:rsidR="00C137EE">
        <w:t xml:space="preserve"> (zejm. těch </w:t>
      </w:r>
      <w:r w:rsidR="00AF2A53">
        <w:t xml:space="preserve">méně </w:t>
      </w:r>
      <w:r w:rsidR="00C137EE">
        <w:t>početných)</w:t>
      </w:r>
      <w:r w:rsidR="00BD60DE">
        <w:t xml:space="preserve"> neb</w:t>
      </w:r>
      <w:r w:rsidR="0082372A">
        <w:t xml:space="preserve">o </w:t>
      </w:r>
      <w:r w:rsidR="00AF2A53">
        <w:t>konkrétníh</w:t>
      </w:r>
      <w:r w:rsidR="0082372A">
        <w:t xml:space="preserve">o </w:t>
      </w:r>
      <w:r w:rsidR="00BD60DE">
        <w:t>Porovnání</w:t>
      </w:r>
      <w:r w:rsidR="00C137EE">
        <w:t xml:space="preserve"> s dosaženými </w:t>
      </w:r>
      <w:r w:rsidR="00220CEE">
        <w:t>h</w:t>
      </w:r>
      <w:r w:rsidR="00C137EE">
        <w:t>odnotami</w:t>
      </w:r>
      <w:r w:rsidR="00805B91">
        <w:t xml:space="preserve"> </w:t>
      </w:r>
      <w:r w:rsidR="00962A95">
        <w:t>za </w:t>
      </w:r>
      <w:r w:rsidR="00805B91">
        <w:t>všech</w:t>
      </w:r>
      <w:r w:rsidR="00962A95">
        <w:t>na </w:t>
      </w:r>
      <w:r w:rsidR="00AF2A53">
        <w:t>analyzovaná</w:t>
      </w:r>
      <w:r w:rsidR="00805B91">
        <w:t xml:space="preserve"> Porovnání.</w:t>
      </w:r>
      <w:r w:rsidR="00371EFB">
        <w:t xml:space="preserve"> </w:t>
      </w:r>
      <w:r w:rsidR="00AF2A53">
        <w:t>Hodnoty těcht</w:t>
      </w:r>
      <w:r w:rsidR="0082372A">
        <w:t xml:space="preserve">o </w:t>
      </w:r>
      <w:r w:rsidR="00AF2A53">
        <w:t>ukazatelů</w:t>
      </w:r>
      <w:r w:rsidR="00C137EE">
        <w:t xml:space="preserve"> </w:t>
      </w:r>
      <w:r w:rsidR="002D14A7">
        <w:t>podávají všeobecné</w:t>
      </w:r>
      <w:r w:rsidR="005D772D">
        <w:t xml:space="preserve"> informace</w:t>
      </w:r>
      <w:r w:rsidR="00805B91">
        <w:t xml:space="preserve"> popisující sta</w:t>
      </w:r>
      <w:r w:rsidR="00962A95">
        <w:t>v</w:t>
      </w:r>
      <w:r w:rsidR="0082372A">
        <w:t xml:space="preserve"> </w:t>
      </w:r>
      <w:r w:rsidR="00805B91">
        <w:t>sektoru.</w:t>
      </w:r>
    </w:p>
    <w:p w14:paraId="03D6BC52" w14:textId="77777777" w:rsidR="00805B91" w:rsidRDefault="00805B91" w:rsidP="00694162">
      <w:pPr>
        <w:ind w:firstLine="567"/>
      </w:pPr>
    </w:p>
    <w:p w14:paraId="6003370E" w14:textId="067F2882" w:rsidR="00C31B65" w:rsidRDefault="00371EFB" w:rsidP="00694162">
      <w:pPr>
        <w:ind w:firstLine="567"/>
      </w:pPr>
      <w:r>
        <w:t xml:space="preserve"> </w:t>
      </w:r>
      <w:r w:rsidR="00962A95">
        <w:t>V </w:t>
      </w:r>
      <w:r w:rsidR="005D772D">
        <w:t>tabulkách</w:t>
      </w:r>
      <w:r w:rsidR="00BD60DE">
        <w:t xml:space="preserve"> uvedené hodnoty byly spočteny dle platné metodiky </w:t>
      </w:r>
      <w:r w:rsidR="00962A95">
        <w:t>z </w:t>
      </w:r>
      <w:r w:rsidR="00C31B65">
        <w:t>celkových</w:t>
      </w:r>
      <w:r w:rsidR="00BD60DE">
        <w:t xml:space="preserve"> hodnot </w:t>
      </w:r>
      <w:r w:rsidR="00962A95">
        <w:t>za </w:t>
      </w:r>
      <w:r w:rsidR="00BD60DE">
        <w:t>všech</w:t>
      </w:r>
      <w:r w:rsidR="00962A95">
        <w:t>na </w:t>
      </w:r>
      <w:r w:rsidR="00BD60DE">
        <w:t>Porovnání zařazená d</w:t>
      </w:r>
      <w:r w:rsidR="00962A95">
        <w:t>o </w:t>
      </w:r>
      <w:r w:rsidR="00C137EE">
        <w:t>benchmarkingu</w:t>
      </w:r>
      <w:r w:rsidR="00C31B65">
        <w:t xml:space="preserve"> (zjednodušeně řečeno: celý soubor analyzovaných dat = jedn</w:t>
      </w:r>
      <w:r w:rsidR="00962A95">
        <w:t>o </w:t>
      </w:r>
      <w:r w:rsidR="00C31B65">
        <w:t>Porovnání)</w:t>
      </w:r>
      <w:r w:rsidR="00C137EE">
        <w:t>.</w:t>
      </w:r>
      <w:r w:rsidR="000D7123">
        <w:t xml:space="preserve"> </w:t>
      </w:r>
      <w:r w:rsidR="00220CEE">
        <w:t>T</w:t>
      </w:r>
      <w:r w:rsidR="00962A95">
        <w:t>o </w:t>
      </w:r>
      <w:r w:rsidR="00220CEE">
        <w:t xml:space="preserve">znamená, že </w:t>
      </w:r>
      <w:r w:rsidR="00962A95">
        <w:t>ve </w:t>
      </w:r>
      <w:r w:rsidR="00220CEE">
        <w:t>výpočtech je zohledně</w:t>
      </w:r>
      <w:r w:rsidR="0082372A">
        <w:t>n např. objem fakturované vody</w:t>
      </w:r>
      <w:r w:rsidR="00220CEE">
        <w:t>, hodnota VIM, délka sítí apod.</w:t>
      </w:r>
      <w:r w:rsidR="00AF2A53">
        <w:t xml:space="preserve"> podle druhu ukazatele.</w:t>
      </w:r>
      <w:r w:rsidR="00220CEE">
        <w:t xml:space="preserve"> </w:t>
      </w:r>
      <w:r w:rsidR="00962A95">
        <w:t>Při </w:t>
      </w:r>
      <w:r w:rsidR="00220CEE">
        <w:t xml:space="preserve">posuzování výsledných hodnot je třeba mít </w:t>
      </w:r>
      <w:r w:rsidR="00962A95">
        <w:t>na </w:t>
      </w:r>
      <w:r w:rsidR="00220CEE">
        <w:t xml:space="preserve">zřeteli fakt, že soubor </w:t>
      </w:r>
      <w:r w:rsidR="00AF2A53">
        <w:t xml:space="preserve">analyzovaných </w:t>
      </w:r>
      <w:r w:rsidR="00220CEE">
        <w:t>dat není meziročně stejný, tzn.</w:t>
      </w:r>
      <w:r w:rsidR="00E41AB4">
        <w:t>,</w:t>
      </w:r>
      <w:r w:rsidR="00220CEE">
        <w:t xml:space="preserve"> neobsahuje vždy </w:t>
      </w:r>
      <w:r w:rsidR="0070633D">
        <w:t xml:space="preserve">stejný počet Porovnání </w:t>
      </w:r>
      <w:r w:rsidR="00962A95">
        <w:t>pro </w:t>
      </w:r>
      <w:r w:rsidR="0070633D">
        <w:t>identická místa.</w:t>
      </w:r>
      <w:r>
        <w:t xml:space="preserve"> </w:t>
      </w:r>
      <w:r w:rsidR="00220CEE">
        <w:t>V</w:t>
      </w:r>
      <w:r w:rsidR="00E41AB4">
        <w:t>li</w:t>
      </w:r>
      <w:r w:rsidR="00962A95">
        <w:t>v </w:t>
      </w:r>
      <w:r w:rsidR="00E41AB4">
        <w:t>tét</w:t>
      </w:r>
      <w:r w:rsidR="00962A95">
        <w:t>o </w:t>
      </w:r>
      <w:r w:rsidR="00E41AB4">
        <w:t xml:space="preserve">skutečnosti je patrný </w:t>
      </w:r>
      <w:r w:rsidR="00220CEE">
        <w:t>zejmé</w:t>
      </w:r>
      <w:r w:rsidR="00962A95">
        <w:t>na</w:t>
      </w:r>
      <w:r w:rsidR="00DE53F8">
        <w:t xml:space="preserve"> u </w:t>
      </w:r>
      <w:r w:rsidR="00220CEE">
        <w:t xml:space="preserve">hodnot </w:t>
      </w:r>
      <w:r w:rsidR="00962A95">
        <w:t>za </w:t>
      </w:r>
      <w:r w:rsidR="00220CEE">
        <w:t>roky 2017 a 2018, kdy došl</w:t>
      </w:r>
      <w:r w:rsidR="00962A95">
        <w:t>o k </w:t>
      </w:r>
      <w:r w:rsidR="00220CEE">
        <w:t>nárůstu počtu Porovnání ja</w:t>
      </w:r>
      <w:r w:rsidR="00962A95">
        <w:t>k</w:t>
      </w:r>
      <w:r w:rsidR="00DE53F8">
        <w:t xml:space="preserve"> u </w:t>
      </w:r>
      <w:r w:rsidR="0070633D">
        <w:t>p</w:t>
      </w:r>
      <w:r w:rsidR="00220CEE">
        <w:t>itné, ta</w:t>
      </w:r>
      <w:r w:rsidR="00962A95">
        <w:t>k </w:t>
      </w:r>
      <w:r w:rsidR="00E41AB4">
        <w:t>i</w:t>
      </w:r>
      <w:r w:rsidR="00DE53F8">
        <w:t xml:space="preserve"> u </w:t>
      </w:r>
      <w:r w:rsidR="00E41AB4">
        <w:t>odpaní vody, a t</w:t>
      </w:r>
      <w:r w:rsidR="00962A95">
        <w:t>o </w:t>
      </w:r>
      <w:r w:rsidR="00E41AB4">
        <w:t>zejmé</w:t>
      </w:r>
      <w:r w:rsidR="00962A95">
        <w:t>na</w:t>
      </w:r>
      <w:r w:rsidR="00DE53F8">
        <w:t xml:space="preserve"> u </w:t>
      </w:r>
      <w:r w:rsidR="00E41AB4">
        <w:t>VI. a V. vlastnické skupiny a</w:t>
      </w:r>
      <w:r>
        <w:t xml:space="preserve"> </w:t>
      </w:r>
      <w:r w:rsidR="00E41AB4">
        <w:t>VII</w:t>
      </w:r>
      <w:r w:rsidR="0070633D">
        <w:t>.</w:t>
      </w:r>
      <w:r w:rsidR="00E41AB4">
        <w:t xml:space="preserve"> a VIII. provozovatelské skupiny.</w:t>
      </w:r>
    </w:p>
    <w:p w14:paraId="766406CC" w14:textId="77777777" w:rsidR="00C137EE" w:rsidRDefault="00C137EE" w:rsidP="00194A43"/>
    <w:p w14:paraId="7665C3D5" w14:textId="77777777" w:rsidR="001261BC" w:rsidRPr="00194A43" w:rsidRDefault="00FE3F65" w:rsidP="00694162">
      <w:pPr>
        <w:pStyle w:val="Nadpis2"/>
      </w:pPr>
      <w:r>
        <w:t xml:space="preserve"> </w:t>
      </w:r>
      <w:bookmarkStart w:id="20" w:name="_Toc34210372"/>
      <w:r w:rsidR="00C77759">
        <w:t>Vodovod</w:t>
      </w:r>
      <w:bookmarkEnd w:id="20"/>
    </w:p>
    <w:tbl>
      <w:tblPr>
        <w:tblW w:w="554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6237"/>
        <w:gridCol w:w="990"/>
        <w:gridCol w:w="1135"/>
        <w:gridCol w:w="993"/>
      </w:tblGrid>
      <w:tr w:rsidR="00D95164" w:rsidRPr="001261BC" w14:paraId="41D07480" w14:textId="77777777" w:rsidTr="003F6F10">
        <w:trPr>
          <w:trHeight w:val="225"/>
          <w:jc w:val="center"/>
        </w:trPr>
        <w:tc>
          <w:tcPr>
            <w:tcW w:w="353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916A8CE" w14:textId="77777777" w:rsidR="001261BC" w:rsidRPr="00D95164" w:rsidRDefault="001261BC" w:rsidP="00D9516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b/>
                <w:bCs/>
                <w:color w:val="FFFFFF"/>
                <w:sz w:val="16"/>
                <w:lang w:eastAsia="cs-CZ"/>
              </w:rPr>
              <w:t>Ukazatel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556CC5D" w14:textId="70A16DCC" w:rsidR="001261BC" w:rsidRPr="001261BC" w:rsidRDefault="001261BC" w:rsidP="00D9516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  <w:t>Náze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  <w:t>v </w:t>
            </w:r>
            <w:r w:rsidRPr="001261B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  <w:t>ukazatele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5DEAEA58" w14:textId="77777777" w:rsidR="001261BC" w:rsidRPr="001261BC" w:rsidRDefault="001261BC" w:rsidP="00D9516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  <w:t>Hodnota 2018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182D14A7" w14:textId="77777777" w:rsidR="001261BC" w:rsidRPr="001261BC" w:rsidRDefault="001261BC" w:rsidP="00D9516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  <w:t>Hodnota 2017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472C4" w:fill="4472C4"/>
            <w:noWrap/>
            <w:vAlign w:val="center"/>
            <w:hideMark/>
          </w:tcPr>
          <w:p w14:paraId="147E069D" w14:textId="77777777" w:rsidR="001261BC" w:rsidRPr="001261BC" w:rsidRDefault="001261BC" w:rsidP="00D9516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lang w:eastAsia="cs-CZ"/>
              </w:rPr>
              <w:t>Hodnota 2016</w:t>
            </w:r>
          </w:p>
        </w:tc>
      </w:tr>
      <w:tr w:rsidR="00D95164" w:rsidRPr="001261BC" w14:paraId="0E6B1608" w14:textId="77777777" w:rsidTr="003F6F10">
        <w:trPr>
          <w:trHeight w:val="225"/>
          <w:jc w:val="center"/>
        </w:trPr>
        <w:tc>
          <w:tcPr>
            <w:tcW w:w="35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5122691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DV64</w:t>
            </w:r>
          </w:p>
        </w:tc>
        <w:tc>
          <w:tcPr>
            <w:tcW w:w="309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45E813C" w14:textId="2ABCFF47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Hustota přípoje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k 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přepočtenou délku vodovodních řadů (ks/km)</w:t>
            </w:r>
          </w:p>
        </w:tc>
        <w:tc>
          <w:tcPr>
            <w:tcW w:w="49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890BEAD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34,62</w:t>
            </w:r>
          </w:p>
        </w:tc>
        <w:tc>
          <w:tcPr>
            <w:tcW w:w="56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3EFD18E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34,53</w:t>
            </w:r>
          </w:p>
        </w:tc>
        <w:tc>
          <w:tcPr>
            <w:tcW w:w="493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2472534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34,03</w:t>
            </w:r>
          </w:p>
        </w:tc>
      </w:tr>
      <w:tr w:rsidR="00D95164" w:rsidRPr="001261BC" w14:paraId="506A23A0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D38F817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VV02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D925343" w14:textId="107ED384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Počet obyvatel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km přepočtené délky vodovodní sítě (ks/km)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1910111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163,96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2E2A6D8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166,88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C2772C1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167,56</w:t>
            </w:r>
          </w:p>
        </w:tc>
      </w:tr>
      <w:tr w:rsidR="00D95164" w:rsidRPr="001261BC" w14:paraId="34499F1F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12E59AA1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VP06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0D69BC60" w14:textId="77777777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Jednotkové mzdové náklady (Kč/m3)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C6C76F5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4,58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81C64CD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4,56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453F778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4,42</w:t>
            </w:r>
          </w:p>
        </w:tc>
      </w:tr>
      <w:tr w:rsidR="00D95164" w:rsidRPr="001261BC" w14:paraId="45EA715C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76A2AA7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VP03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EF2F999" w14:textId="4BC2D968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Počet zásobených obyvatel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pracovníka (ks/1 prac.)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A5E2D83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1 461,66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A04C6A5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1 356,33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445696F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1 306,61</w:t>
            </w:r>
          </w:p>
        </w:tc>
      </w:tr>
      <w:tr w:rsidR="00D95164" w:rsidRPr="001261BC" w14:paraId="17CA02CE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E0BAC70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VOM01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0E3329C" w14:textId="6B214E0D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Počet poruch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km celkové délky vodovodní sítě (ks/km)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719500F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0,48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210A91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0,48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B9F4294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0,43</w:t>
            </w:r>
          </w:p>
        </w:tc>
      </w:tr>
      <w:tr w:rsidR="00D95164" w:rsidRPr="001261BC" w14:paraId="2AAE22DB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BDA66E9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VV10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4AADCD3" w14:textId="32446ABE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Ztráty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o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řadu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den ((m3/km)/den)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9E65EDF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4,43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5D27125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4,87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54B7401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4,51</w:t>
            </w:r>
          </w:p>
        </w:tc>
      </w:tr>
      <w:tr w:rsidR="00D95164" w:rsidRPr="001261BC" w14:paraId="6F199EBE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757BF2E3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VV07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2F21EBAC" w14:textId="27849FEE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Nefakturovaná voda 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o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řadu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den ((m3/km)/den)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35AED0B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5,15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2448462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5,60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9975EB8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5,24</w:t>
            </w:r>
          </w:p>
        </w:tc>
      </w:tr>
      <w:tr w:rsidR="00D95164" w:rsidRPr="001261BC" w14:paraId="64193B92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4EBE06D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VOM03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80D83C0" w14:textId="04A76BBD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Podíl generovaných prostředků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obnovu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celkové hodnotě VIM (%)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9842189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2,14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D0754DE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2,09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D4FA928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2,08</w:t>
            </w:r>
          </w:p>
        </w:tc>
      </w:tr>
      <w:tr w:rsidR="00D95164" w:rsidRPr="001261BC" w14:paraId="009032D2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70F3A4A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VE03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5E3BF216" w14:textId="436D605B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Jednotkový kalkulační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k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(Kč/m3)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C32197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2,84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EC7167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3,11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DC74434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3,39</w:t>
            </w:r>
          </w:p>
        </w:tc>
      </w:tr>
      <w:tr w:rsidR="00D95164" w:rsidRPr="001261BC" w14:paraId="50C8831E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6FA510C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ZVC56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C03FA06" w14:textId="77777777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Jednotkové UVN (Kč/m3)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F9B941D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35,47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E8E17DF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34,73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C3678E2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33,97</w:t>
            </w:r>
          </w:p>
        </w:tc>
      </w:tr>
      <w:tr w:rsidR="00D95164" w:rsidRPr="001261BC" w14:paraId="55B4D629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75AEA0B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ZVC30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35D18129" w14:textId="3E0586FA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pro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vodné (Kč/m3)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54E194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38,32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05EC2E1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37,85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E6722F4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37,35</w:t>
            </w:r>
          </w:p>
        </w:tc>
      </w:tr>
      <w:tr w:rsidR="00D95164" w:rsidRPr="001261BC" w14:paraId="418C8F9E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588D5EA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VE04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D831E84" w14:textId="33AB756A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o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na </w:t>
            </w: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vodném (%)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A3683BE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7,42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8690F67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8,23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180B42B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9,06</w:t>
            </w:r>
          </w:p>
        </w:tc>
      </w:tr>
      <w:tr w:rsidR="00D95164" w:rsidRPr="001261BC" w14:paraId="321BC095" w14:textId="77777777" w:rsidTr="003F6F10">
        <w:trPr>
          <w:trHeight w:val="215"/>
          <w:jc w:val="center"/>
        </w:trPr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86E6A81" w14:textId="77777777" w:rsidR="001261BC" w:rsidRPr="00D95164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6"/>
                <w:lang w:eastAsia="cs-CZ"/>
              </w:rPr>
              <w:t>OKF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14:paraId="4EF8AE74" w14:textId="77777777" w:rsidR="001261BC" w:rsidRPr="001261BC" w:rsidRDefault="001261BC" w:rsidP="00335D61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Operační koeficient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5497EF1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1,05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F97C57B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1,06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B4C6E7" w:fill="B4C6E7"/>
            <w:noWrap/>
            <w:vAlign w:val="center"/>
            <w:hideMark/>
          </w:tcPr>
          <w:p w14:paraId="5C7FE908" w14:textId="77777777" w:rsidR="001261BC" w:rsidRPr="001261BC" w:rsidRDefault="001261BC" w:rsidP="001261BC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</w:pPr>
            <w:r w:rsidRPr="001261BC">
              <w:rPr>
                <w:rFonts w:asciiTheme="majorHAnsi" w:eastAsia="Times New Roman" w:hAnsiTheme="majorHAnsi" w:cstheme="majorHAnsi"/>
                <w:color w:val="000000"/>
                <w:sz w:val="18"/>
                <w:lang w:eastAsia="cs-CZ"/>
              </w:rPr>
              <w:t>1,07</w:t>
            </w:r>
          </w:p>
        </w:tc>
      </w:tr>
    </w:tbl>
    <w:p w14:paraId="6DB7E473" w14:textId="77777777" w:rsidR="00C77759" w:rsidRDefault="00C77759">
      <w:pPr>
        <w:spacing w:before="0" w:after="160" w:line="259" w:lineRule="auto"/>
        <w:contextualSpacing w:val="0"/>
        <w:jc w:val="left"/>
      </w:pPr>
    </w:p>
    <w:p w14:paraId="42C40531" w14:textId="6CAAA777" w:rsidR="001261BC" w:rsidRDefault="00962A95" w:rsidP="00694162">
      <w:pPr>
        <w:pStyle w:val="NORMLN0"/>
      </w:pPr>
      <w:r>
        <w:t>Z </w:t>
      </w:r>
      <w:r w:rsidR="00C77759">
        <w:t>meziročníh</w:t>
      </w:r>
      <w:r>
        <w:t>o </w:t>
      </w:r>
      <w:r w:rsidR="00C77759">
        <w:t>poro</w:t>
      </w:r>
      <w:r w:rsidR="002313E6">
        <w:t>vnání ekonomických ukazatelů</w:t>
      </w:r>
      <w:r w:rsidR="00C77759">
        <w:t xml:space="preserve"> pitné vody je patrný nárůst jednotkových nákladů </w:t>
      </w:r>
      <w:r>
        <w:t>o </w:t>
      </w:r>
      <w:r w:rsidR="00C77759">
        <w:t xml:space="preserve">0,74 – 0,75 Kč, ceny </w:t>
      </w:r>
      <w:r>
        <w:t>o </w:t>
      </w:r>
      <w:r w:rsidR="00C77759">
        <w:t xml:space="preserve">0,47 – 0,50 Kč, podíl zisku </w:t>
      </w:r>
      <w:r>
        <w:t>na </w:t>
      </w:r>
      <w:r w:rsidR="00C77759">
        <w:t xml:space="preserve">vodném klesá </w:t>
      </w:r>
      <w:r>
        <w:t>o </w:t>
      </w:r>
      <w:r w:rsidR="00C77759">
        <w:t xml:space="preserve">0,81 – 0,83 %, OKF klesá meziročně </w:t>
      </w:r>
      <w:r>
        <w:t>o </w:t>
      </w:r>
      <w:r w:rsidR="00C77759">
        <w:t xml:space="preserve">0,01, podíl generovaných </w:t>
      </w:r>
      <w:r w:rsidR="00EB3A59">
        <w:t>P</w:t>
      </w:r>
      <w:r>
        <w:t>O </w:t>
      </w:r>
      <w:r w:rsidR="00C77759">
        <w:t xml:space="preserve">lehce stoupá </w:t>
      </w:r>
      <w:r>
        <w:t>o </w:t>
      </w:r>
      <w:r w:rsidR="00C77759">
        <w:t xml:space="preserve">0,01 – 0,05 %. </w:t>
      </w:r>
      <w:r w:rsidR="00746E00">
        <w:t>Meziročně klesá i jednotkový kalkulační zisk.</w:t>
      </w:r>
      <w:r w:rsidR="0082372A">
        <w:t xml:space="preserve"> U</w:t>
      </w:r>
      <w:r w:rsidR="00DE53F8">
        <w:t> </w:t>
      </w:r>
      <w:r w:rsidR="00C77759">
        <w:t>ukazatelů popisujících sta</w:t>
      </w:r>
      <w:r>
        <w:t>v </w:t>
      </w:r>
      <w:r w:rsidR="00232832">
        <w:t>a velikost</w:t>
      </w:r>
      <w:r w:rsidR="00C77759">
        <w:t xml:space="preserve"> VIM se poměrně významně z</w:t>
      </w:r>
      <w:r w:rsidR="00232832">
        <w:t>výšil</w:t>
      </w:r>
      <w:r w:rsidR="00C77759">
        <w:t xml:space="preserve"> zejmé</w:t>
      </w:r>
      <w:r>
        <w:t>na </w:t>
      </w:r>
      <w:r w:rsidR="00C77759">
        <w:t xml:space="preserve">počet zásobených obyvatel </w:t>
      </w:r>
      <w:r>
        <w:t>na </w:t>
      </w:r>
      <w:r w:rsidR="00C77759">
        <w:t xml:space="preserve">pracovníka (mezi roky 2017 a 2018 </w:t>
      </w:r>
      <w:r>
        <w:t>o </w:t>
      </w:r>
      <w:r w:rsidR="00C77759">
        <w:t>105,33 obyvatel), což l</w:t>
      </w:r>
      <w:r>
        <w:t>ze </w:t>
      </w:r>
      <w:r w:rsidR="00C77759">
        <w:t xml:space="preserve">přičíst vlivu nárůstu počtu Porovnání </w:t>
      </w:r>
      <w:r>
        <w:t>v </w:t>
      </w:r>
      <w:r w:rsidR="00C77759">
        <w:t>provozovatelských skupinách</w:t>
      </w:r>
      <w:r w:rsidR="00232832">
        <w:t xml:space="preserve"> s nižším počtem připojených osob a</w:t>
      </w:r>
      <w:r w:rsidR="00C77759">
        <w:t xml:space="preserve"> s nízkým počtem vykázaných pracovníků.</w:t>
      </w:r>
      <w:r w:rsidR="00371EFB">
        <w:t xml:space="preserve"> </w:t>
      </w:r>
      <w:r w:rsidR="00C77759">
        <w:t xml:space="preserve">Hodnoty poruchovosti, ztrát pitné vody </w:t>
      </w:r>
      <w:r>
        <w:t>na </w:t>
      </w:r>
      <w:r w:rsidR="00C77759">
        <w:t xml:space="preserve">km sítě i objemu nefakturované vody </w:t>
      </w:r>
      <w:r>
        <w:t>na </w:t>
      </w:r>
      <w:r w:rsidR="00C77759">
        <w:t>km sítě vykazují meziročně poměrně stabilní hodnoty.</w:t>
      </w:r>
    </w:p>
    <w:p w14:paraId="4D3DB790" w14:textId="77777777" w:rsidR="001261BC" w:rsidRDefault="00FE3F65" w:rsidP="00694162">
      <w:pPr>
        <w:pStyle w:val="Nadpis2"/>
      </w:pPr>
      <w:r>
        <w:lastRenderedPageBreak/>
        <w:t xml:space="preserve"> </w:t>
      </w:r>
      <w:bookmarkStart w:id="21" w:name="_Toc34210373"/>
      <w:r w:rsidR="00C137EE">
        <w:t>Kanalizace</w:t>
      </w:r>
      <w:bookmarkEnd w:id="21"/>
    </w:p>
    <w:tbl>
      <w:tblPr>
        <w:tblStyle w:val="Tabulkasmkou4zvraznn62"/>
        <w:tblW w:w="5515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138"/>
        <w:gridCol w:w="1003"/>
        <w:gridCol w:w="1003"/>
        <w:gridCol w:w="1003"/>
      </w:tblGrid>
      <w:tr w:rsidR="00C87852" w:rsidRPr="00D95164" w14:paraId="73B28920" w14:textId="77777777" w:rsidTr="00DB0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vAlign w:val="center"/>
            <w:hideMark/>
          </w:tcPr>
          <w:p w14:paraId="53B7F058" w14:textId="77777777" w:rsidR="001261BC" w:rsidRPr="00C87852" w:rsidRDefault="001261BC" w:rsidP="00C87852">
            <w:pPr>
              <w:spacing w:after="0"/>
              <w:jc w:val="center"/>
              <w:rPr>
                <w:rFonts w:asciiTheme="majorHAnsi" w:eastAsia="Times New Roman" w:hAnsiTheme="majorHAnsi" w:cstheme="majorHAnsi"/>
                <w:bCs w:val="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sz w:val="16"/>
                <w:szCs w:val="18"/>
              </w:rPr>
              <w:t>Ukazatel</w:t>
            </w:r>
          </w:p>
        </w:tc>
        <w:tc>
          <w:tcPr>
            <w:tcW w:w="3071" w:type="pct"/>
            <w:vAlign w:val="center"/>
            <w:hideMark/>
          </w:tcPr>
          <w:p w14:paraId="528C426C" w14:textId="6D402783" w:rsidR="001261BC" w:rsidRPr="00C87852" w:rsidRDefault="001261BC" w:rsidP="00C878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sz w:val="18"/>
                <w:szCs w:val="18"/>
              </w:rPr>
              <w:t>Náze</w:t>
            </w:r>
            <w:r w:rsidR="00962A95">
              <w:rPr>
                <w:rFonts w:asciiTheme="majorHAnsi" w:eastAsia="Times New Roman" w:hAnsiTheme="majorHAnsi" w:cstheme="majorHAnsi"/>
                <w:sz w:val="18"/>
                <w:szCs w:val="18"/>
              </w:rPr>
              <w:t>v </w:t>
            </w:r>
            <w:r w:rsidRPr="00C87852">
              <w:rPr>
                <w:rFonts w:asciiTheme="majorHAnsi" w:eastAsia="Times New Roman" w:hAnsiTheme="majorHAnsi" w:cstheme="majorHAnsi"/>
                <w:sz w:val="18"/>
                <w:szCs w:val="18"/>
              </w:rPr>
              <w:t>ukazatele</w:t>
            </w:r>
          </w:p>
        </w:tc>
        <w:tc>
          <w:tcPr>
            <w:tcW w:w="502" w:type="pct"/>
            <w:vAlign w:val="center"/>
            <w:hideMark/>
          </w:tcPr>
          <w:p w14:paraId="69DD1CFF" w14:textId="77777777" w:rsidR="001261BC" w:rsidRPr="00C87852" w:rsidRDefault="001261BC" w:rsidP="00C878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sz w:val="18"/>
                <w:szCs w:val="18"/>
              </w:rPr>
              <w:t>Hodnota</w:t>
            </w:r>
            <w:r w:rsidR="00D95164" w:rsidRPr="00C87852"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  <w:t xml:space="preserve"> 2018</w:t>
            </w:r>
          </w:p>
        </w:tc>
        <w:tc>
          <w:tcPr>
            <w:tcW w:w="502" w:type="pct"/>
            <w:vAlign w:val="center"/>
            <w:hideMark/>
          </w:tcPr>
          <w:p w14:paraId="62AE54D3" w14:textId="77777777" w:rsidR="001261BC" w:rsidRPr="00C87852" w:rsidRDefault="001261BC" w:rsidP="00C878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sz w:val="18"/>
                <w:szCs w:val="18"/>
              </w:rPr>
              <w:t>Hodnota</w:t>
            </w:r>
            <w:r w:rsidR="00D95164" w:rsidRPr="00C87852"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  <w:t xml:space="preserve"> 2017</w:t>
            </w:r>
          </w:p>
        </w:tc>
        <w:tc>
          <w:tcPr>
            <w:tcW w:w="502" w:type="pct"/>
            <w:vAlign w:val="center"/>
            <w:hideMark/>
          </w:tcPr>
          <w:p w14:paraId="54F91BF6" w14:textId="77777777" w:rsidR="001261BC" w:rsidRPr="00C87852" w:rsidRDefault="001261BC" w:rsidP="00C8785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sz w:val="18"/>
                <w:szCs w:val="18"/>
              </w:rPr>
              <w:t>Hodnota</w:t>
            </w:r>
            <w:r w:rsidR="00D95164" w:rsidRPr="00C87852">
              <w:rPr>
                <w:rFonts w:asciiTheme="majorHAnsi" w:eastAsia="Times New Roman" w:hAnsiTheme="majorHAnsi" w:cstheme="majorHAnsi"/>
                <w:bCs w:val="0"/>
                <w:sz w:val="18"/>
                <w:szCs w:val="18"/>
              </w:rPr>
              <w:t xml:space="preserve"> 2016</w:t>
            </w:r>
          </w:p>
        </w:tc>
      </w:tr>
      <w:tr w:rsidR="00C87852" w:rsidRPr="00D95164" w14:paraId="41A050D0" w14:textId="77777777" w:rsidTr="00DB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23438BE2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DK69</w:t>
            </w:r>
          </w:p>
        </w:tc>
        <w:tc>
          <w:tcPr>
            <w:tcW w:w="3071" w:type="pct"/>
            <w:noWrap/>
            <w:hideMark/>
          </w:tcPr>
          <w:p w14:paraId="715A2F4C" w14:textId="3363F050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Hustota přípoje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k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(ks/km)</w:t>
            </w:r>
          </w:p>
        </w:tc>
        <w:tc>
          <w:tcPr>
            <w:tcW w:w="502" w:type="pct"/>
            <w:noWrap/>
            <w:vAlign w:val="center"/>
            <w:hideMark/>
          </w:tcPr>
          <w:p w14:paraId="2BD55A6A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35,78</w:t>
            </w:r>
          </w:p>
        </w:tc>
        <w:tc>
          <w:tcPr>
            <w:tcW w:w="502" w:type="pct"/>
            <w:noWrap/>
            <w:vAlign w:val="center"/>
            <w:hideMark/>
          </w:tcPr>
          <w:p w14:paraId="32FA6C40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35,86</w:t>
            </w:r>
          </w:p>
        </w:tc>
        <w:tc>
          <w:tcPr>
            <w:tcW w:w="502" w:type="pct"/>
            <w:noWrap/>
            <w:vAlign w:val="center"/>
            <w:hideMark/>
          </w:tcPr>
          <w:p w14:paraId="4C17A1A0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35,55</w:t>
            </w:r>
          </w:p>
        </w:tc>
      </w:tr>
      <w:tr w:rsidR="00C87852" w:rsidRPr="00D95164" w14:paraId="446D200F" w14:textId="77777777" w:rsidTr="00DB0CE2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3E4925A9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KV02</w:t>
            </w:r>
          </w:p>
        </w:tc>
        <w:tc>
          <w:tcPr>
            <w:tcW w:w="3071" w:type="pct"/>
            <w:noWrap/>
            <w:hideMark/>
          </w:tcPr>
          <w:p w14:paraId="1736A607" w14:textId="3505D2CA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Počet připojených obyvatel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 km sítě (ks/km)</w:t>
            </w:r>
          </w:p>
        </w:tc>
        <w:tc>
          <w:tcPr>
            <w:tcW w:w="502" w:type="pct"/>
            <w:noWrap/>
            <w:vAlign w:val="center"/>
            <w:hideMark/>
          </w:tcPr>
          <w:p w14:paraId="268C2805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195,23</w:t>
            </w:r>
          </w:p>
        </w:tc>
        <w:tc>
          <w:tcPr>
            <w:tcW w:w="502" w:type="pct"/>
            <w:noWrap/>
            <w:vAlign w:val="center"/>
            <w:hideMark/>
          </w:tcPr>
          <w:p w14:paraId="69E81A9C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201,55</w:t>
            </w:r>
          </w:p>
        </w:tc>
        <w:tc>
          <w:tcPr>
            <w:tcW w:w="502" w:type="pct"/>
            <w:noWrap/>
            <w:vAlign w:val="center"/>
            <w:hideMark/>
          </w:tcPr>
          <w:p w14:paraId="0851C7DD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205,08</w:t>
            </w:r>
          </w:p>
        </w:tc>
      </w:tr>
      <w:tr w:rsidR="00C87852" w:rsidRPr="00D95164" w14:paraId="7EB94E15" w14:textId="77777777" w:rsidTr="00DB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2973B0D3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KP07</w:t>
            </w:r>
          </w:p>
        </w:tc>
        <w:tc>
          <w:tcPr>
            <w:tcW w:w="3071" w:type="pct"/>
            <w:noWrap/>
            <w:hideMark/>
          </w:tcPr>
          <w:p w14:paraId="56534C2B" w14:textId="77777777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Jednotkové mzdové náklady (Kč/m3)</w:t>
            </w:r>
          </w:p>
        </w:tc>
        <w:tc>
          <w:tcPr>
            <w:tcW w:w="502" w:type="pct"/>
            <w:noWrap/>
            <w:vAlign w:val="center"/>
            <w:hideMark/>
          </w:tcPr>
          <w:p w14:paraId="549DEC54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502" w:type="pct"/>
            <w:noWrap/>
            <w:vAlign w:val="center"/>
            <w:hideMark/>
          </w:tcPr>
          <w:p w14:paraId="49804322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502" w:type="pct"/>
            <w:noWrap/>
            <w:vAlign w:val="center"/>
            <w:hideMark/>
          </w:tcPr>
          <w:p w14:paraId="589C496A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2,56</w:t>
            </w:r>
          </w:p>
        </w:tc>
      </w:tr>
      <w:tr w:rsidR="00C87852" w:rsidRPr="00D95164" w14:paraId="2C075432" w14:textId="77777777" w:rsidTr="00DB0CE2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25F56F05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KP03</w:t>
            </w:r>
          </w:p>
        </w:tc>
        <w:tc>
          <w:tcPr>
            <w:tcW w:w="3071" w:type="pct"/>
            <w:noWrap/>
            <w:hideMark/>
          </w:tcPr>
          <w:p w14:paraId="53B0E22A" w14:textId="7D2073ED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Počet připojených obyvatel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 pracovníka (obyv./prac.)</w:t>
            </w:r>
          </w:p>
        </w:tc>
        <w:tc>
          <w:tcPr>
            <w:tcW w:w="502" w:type="pct"/>
            <w:noWrap/>
            <w:vAlign w:val="center"/>
            <w:hideMark/>
          </w:tcPr>
          <w:p w14:paraId="43E14CCF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1409,75</w:t>
            </w:r>
          </w:p>
        </w:tc>
        <w:tc>
          <w:tcPr>
            <w:tcW w:w="502" w:type="pct"/>
            <w:noWrap/>
            <w:vAlign w:val="center"/>
            <w:hideMark/>
          </w:tcPr>
          <w:p w14:paraId="354C7C17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1351,08</w:t>
            </w:r>
          </w:p>
        </w:tc>
        <w:tc>
          <w:tcPr>
            <w:tcW w:w="502" w:type="pct"/>
            <w:noWrap/>
            <w:vAlign w:val="center"/>
            <w:hideMark/>
          </w:tcPr>
          <w:p w14:paraId="52413E7E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1317,61</w:t>
            </w:r>
          </w:p>
        </w:tc>
      </w:tr>
      <w:tr w:rsidR="00C87852" w:rsidRPr="00D95164" w14:paraId="4C8606C1" w14:textId="77777777" w:rsidTr="00DB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3035D5A3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KV08</w:t>
            </w:r>
          </w:p>
        </w:tc>
        <w:tc>
          <w:tcPr>
            <w:tcW w:w="3071" w:type="pct"/>
            <w:noWrap/>
            <w:hideMark/>
          </w:tcPr>
          <w:p w14:paraId="1C518F08" w14:textId="089CF5F3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Podíl odpadní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ČO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502" w:type="pct"/>
            <w:noWrap/>
            <w:vAlign w:val="center"/>
            <w:hideMark/>
          </w:tcPr>
          <w:p w14:paraId="7FE8DDF3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97,67</w:t>
            </w:r>
          </w:p>
        </w:tc>
        <w:tc>
          <w:tcPr>
            <w:tcW w:w="502" w:type="pct"/>
            <w:noWrap/>
            <w:vAlign w:val="center"/>
            <w:hideMark/>
          </w:tcPr>
          <w:p w14:paraId="2397AE63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97,69</w:t>
            </w:r>
          </w:p>
        </w:tc>
        <w:tc>
          <w:tcPr>
            <w:tcW w:w="502" w:type="pct"/>
            <w:noWrap/>
            <w:vAlign w:val="center"/>
            <w:hideMark/>
          </w:tcPr>
          <w:p w14:paraId="0D09D03A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97,79</w:t>
            </w:r>
          </w:p>
        </w:tc>
      </w:tr>
      <w:tr w:rsidR="00C87852" w:rsidRPr="00D95164" w14:paraId="6D080F73" w14:textId="77777777" w:rsidTr="00DB0CE2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CBDF11B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KOMO1</w:t>
            </w:r>
          </w:p>
        </w:tc>
        <w:tc>
          <w:tcPr>
            <w:tcW w:w="3071" w:type="pct"/>
            <w:noWrap/>
            <w:hideMark/>
          </w:tcPr>
          <w:p w14:paraId="2DD76E3A" w14:textId="3AF6D2EF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Počet poruch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 km sítě (ks/km)</w:t>
            </w:r>
          </w:p>
        </w:tc>
        <w:tc>
          <w:tcPr>
            <w:tcW w:w="502" w:type="pct"/>
            <w:noWrap/>
            <w:vAlign w:val="center"/>
            <w:hideMark/>
          </w:tcPr>
          <w:p w14:paraId="3CAC839B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502" w:type="pct"/>
            <w:noWrap/>
            <w:vAlign w:val="center"/>
            <w:hideMark/>
          </w:tcPr>
          <w:p w14:paraId="4141B7A9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02" w:type="pct"/>
            <w:noWrap/>
            <w:vAlign w:val="center"/>
            <w:hideMark/>
          </w:tcPr>
          <w:p w14:paraId="112FACE2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0,23</w:t>
            </w:r>
          </w:p>
        </w:tc>
      </w:tr>
      <w:tr w:rsidR="00C87852" w:rsidRPr="00D95164" w14:paraId="663036ED" w14:textId="77777777" w:rsidTr="00DB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9459534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KOM09</w:t>
            </w:r>
          </w:p>
        </w:tc>
        <w:tc>
          <w:tcPr>
            <w:tcW w:w="3071" w:type="pct"/>
            <w:noWrap/>
            <w:hideMark/>
          </w:tcPr>
          <w:p w14:paraId="2D79D16B" w14:textId="02025F1C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Podíl generovaných prostředků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obnovu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celkové hodnotě VIM (%)</w:t>
            </w:r>
          </w:p>
        </w:tc>
        <w:tc>
          <w:tcPr>
            <w:tcW w:w="502" w:type="pct"/>
            <w:noWrap/>
            <w:vAlign w:val="center"/>
            <w:hideMark/>
          </w:tcPr>
          <w:p w14:paraId="3563D46E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502" w:type="pct"/>
            <w:noWrap/>
            <w:vAlign w:val="center"/>
            <w:hideMark/>
          </w:tcPr>
          <w:p w14:paraId="51D962A4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502" w:type="pct"/>
            <w:noWrap/>
            <w:vAlign w:val="center"/>
            <w:hideMark/>
          </w:tcPr>
          <w:p w14:paraId="1BAA0FE3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1,78</w:t>
            </w:r>
          </w:p>
        </w:tc>
      </w:tr>
      <w:tr w:rsidR="00C87852" w:rsidRPr="00D95164" w14:paraId="11982280" w14:textId="77777777" w:rsidTr="00DB0CE2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62B81C87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KE05</w:t>
            </w:r>
          </w:p>
        </w:tc>
        <w:tc>
          <w:tcPr>
            <w:tcW w:w="3071" w:type="pct"/>
            <w:noWrap/>
            <w:hideMark/>
          </w:tcPr>
          <w:p w14:paraId="4C2B5F9A" w14:textId="5416A3CC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Jednotkový kalkulační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k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(Kč/m3)</w:t>
            </w:r>
          </w:p>
        </w:tc>
        <w:tc>
          <w:tcPr>
            <w:tcW w:w="502" w:type="pct"/>
            <w:noWrap/>
            <w:vAlign w:val="center"/>
            <w:hideMark/>
          </w:tcPr>
          <w:p w14:paraId="36FF7AC0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502" w:type="pct"/>
            <w:noWrap/>
            <w:vAlign w:val="center"/>
            <w:hideMark/>
          </w:tcPr>
          <w:p w14:paraId="0214EF7F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502" w:type="pct"/>
            <w:noWrap/>
            <w:vAlign w:val="center"/>
            <w:hideMark/>
          </w:tcPr>
          <w:p w14:paraId="78348325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2,71</w:t>
            </w:r>
          </w:p>
        </w:tc>
      </w:tr>
      <w:tr w:rsidR="00C87852" w:rsidRPr="00D95164" w14:paraId="58063653" w14:textId="77777777" w:rsidTr="00DB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14703CE1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ZKC61</w:t>
            </w:r>
          </w:p>
        </w:tc>
        <w:tc>
          <w:tcPr>
            <w:tcW w:w="3071" w:type="pct"/>
            <w:noWrap/>
            <w:hideMark/>
          </w:tcPr>
          <w:p w14:paraId="30DC35F1" w14:textId="77777777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Jednotkové UVN (Kč/m3)</w:t>
            </w:r>
          </w:p>
        </w:tc>
        <w:tc>
          <w:tcPr>
            <w:tcW w:w="502" w:type="pct"/>
            <w:noWrap/>
            <w:vAlign w:val="center"/>
            <w:hideMark/>
          </w:tcPr>
          <w:p w14:paraId="0B0E2CDB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31,49</w:t>
            </w:r>
          </w:p>
        </w:tc>
        <w:tc>
          <w:tcPr>
            <w:tcW w:w="502" w:type="pct"/>
            <w:noWrap/>
            <w:vAlign w:val="center"/>
            <w:hideMark/>
          </w:tcPr>
          <w:p w14:paraId="39DB79EB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31,06</w:t>
            </w:r>
          </w:p>
        </w:tc>
        <w:tc>
          <w:tcPr>
            <w:tcW w:w="502" w:type="pct"/>
            <w:noWrap/>
            <w:vAlign w:val="center"/>
            <w:hideMark/>
          </w:tcPr>
          <w:p w14:paraId="33E0F43A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30,53</w:t>
            </w:r>
          </w:p>
        </w:tc>
      </w:tr>
      <w:tr w:rsidR="00C87852" w:rsidRPr="00D95164" w14:paraId="56B38590" w14:textId="77777777" w:rsidTr="00DB0CE2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015F0584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ZKC34</w:t>
            </w:r>
          </w:p>
        </w:tc>
        <w:tc>
          <w:tcPr>
            <w:tcW w:w="3071" w:type="pct"/>
            <w:noWrap/>
            <w:hideMark/>
          </w:tcPr>
          <w:p w14:paraId="356359FE" w14:textId="6DEC899F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pro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stočné (Kč/m3)</w:t>
            </w:r>
          </w:p>
        </w:tc>
        <w:tc>
          <w:tcPr>
            <w:tcW w:w="502" w:type="pct"/>
            <w:noWrap/>
            <w:vAlign w:val="center"/>
            <w:hideMark/>
          </w:tcPr>
          <w:p w14:paraId="3F80323A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33,61</w:t>
            </w:r>
          </w:p>
        </w:tc>
        <w:tc>
          <w:tcPr>
            <w:tcW w:w="502" w:type="pct"/>
            <w:noWrap/>
            <w:vAlign w:val="center"/>
            <w:hideMark/>
          </w:tcPr>
          <w:p w14:paraId="3413AEEB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33,64</w:t>
            </w:r>
          </w:p>
        </w:tc>
        <w:tc>
          <w:tcPr>
            <w:tcW w:w="502" w:type="pct"/>
            <w:noWrap/>
            <w:vAlign w:val="center"/>
            <w:hideMark/>
          </w:tcPr>
          <w:p w14:paraId="722A2AA9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33,23</w:t>
            </w:r>
          </w:p>
        </w:tc>
      </w:tr>
      <w:tr w:rsidR="00C87852" w:rsidRPr="00D95164" w14:paraId="167955DC" w14:textId="77777777" w:rsidTr="00DB0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017BC01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KE04</w:t>
            </w:r>
          </w:p>
        </w:tc>
        <w:tc>
          <w:tcPr>
            <w:tcW w:w="3071" w:type="pct"/>
            <w:noWrap/>
            <w:hideMark/>
          </w:tcPr>
          <w:p w14:paraId="69945245" w14:textId="14961AEE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stočném (%)</w:t>
            </w:r>
          </w:p>
        </w:tc>
        <w:tc>
          <w:tcPr>
            <w:tcW w:w="502" w:type="pct"/>
            <w:noWrap/>
            <w:vAlign w:val="center"/>
            <w:hideMark/>
          </w:tcPr>
          <w:p w14:paraId="7A250E15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502" w:type="pct"/>
            <w:noWrap/>
            <w:vAlign w:val="center"/>
            <w:hideMark/>
          </w:tcPr>
          <w:p w14:paraId="7A9A46D8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7,67</w:t>
            </w:r>
          </w:p>
        </w:tc>
        <w:tc>
          <w:tcPr>
            <w:tcW w:w="502" w:type="pct"/>
            <w:noWrap/>
            <w:vAlign w:val="center"/>
            <w:hideMark/>
          </w:tcPr>
          <w:p w14:paraId="0B9CB931" w14:textId="77777777" w:rsidR="001261BC" w:rsidRPr="00D95164" w:rsidRDefault="001261BC" w:rsidP="00C878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8,14</w:t>
            </w:r>
          </w:p>
        </w:tc>
      </w:tr>
      <w:tr w:rsidR="00C87852" w:rsidRPr="00D95164" w14:paraId="521F2BA9" w14:textId="77777777" w:rsidTr="00DB0CE2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pct"/>
            <w:noWrap/>
            <w:hideMark/>
          </w:tcPr>
          <w:p w14:paraId="47DF9038" w14:textId="77777777" w:rsidR="001261BC" w:rsidRPr="00C87852" w:rsidRDefault="001261BC" w:rsidP="00C87852">
            <w:pPr>
              <w:spacing w:after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</w:pPr>
            <w:r w:rsidRPr="00C87852">
              <w:rPr>
                <w:rFonts w:asciiTheme="majorHAnsi" w:eastAsia="Times New Roman" w:hAnsiTheme="majorHAnsi" w:cstheme="majorHAnsi"/>
                <w:b w:val="0"/>
                <w:color w:val="000000"/>
                <w:sz w:val="16"/>
                <w:szCs w:val="18"/>
              </w:rPr>
              <w:t>OKF</w:t>
            </w:r>
          </w:p>
        </w:tc>
        <w:tc>
          <w:tcPr>
            <w:tcW w:w="3071" w:type="pct"/>
            <w:noWrap/>
            <w:hideMark/>
          </w:tcPr>
          <w:p w14:paraId="66AC9021" w14:textId="77777777" w:rsidR="001261BC" w:rsidRPr="00D95164" w:rsidRDefault="001261BC" w:rsidP="00C8785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Operační koeficient</w:t>
            </w:r>
          </w:p>
        </w:tc>
        <w:tc>
          <w:tcPr>
            <w:tcW w:w="502" w:type="pct"/>
            <w:noWrap/>
            <w:vAlign w:val="center"/>
            <w:hideMark/>
          </w:tcPr>
          <w:p w14:paraId="05222F63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02" w:type="pct"/>
            <w:noWrap/>
            <w:vAlign w:val="center"/>
            <w:hideMark/>
          </w:tcPr>
          <w:p w14:paraId="0B80A3F0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502" w:type="pct"/>
            <w:noWrap/>
            <w:vAlign w:val="center"/>
            <w:hideMark/>
          </w:tcPr>
          <w:p w14:paraId="611DDFCA" w14:textId="77777777" w:rsidR="001261BC" w:rsidRPr="00D95164" w:rsidRDefault="001261BC" w:rsidP="00C878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9516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1,03</w:t>
            </w:r>
          </w:p>
        </w:tc>
      </w:tr>
    </w:tbl>
    <w:p w14:paraId="10DAE616" w14:textId="5F2BC814" w:rsidR="002313E6" w:rsidRDefault="00962A95" w:rsidP="002313E6">
      <w:pPr>
        <w:pStyle w:val="NORMLN0"/>
      </w:pPr>
      <w:r>
        <w:t>Z </w:t>
      </w:r>
      <w:r w:rsidR="002313E6">
        <w:t>meziročníh</w:t>
      </w:r>
      <w:r>
        <w:t>o </w:t>
      </w:r>
      <w:r w:rsidR="002313E6">
        <w:t xml:space="preserve">porovnání ekonomických ukazatelů odpadní vody je patrný nárůst jednotkových nákladů </w:t>
      </w:r>
      <w:r>
        <w:t>o </w:t>
      </w:r>
      <w:r w:rsidR="002313E6">
        <w:t>0,43 – 0,59 Kč</w:t>
      </w:r>
      <w:r w:rsidR="00746E00">
        <w:t>, ce</w:t>
      </w:r>
      <w:r>
        <w:t>na </w:t>
      </w:r>
      <w:r w:rsidR="002313E6">
        <w:t>mezi rok</w:t>
      </w:r>
      <w:r w:rsidR="00746E00">
        <w:t>y</w:t>
      </w:r>
      <w:r w:rsidR="002313E6">
        <w:t xml:space="preserve"> 2016 a 2017 stoupla </w:t>
      </w:r>
      <w:r>
        <w:t>o </w:t>
      </w:r>
      <w:r w:rsidR="002313E6">
        <w:t>0,41 Kč</w:t>
      </w:r>
      <w:r w:rsidR="00B35DCF">
        <w:t xml:space="preserve"> a mezi</w:t>
      </w:r>
      <w:r>
        <w:t> </w:t>
      </w:r>
      <w:r w:rsidR="00B35DCF">
        <w:t xml:space="preserve">roky 2017 </w:t>
      </w:r>
      <w:r w:rsidR="002313E6">
        <w:t xml:space="preserve">a 2018 klesla </w:t>
      </w:r>
      <w:r>
        <w:t>o </w:t>
      </w:r>
      <w:r w:rsidR="002313E6">
        <w:t xml:space="preserve">0,03 Kč, podíl zisku </w:t>
      </w:r>
      <w:r>
        <w:t>na </w:t>
      </w:r>
      <w:r w:rsidR="002313E6">
        <w:t>stočném</w:t>
      </w:r>
      <w:r w:rsidR="00232832">
        <w:t xml:space="preserve"> klesl</w:t>
      </w:r>
      <w:r w:rsidR="002313E6">
        <w:t xml:space="preserve"> </w:t>
      </w:r>
      <w:r>
        <w:t>o </w:t>
      </w:r>
      <w:r w:rsidR="002313E6">
        <w:t>0,47 – 1,36 %, OKF</w:t>
      </w:r>
      <w:r w:rsidR="00371EFB">
        <w:t xml:space="preserve"> </w:t>
      </w:r>
      <w:r w:rsidR="002313E6">
        <w:t>mezi</w:t>
      </w:r>
      <w:r>
        <w:t> </w:t>
      </w:r>
      <w:r w:rsidR="002313E6">
        <w:t xml:space="preserve">roky 2016 a 2017 stoupl </w:t>
      </w:r>
      <w:r>
        <w:t>o </w:t>
      </w:r>
      <w:r w:rsidR="002313E6">
        <w:t xml:space="preserve">0,05 a mezi roky 2017 a 2018 klesl </w:t>
      </w:r>
      <w:r>
        <w:t>o </w:t>
      </w:r>
      <w:r w:rsidR="002313E6">
        <w:t>0,08. Podíl generovaných</w:t>
      </w:r>
      <w:r w:rsidR="00EB3A59">
        <w:t xml:space="preserve"> P</w:t>
      </w:r>
      <w:r>
        <w:t>O </w:t>
      </w:r>
      <w:r w:rsidR="002313E6">
        <w:t xml:space="preserve">mezi roky 2016 a 2017 </w:t>
      </w:r>
      <w:r w:rsidR="00A33037">
        <w:t>stoupnul</w:t>
      </w:r>
      <w:r w:rsidR="002313E6">
        <w:t xml:space="preserve"> </w:t>
      </w:r>
      <w:r>
        <w:t>o </w:t>
      </w:r>
      <w:r w:rsidR="002313E6">
        <w:t xml:space="preserve">0,04 % a mezi 2017 a 2018 klesl </w:t>
      </w:r>
      <w:r>
        <w:t>o </w:t>
      </w:r>
      <w:r w:rsidR="002313E6">
        <w:t>0,01</w:t>
      </w:r>
      <w:r w:rsidR="00371EFB">
        <w:t xml:space="preserve"> </w:t>
      </w:r>
      <w:r w:rsidR="002313E6">
        <w:t>%.</w:t>
      </w:r>
      <w:r w:rsidR="00B35DCF">
        <w:t xml:space="preserve"> </w:t>
      </w:r>
      <w:r w:rsidR="00232832">
        <w:t xml:space="preserve">Mírný pokles hodnot ekonomických ukazatelů mezi roky 2017 a 2018 je zapříčiněn nárůstem počtu Porovnání </w:t>
      </w:r>
      <w:r>
        <w:t>ve </w:t>
      </w:r>
      <w:r w:rsidR="00232832">
        <w:t>skupinách s nižší hodnotou VIM i nižším počtem připojených osob.</w:t>
      </w:r>
      <w:r w:rsidR="0082372A">
        <w:t xml:space="preserve"> U</w:t>
      </w:r>
      <w:r w:rsidR="00DE53F8">
        <w:t> </w:t>
      </w:r>
      <w:r w:rsidR="002313E6">
        <w:t>ukazatelů popisujících sta</w:t>
      </w:r>
      <w:r>
        <w:t>v </w:t>
      </w:r>
      <w:r w:rsidR="00232832">
        <w:t>a velikost</w:t>
      </w:r>
      <w:r w:rsidR="002313E6">
        <w:t xml:space="preserve"> VIM se</w:t>
      </w:r>
      <w:r>
        <w:t>,</w:t>
      </w:r>
      <w:r w:rsidR="00A47E54">
        <w:t xml:space="preserve"> obdobně</w:t>
      </w:r>
      <w:r>
        <w:t xml:space="preserve"> </w:t>
      </w:r>
      <w:r w:rsidR="00B35DCF">
        <w:t>jak</w:t>
      </w:r>
      <w:r>
        <w:t>o</w:t>
      </w:r>
      <w:r w:rsidR="00DE53F8">
        <w:t xml:space="preserve"> u </w:t>
      </w:r>
      <w:r w:rsidR="00B35DCF">
        <w:t>pitné vody</w:t>
      </w:r>
      <w:r>
        <w:t>,</w:t>
      </w:r>
      <w:r w:rsidR="00B35DCF">
        <w:t xml:space="preserve"> </w:t>
      </w:r>
      <w:r w:rsidR="002313E6">
        <w:t>poměrně významně</w:t>
      </w:r>
      <w:r w:rsidR="00A47E54">
        <w:t xml:space="preserve"> zvýšil zejmé</w:t>
      </w:r>
      <w:r>
        <w:t>na </w:t>
      </w:r>
      <w:r w:rsidR="00A47E54">
        <w:t>počet připojených</w:t>
      </w:r>
      <w:r w:rsidR="002313E6">
        <w:t xml:space="preserve"> obyvatel </w:t>
      </w:r>
      <w:r>
        <w:t>na </w:t>
      </w:r>
      <w:r w:rsidR="002313E6">
        <w:t xml:space="preserve">pracovníka (mezi roky 2017 a 2018 </w:t>
      </w:r>
      <w:r>
        <w:t>o </w:t>
      </w:r>
      <w:r w:rsidR="00B35DCF">
        <w:t>58,67</w:t>
      </w:r>
      <w:r w:rsidR="002313E6">
        <w:t xml:space="preserve"> obyvatel), což l</w:t>
      </w:r>
      <w:r>
        <w:t>ze </w:t>
      </w:r>
      <w:r w:rsidR="00A33037">
        <w:t xml:space="preserve">opět </w:t>
      </w:r>
      <w:r w:rsidR="0082372A">
        <w:t>přičíst vlivu</w:t>
      </w:r>
      <w:r w:rsidR="00232832">
        <w:t xml:space="preserve"> zmíněnéh</w:t>
      </w:r>
      <w:r>
        <w:t>o </w:t>
      </w:r>
      <w:r w:rsidR="002313E6">
        <w:t>nárůstu počtu Porovnání</w:t>
      </w:r>
      <w:r w:rsidR="00232832">
        <w:t>.</w:t>
      </w:r>
      <w:r w:rsidR="002313E6">
        <w:t xml:space="preserve"> Hodnoty poruchovosti, </w:t>
      </w:r>
      <w:r w:rsidR="00B35DCF">
        <w:t>podílu čištěných odpadních vod a hustoty přípoje</w:t>
      </w:r>
      <w:r>
        <w:t>k na </w:t>
      </w:r>
      <w:r w:rsidR="00B35DCF">
        <w:t>km</w:t>
      </w:r>
      <w:r w:rsidR="002313E6">
        <w:t xml:space="preserve"> vykazují meziročně poměrně stabilní hodnoty.</w:t>
      </w:r>
    </w:p>
    <w:p w14:paraId="38B99EDA" w14:textId="77777777" w:rsidR="001261BC" w:rsidRDefault="001261BC">
      <w:pPr>
        <w:spacing w:before="0" w:after="160" w:line="259" w:lineRule="auto"/>
        <w:contextualSpacing w:val="0"/>
        <w:jc w:val="left"/>
        <w:rPr>
          <w:rFonts w:ascii="Cambria" w:eastAsia="Times New Roman" w:hAnsi="Cambria"/>
          <w:color w:val="365F91"/>
          <w:sz w:val="32"/>
          <w:szCs w:val="32"/>
        </w:rPr>
      </w:pPr>
      <w:r>
        <w:br w:type="page"/>
      </w:r>
    </w:p>
    <w:p w14:paraId="440FE843" w14:textId="77777777" w:rsidR="004A07BA" w:rsidRPr="00A340F8" w:rsidRDefault="004A07BA" w:rsidP="004A07BA">
      <w:pPr>
        <w:pStyle w:val="Nadpis1"/>
      </w:pPr>
      <w:bookmarkStart w:id="22" w:name="_Toc34210374"/>
      <w:r w:rsidRPr="00A340F8">
        <w:lastRenderedPageBreak/>
        <w:t>Proces zlepšování kvality sbíraných dat</w:t>
      </w:r>
      <w:bookmarkEnd w:id="18"/>
      <w:bookmarkEnd w:id="22"/>
      <w:r w:rsidRPr="00A340F8">
        <w:t xml:space="preserve"> </w:t>
      </w:r>
    </w:p>
    <w:p w14:paraId="314E2EBA" w14:textId="56124EE6" w:rsidR="004A07BA" w:rsidRPr="00C358BA" w:rsidRDefault="00A21BA2" w:rsidP="00962A95">
      <w:pPr>
        <w:pStyle w:val="NORMLN0"/>
      </w:pPr>
      <w:r>
        <w:t>Kvalita vypracovanéh</w:t>
      </w:r>
      <w:r w:rsidR="00962A95">
        <w:t>o </w:t>
      </w:r>
      <w:r>
        <w:t xml:space="preserve">benchmarkingu </w:t>
      </w:r>
      <w:r w:rsidR="00F42436">
        <w:t>(kromě jin</w:t>
      </w:r>
      <w:r w:rsidR="00AF24C7">
        <w:t>é</w:t>
      </w:r>
      <w:r w:rsidR="00F42436">
        <w:t>ho) významně</w:t>
      </w:r>
      <w:r>
        <w:t xml:space="preserve"> závisí </w:t>
      </w:r>
      <w:r w:rsidR="00962A95">
        <w:t>na </w:t>
      </w:r>
      <w:r>
        <w:t>kvalit</w:t>
      </w:r>
      <w:r w:rsidR="00805B91">
        <w:t>ě</w:t>
      </w:r>
      <w:r>
        <w:t xml:space="preserve"> vstupních dat. Problematika kvality dat </w:t>
      </w:r>
      <w:r w:rsidRPr="00C358BA">
        <w:t xml:space="preserve">byla </w:t>
      </w:r>
      <w:r w:rsidR="00962A95">
        <w:t>v </w:t>
      </w:r>
      <w:r w:rsidRPr="00C358BA">
        <w:t>rámci SWOT analý</w:t>
      </w:r>
      <w:r w:rsidR="0082372A">
        <w:t xml:space="preserve">z </w:t>
      </w:r>
      <w:r w:rsidRPr="00C358BA">
        <w:t>identifiková</w:t>
      </w:r>
      <w:r w:rsidR="0082372A">
        <w:t xml:space="preserve">na </w:t>
      </w:r>
      <w:r>
        <w:t>jak</w:t>
      </w:r>
      <w:r w:rsidR="0082372A">
        <w:t xml:space="preserve">o </w:t>
      </w:r>
      <w:r>
        <w:t>jed</w:t>
      </w:r>
      <w:r w:rsidR="0082372A">
        <w:t xml:space="preserve">na </w:t>
      </w:r>
      <w:r w:rsidR="00962A95">
        <w:t>ze </w:t>
      </w:r>
      <w:r>
        <w:t xml:space="preserve">slabých stránek. </w:t>
      </w:r>
    </w:p>
    <w:p w14:paraId="1F636DFD" w14:textId="5E9BC462" w:rsidR="004A07BA" w:rsidRPr="00BF56FA" w:rsidRDefault="004A07BA" w:rsidP="00164038">
      <w:pPr>
        <w:pStyle w:val="NORMLN0"/>
        <w:ind w:firstLine="0"/>
      </w:pPr>
      <w:r w:rsidRPr="00BF56FA">
        <w:t xml:space="preserve">Kvalitu dat </w:t>
      </w:r>
      <w:r w:rsidR="00962A95">
        <w:t>pro </w:t>
      </w:r>
      <w:r w:rsidRPr="00BF56FA">
        <w:t>potřeby benchmarkingových projektů l</w:t>
      </w:r>
      <w:r w:rsidR="00962A95">
        <w:t>ze </w:t>
      </w:r>
      <w:r w:rsidRPr="00BF56FA">
        <w:t>posuzovat podle čtyř hledisek:</w:t>
      </w:r>
    </w:p>
    <w:p w14:paraId="447F4346" w14:textId="54939FC5" w:rsidR="004A07BA" w:rsidRPr="00BF56FA" w:rsidRDefault="004A07BA" w:rsidP="00164038">
      <w:pPr>
        <w:pStyle w:val="NORMLN0"/>
        <w:ind w:left="567" w:firstLine="0"/>
      </w:pPr>
      <w:r w:rsidRPr="00BF56FA">
        <w:t xml:space="preserve">1. náležitosti nutné </w:t>
      </w:r>
      <w:r w:rsidR="00962A95">
        <w:t>k </w:t>
      </w:r>
      <w:r w:rsidRPr="00BF56FA">
        <w:t xml:space="preserve">propojení, tj. data odevzdávaná prostřednictvím dvou databází </w:t>
      </w:r>
      <w:r w:rsidR="00164038">
        <w:br/>
        <w:t xml:space="preserve">     </w:t>
      </w:r>
      <w:r w:rsidRPr="00BF56FA">
        <w:t xml:space="preserve">musí obsahovat veškeré náležitosti potřebné </w:t>
      </w:r>
      <w:r w:rsidR="00962A95">
        <w:t>pro </w:t>
      </w:r>
      <w:r w:rsidRPr="00BF56FA">
        <w:t>jejich propojení</w:t>
      </w:r>
      <w:r>
        <w:t>,</w:t>
      </w:r>
    </w:p>
    <w:p w14:paraId="6144AF64" w14:textId="3FAA7C37" w:rsidR="004A07BA" w:rsidRPr="00BF56FA" w:rsidRDefault="004A07BA" w:rsidP="00164038">
      <w:pPr>
        <w:pStyle w:val="NORMLN0"/>
        <w:ind w:left="567" w:firstLine="0"/>
      </w:pPr>
      <w:r w:rsidRPr="00BF56FA">
        <w:t xml:space="preserve">2. jednotná obsahová náplň, tj. zpracovatelé musí chápat jednotlivé vykazované údaje </w:t>
      </w:r>
      <w:r w:rsidR="00164038">
        <w:br/>
        <w:t xml:space="preserve">    </w:t>
      </w:r>
      <w:r w:rsidRPr="00BF56FA">
        <w:t>stejně</w:t>
      </w:r>
      <w:r>
        <w:t>,</w:t>
      </w:r>
    </w:p>
    <w:p w14:paraId="23097CCD" w14:textId="0B0DDBC2" w:rsidR="004A07BA" w:rsidRDefault="004A07BA" w:rsidP="00164038">
      <w:pPr>
        <w:pStyle w:val="NORMLN0"/>
        <w:ind w:left="851" w:hanging="284"/>
        <w:rPr>
          <w:rFonts w:cs="Calibri"/>
          <w:noProof/>
        </w:rPr>
      </w:pPr>
      <w:r w:rsidRPr="00BF56FA">
        <w:t>3. úplnost dat, tzn., že se subjekty musí naučit pravdivě a úplně vykazovat např. počty poruch, ztráty pitné vody, veškeré související ekonomicky oprávněné náklady apod. tak, aby data měla vypovídací schopnost a byla srovnatelná; dále je třeba d</w:t>
      </w:r>
      <w:r w:rsidR="00962A95">
        <w:t>o </w:t>
      </w:r>
      <w:r>
        <w:rPr>
          <w:rFonts w:cs="Calibri"/>
          <w:noProof/>
        </w:rPr>
        <w:t xml:space="preserve">VÚPE doplnit údaje </w:t>
      </w:r>
      <w:r w:rsidR="00962A95">
        <w:rPr>
          <w:rFonts w:cs="Calibri"/>
          <w:noProof/>
        </w:rPr>
        <w:t>za </w:t>
      </w:r>
      <w:r>
        <w:rPr>
          <w:rFonts w:cs="Calibri"/>
          <w:noProof/>
        </w:rPr>
        <w:t xml:space="preserve">přiváděcí řady, které se dosud </w:t>
      </w:r>
      <w:r w:rsidR="00962A95">
        <w:rPr>
          <w:rFonts w:cs="Calibri"/>
          <w:noProof/>
        </w:rPr>
        <w:t>na </w:t>
      </w:r>
      <w:r>
        <w:rPr>
          <w:rFonts w:cs="Calibri"/>
          <w:noProof/>
        </w:rPr>
        <w:t>M</w:t>
      </w:r>
      <w:r w:rsidR="00962A95">
        <w:rPr>
          <w:rFonts w:cs="Calibri"/>
          <w:noProof/>
        </w:rPr>
        <w:t>Ze </w:t>
      </w:r>
      <w:r>
        <w:rPr>
          <w:rFonts w:cs="Calibri"/>
          <w:noProof/>
        </w:rPr>
        <w:t>nezasílaly a docházel</w:t>
      </w:r>
      <w:r w:rsidR="00962A95">
        <w:rPr>
          <w:rFonts w:cs="Calibri"/>
          <w:noProof/>
        </w:rPr>
        <w:t>o </w:t>
      </w:r>
      <w:r>
        <w:rPr>
          <w:rFonts w:cs="Calibri"/>
          <w:noProof/>
        </w:rPr>
        <w:t>ta</w:t>
      </w:r>
      <w:r w:rsidR="00962A95">
        <w:rPr>
          <w:rFonts w:cs="Calibri"/>
          <w:noProof/>
        </w:rPr>
        <w:t>k</w:t>
      </w:r>
      <w:r w:rsidR="00BD5FF3">
        <w:rPr>
          <w:rFonts w:cs="Calibri"/>
          <w:noProof/>
        </w:rPr>
        <w:t xml:space="preserve"> ke </w:t>
      </w:r>
      <w:r>
        <w:rPr>
          <w:rFonts w:cs="Calibri"/>
          <w:noProof/>
        </w:rPr>
        <w:t>zkreslení hodnot některých ukazatelů,</w:t>
      </w:r>
    </w:p>
    <w:p w14:paraId="3E058669" w14:textId="6D0E4DA0" w:rsidR="004A07BA" w:rsidRPr="00A340F8" w:rsidRDefault="004A07BA" w:rsidP="00164038">
      <w:pPr>
        <w:pStyle w:val="NORMLN0"/>
        <w:ind w:left="851" w:hanging="284"/>
      </w:pPr>
      <w:r w:rsidRPr="00A340F8">
        <w:t xml:space="preserve">4. odlišnost struktury odevzdávaných dat </w:t>
      </w:r>
      <w:r w:rsidR="00962A95">
        <w:t>v </w:t>
      </w:r>
      <w:r w:rsidRPr="00A340F8">
        <w:t xml:space="preserve">rámci Porovnání plynoucí </w:t>
      </w:r>
      <w:r w:rsidR="00962A95">
        <w:t>z </w:t>
      </w:r>
      <w:r w:rsidRPr="00A340F8">
        <w:t>aplikovanéh</w:t>
      </w:r>
      <w:r w:rsidR="00962A95">
        <w:t>o </w:t>
      </w:r>
      <w:r w:rsidRPr="00A340F8">
        <w:t>modelu provozování. Projevuje se nemožností blíže posuzovat některé ukazatele jednotně např. výše kalkulačníh</w:t>
      </w:r>
      <w:r w:rsidR="00962A95">
        <w:t>o </w:t>
      </w:r>
      <w:r w:rsidRPr="00A340F8">
        <w:t>zisku (u oddílnéh</w:t>
      </w:r>
      <w:r w:rsidR="00962A95">
        <w:t>o </w:t>
      </w:r>
      <w:r w:rsidRPr="00A340F8">
        <w:t xml:space="preserve">modelu je část zisku skrytá </w:t>
      </w:r>
      <w:r w:rsidR="00962A95">
        <w:t>v </w:t>
      </w:r>
      <w:r w:rsidRPr="00A340F8">
        <w:t>nájemném) neb</w:t>
      </w:r>
      <w:r w:rsidR="00962A95">
        <w:t>o </w:t>
      </w:r>
      <w:r w:rsidRPr="00A340F8">
        <w:t xml:space="preserve">množství generovaných </w:t>
      </w:r>
      <w:r w:rsidR="00EB3A59">
        <w:t>P</w:t>
      </w:r>
      <w:r w:rsidR="00962A95">
        <w:t>O </w:t>
      </w:r>
      <w:r w:rsidRPr="00A340F8">
        <w:t xml:space="preserve">plynoucí </w:t>
      </w:r>
      <w:r w:rsidR="00962A95">
        <w:t>z </w:t>
      </w:r>
      <w:r w:rsidRPr="00A340F8">
        <w:t>opra</w:t>
      </w:r>
      <w:r w:rsidR="00962A95">
        <w:t>v </w:t>
      </w:r>
      <w:r w:rsidRPr="00A340F8">
        <w:t xml:space="preserve">VIM </w:t>
      </w:r>
      <w:r w:rsidR="00962A95">
        <w:t>v </w:t>
      </w:r>
      <w:r w:rsidRPr="00A340F8">
        <w:t>sobě zahrnuje i údržbu či náklady</w:t>
      </w:r>
      <w:r>
        <w:t xml:space="preserve"> </w:t>
      </w:r>
      <w:r w:rsidR="00962A95">
        <w:t>na </w:t>
      </w:r>
      <w:r>
        <w:t>odstranění poruch a havárií apod.</w:t>
      </w:r>
      <w:r w:rsidRPr="00A340F8">
        <w:t xml:space="preserve"> </w:t>
      </w:r>
    </w:p>
    <w:p w14:paraId="75023DFD" w14:textId="0DD55D51" w:rsidR="004A07BA" w:rsidRPr="00A340F8" w:rsidRDefault="004A07BA" w:rsidP="00962A95">
      <w:pPr>
        <w:pStyle w:val="NORMLN0"/>
      </w:pPr>
      <w:r w:rsidRPr="00A340F8">
        <w:tab/>
      </w:r>
      <w:r w:rsidR="00962A95">
        <w:t>Na </w:t>
      </w:r>
      <w:r w:rsidRPr="00A340F8">
        <w:t>eliminaci</w:t>
      </w:r>
      <w:r>
        <w:t xml:space="preserve"> </w:t>
      </w:r>
      <w:r w:rsidRPr="00A340F8">
        <w:t>uvedených nedostatků</w:t>
      </w:r>
      <w:r>
        <w:t xml:space="preserve"> </w:t>
      </w:r>
      <w:r w:rsidRPr="00A340F8">
        <w:t>kvality dat M</w:t>
      </w:r>
      <w:r w:rsidR="00962A95">
        <w:t>Ze </w:t>
      </w:r>
      <w:r w:rsidRPr="00A340F8">
        <w:t>průběžně pracuje, a t</w:t>
      </w:r>
      <w:r w:rsidR="00962A95">
        <w:t>o </w:t>
      </w:r>
      <w:r w:rsidRPr="00A340F8">
        <w:t xml:space="preserve">prostřednictvím osobní komunikace s jednotlivými zpracovateli odevzdávaných údajů, prezentací </w:t>
      </w:r>
      <w:r w:rsidR="00962A95">
        <w:t>na </w:t>
      </w:r>
      <w:r w:rsidRPr="00A340F8">
        <w:t>konferencích,</w:t>
      </w:r>
      <w:r>
        <w:t xml:space="preserve"> </w:t>
      </w:r>
      <w:r w:rsidRPr="00A340F8">
        <w:t>novelizací vyhlášky č.</w:t>
      </w:r>
      <w:r>
        <w:t> </w:t>
      </w:r>
      <w:r w:rsidRPr="00A340F8">
        <w:t>428/2001 Sb.</w:t>
      </w:r>
      <w:r w:rsidR="00371EFB">
        <w:t xml:space="preserve"> </w:t>
      </w:r>
      <w:r w:rsidR="00493618">
        <w:t xml:space="preserve">Dalším nástrojem jsou adresné výzvy vlastníkům VIM. </w:t>
      </w:r>
      <w:r w:rsidR="00962A95">
        <w:t>V </w:t>
      </w:r>
      <w:r w:rsidR="00493618">
        <w:t>roce 2019 byli M</w:t>
      </w:r>
      <w:r w:rsidR="00962A95">
        <w:t>Ze </w:t>
      </w:r>
      <w:r w:rsidR="00B50349">
        <w:t>osloveni</w:t>
      </w:r>
      <w:r w:rsidR="00493618">
        <w:t xml:space="preserve"> vlastníci VIM, kteří neplnili povinnosti podle §36 odst. 5 ZVK. </w:t>
      </w:r>
      <w:r w:rsidR="00B50349">
        <w:t xml:space="preserve">Výsledkem výzvy byl </w:t>
      </w:r>
      <w:r w:rsidR="00EF3E8F">
        <w:t xml:space="preserve">nárůst počtu obdržených </w:t>
      </w:r>
      <w:r w:rsidR="00805B91">
        <w:t>P</w:t>
      </w:r>
      <w:r w:rsidR="00EF3E8F">
        <w:t xml:space="preserve">orovnání </w:t>
      </w:r>
      <w:r w:rsidR="00962A95">
        <w:t>za </w:t>
      </w:r>
      <w:r w:rsidR="00EF3E8F">
        <w:t>ro</w:t>
      </w:r>
      <w:r w:rsidR="00962A95">
        <w:t>k </w:t>
      </w:r>
      <w:r w:rsidR="00EF3E8F">
        <w:t>2018.</w:t>
      </w:r>
      <w:r w:rsidR="00B50349">
        <w:t xml:space="preserve"> </w:t>
      </w:r>
      <w:r w:rsidR="00962A95">
        <w:t>V </w:t>
      </w:r>
      <w:r w:rsidR="00B50349">
        <w:t xml:space="preserve">porovnání s předchozím rokem </w:t>
      </w:r>
      <w:r w:rsidR="00805B91">
        <w:t>obdržel</w:t>
      </w:r>
      <w:r w:rsidR="00962A95">
        <w:t>o </w:t>
      </w:r>
      <w:r w:rsidR="00B50349">
        <w:t>M</w:t>
      </w:r>
      <w:r w:rsidR="00962A95">
        <w:t>Ze </w:t>
      </w:r>
      <w:r w:rsidR="00805B91">
        <w:t>podstatně více Porovnání, a t</w:t>
      </w:r>
      <w:r w:rsidR="00962A95">
        <w:t>o o </w:t>
      </w:r>
      <w:r w:rsidR="00B50349">
        <w:t xml:space="preserve">391 Porovnání </w:t>
      </w:r>
      <w:r w:rsidR="00962A95">
        <w:t>za </w:t>
      </w:r>
      <w:r w:rsidR="00805B91">
        <w:t xml:space="preserve">pitnou vodu </w:t>
      </w:r>
      <w:r w:rsidR="00B50349">
        <w:t xml:space="preserve">a </w:t>
      </w:r>
      <w:r w:rsidR="00962A95">
        <w:t>o </w:t>
      </w:r>
      <w:r w:rsidR="00B50349">
        <w:t xml:space="preserve">546 Porovnání </w:t>
      </w:r>
      <w:r w:rsidR="00962A95">
        <w:t>za </w:t>
      </w:r>
      <w:r w:rsidR="00805B91">
        <w:t>vodu odpadní.</w:t>
      </w:r>
      <w:r w:rsidR="00EF3E8F">
        <w:t xml:space="preserve"> </w:t>
      </w:r>
    </w:p>
    <w:p w14:paraId="7210F690" w14:textId="77777777" w:rsidR="008931B7" w:rsidRPr="00C62639" w:rsidRDefault="008931B7" w:rsidP="00967419">
      <w:pPr>
        <w:pStyle w:val="Nadpis2"/>
        <w:rPr>
          <w:noProof/>
        </w:rPr>
      </w:pPr>
      <w:bookmarkStart w:id="23" w:name="_Toc963471"/>
      <w:bookmarkStart w:id="24" w:name="_Toc34210375"/>
      <w:bookmarkStart w:id="25" w:name="_Toc963472"/>
      <w:bookmarkStart w:id="26" w:name="_Toc963465"/>
      <w:r w:rsidRPr="00C62639">
        <w:rPr>
          <w:noProof/>
        </w:rPr>
        <w:t>Přehled počtu očištěných dat</w:t>
      </w:r>
      <w:bookmarkEnd w:id="23"/>
      <w:bookmarkEnd w:id="24"/>
    </w:p>
    <w:p w14:paraId="0FCFE2A2" w14:textId="08394A97" w:rsidR="008931B7" w:rsidRPr="00934258" w:rsidRDefault="008931B7" w:rsidP="00962A95">
      <w:pPr>
        <w:pStyle w:val="NORMLN0"/>
        <w:rPr>
          <w:noProof/>
        </w:rPr>
      </w:pPr>
      <w:r w:rsidRPr="00934258">
        <w:rPr>
          <w:noProof/>
        </w:rPr>
        <w:t>D</w:t>
      </w:r>
      <w:r w:rsidR="00962A95">
        <w:rPr>
          <w:noProof/>
        </w:rPr>
        <w:t>o </w:t>
      </w:r>
      <w:r w:rsidRPr="00934258">
        <w:rPr>
          <w:noProof/>
        </w:rPr>
        <w:t xml:space="preserve">obou projektů, benchmarkingu vlastnických subjektů a benchmarkingu provozovatelských subjektů </w:t>
      </w:r>
      <w:r w:rsidR="00962A95">
        <w:rPr>
          <w:noProof/>
        </w:rPr>
        <w:t>za </w:t>
      </w:r>
      <w:r w:rsidRPr="00934258">
        <w:rPr>
          <w:noProof/>
        </w:rPr>
        <w:t>ro</w:t>
      </w:r>
      <w:r w:rsidR="00962A95">
        <w:rPr>
          <w:noProof/>
        </w:rPr>
        <w:t>k </w:t>
      </w:r>
      <w:r w:rsidR="004F3C9D" w:rsidRPr="00934258">
        <w:rPr>
          <w:noProof/>
        </w:rPr>
        <w:t>201</w:t>
      </w:r>
      <w:r w:rsidR="004F3C9D">
        <w:rPr>
          <w:noProof/>
        </w:rPr>
        <w:t>8</w:t>
      </w:r>
      <w:r w:rsidRPr="00934258">
        <w:rPr>
          <w:noProof/>
        </w:rPr>
        <w:t>, byl</w:t>
      </w:r>
      <w:r w:rsidR="00962A95">
        <w:rPr>
          <w:noProof/>
        </w:rPr>
        <w:t>o pro </w:t>
      </w:r>
      <w:r w:rsidRPr="00934258">
        <w:rPr>
          <w:noProof/>
        </w:rPr>
        <w:t>pitnou vodu zařazen</w:t>
      </w:r>
      <w:r w:rsidR="00962A95">
        <w:rPr>
          <w:noProof/>
        </w:rPr>
        <w:t>o </w:t>
      </w:r>
      <w:r w:rsidR="004F3C9D">
        <w:rPr>
          <w:noProof/>
        </w:rPr>
        <w:t>2</w:t>
      </w:r>
      <w:r w:rsidR="00967419">
        <w:rPr>
          <w:noProof/>
        </w:rPr>
        <w:t xml:space="preserve"> </w:t>
      </w:r>
      <w:r w:rsidR="004F3C9D">
        <w:rPr>
          <w:noProof/>
        </w:rPr>
        <w:t>031</w:t>
      </w:r>
      <w:r w:rsidR="00805B91">
        <w:rPr>
          <w:noProof/>
        </w:rPr>
        <w:t xml:space="preserve"> </w:t>
      </w:r>
      <w:r w:rsidRPr="00934258">
        <w:rPr>
          <w:noProof/>
        </w:rPr>
        <w:t>Porovnání, tj.</w:t>
      </w:r>
      <w:r w:rsidR="00967419">
        <w:rPr>
          <w:noProof/>
        </w:rPr>
        <w:t> </w:t>
      </w:r>
      <w:r w:rsidR="004F3C9D">
        <w:rPr>
          <w:noProof/>
        </w:rPr>
        <w:t>87,81</w:t>
      </w:r>
      <w:r w:rsidRPr="00934258">
        <w:rPr>
          <w:noProof/>
        </w:rPr>
        <w:t xml:space="preserve"> % </w:t>
      </w:r>
      <w:r w:rsidR="00962A95">
        <w:rPr>
          <w:noProof/>
        </w:rPr>
        <w:t>z </w:t>
      </w:r>
      <w:r w:rsidRPr="00934258">
        <w:rPr>
          <w:noProof/>
        </w:rPr>
        <w:t>celkovéh</w:t>
      </w:r>
      <w:r w:rsidR="00962A95">
        <w:rPr>
          <w:noProof/>
        </w:rPr>
        <w:t>o </w:t>
      </w:r>
      <w:r w:rsidRPr="00934258">
        <w:rPr>
          <w:noProof/>
        </w:rPr>
        <w:t xml:space="preserve">počtu </w:t>
      </w:r>
      <w:r w:rsidR="004F3C9D">
        <w:rPr>
          <w:noProof/>
        </w:rPr>
        <w:t>2</w:t>
      </w:r>
      <w:r w:rsidR="00967419">
        <w:rPr>
          <w:noProof/>
        </w:rPr>
        <w:t xml:space="preserve"> </w:t>
      </w:r>
      <w:r w:rsidR="004F3C9D">
        <w:rPr>
          <w:noProof/>
        </w:rPr>
        <w:t>313</w:t>
      </w:r>
      <w:r w:rsidRPr="00934258">
        <w:rPr>
          <w:noProof/>
        </w:rPr>
        <w:t xml:space="preserve"> </w:t>
      </w:r>
      <w:r w:rsidR="00805B91">
        <w:rPr>
          <w:noProof/>
        </w:rPr>
        <w:t xml:space="preserve">doručených </w:t>
      </w:r>
      <w:r>
        <w:rPr>
          <w:noProof/>
        </w:rPr>
        <w:t>Porovnání</w:t>
      </w:r>
      <w:r w:rsidRPr="00934258">
        <w:rPr>
          <w:noProof/>
        </w:rPr>
        <w:t xml:space="preserve">. </w:t>
      </w:r>
      <w:r w:rsidR="00962A95">
        <w:rPr>
          <w:noProof/>
        </w:rPr>
        <w:t>V </w:t>
      </w:r>
      <w:r w:rsidRPr="00934258">
        <w:rPr>
          <w:noProof/>
        </w:rPr>
        <w:t>případě kanalizace byl</w:t>
      </w:r>
      <w:r w:rsidR="00962A95">
        <w:rPr>
          <w:noProof/>
        </w:rPr>
        <w:t>o </w:t>
      </w:r>
      <w:r w:rsidRPr="00934258">
        <w:rPr>
          <w:noProof/>
        </w:rPr>
        <w:t>hodnocen</w:t>
      </w:r>
      <w:r w:rsidR="00962A95">
        <w:rPr>
          <w:noProof/>
        </w:rPr>
        <w:t>o </w:t>
      </w:r>
      <w:r w:rsidR="004F3C9D">
        <w:rPr>
          <w:noProof/>
        </w:rPr>
        <w:t>2</w:t>
      </w:r>
      <w:r w:rsidR="00967419">
        <w:rPr>
          <w:noProof/>
        </w:rPr>
        <w:t xml:space="preserve"> </w:t>
      </w:r>
      <w:r w:rsidR="004F3C9D">
        <w:rPr>
          <w:noProof/>
        </w:rPr>
        <w:t>443</w:t>
      </w:r>
      <w:r w:rsidRPr="00934258">
        <w:rPr>
          <w:noProof/>
        </w:rPr>
        <w:t xml:space="preserve"> </w:t>
      </w:r>
      <w:r>
        <w:rPr>
          <w:noProof/>
        </w:rPr>
        <w:t>Porovnání</w:t>
      </w:r>
      <w:r w:rsidRPr="00934258">
        <w:rPr>
          <w:noProof/>
        </w:rPr>
        <w:t xml:space="preserve">, tj. </w:t>
      </w:r>
      <w:r w:rsidR="004F3C9D">
        <w:rPr>
          <w:noProof/>
        </w:rPr>
        <w:t>87,94</w:t>
      </w:r>
      <w:r w:rsidR="00371EFB">
        <w:rPr>
          <w:noProof/>
        </w:rPr>
        <w:t xml:space="preserve"> </w:t>
      </w:r>
      <w:r w:rsidRPr="00934258">
        <w:rPr>
          <w:noProof/>
        </w:rPr>
        <w:t xml:space="preserve">% </w:t>
      </w:r>
      <w:r w:rsidR="00962A95">
        <w:rPr>
          <w:noProof/>
        </w:rPr>
        <w:t>z </w:t>
      </w:r>
      <w:r w:rsidRPr="00934258">
        <w:rPr>
          <w:noProof/>
        </w:rPr>
        <w:t>celkovéh</w:t>
      </w:r>
      <w:r w:rsidR="00962A95">
        <w:rPr>
          <w:noProof/>
        </w:rPr>
        <w:t>o </w:t>
      </w:r>
      <w:r w:rsidRPr="00934258">
        <w:rPr>
          <w:noProof/>
        </w:rPr>
        <w:t xml:space="preserve">počtu </w:t>
      </w:r>
      <w:r w:rsidR="004F3C9D">
        <w:rPr>
          <w:noProof/>
        </w:rPr>
        <w:t>2</w:t>
      </w:r>
      <w:r w:rsidR="00967419">
        <w:rPr>
          <w:noProof/>
        </w:rPr>
        <w:t xml:space="preserve"> </w:t>
      </w:r>
      <w:r w:rsidR="004F3C9D">
        <w:rPr>
          <w:noProof/>
        </w:rPr>
        <w:t>778</w:t>
      </w:r>
      <w:r w:rsidR="00371EFB">
        <w:rPr>
          <w:noProof/>
        </w:rPr>
        <w:t xml:space="preserve"> </w:t>
      </w:r>
      <w:r w:rsidRPr="00934258">
        <w:rPr>
          <w:noProof/>
        </w:rPr>
        <w:t xml:space="preserve">doručených Porovnání. </w:t>
      </w:r>
    </w:p>
    <w:p w14:paraId="35361F1E" w14:textId="23AD1B54" w:rsidR="008931B7" w:rsidRPr="00C62639" w:rsidRDefault="00962A95" w:rsidP="00962A95">
      <w:pPr>
        <w:pStyle w:val="NORMLN0"/>
        <w:rPr>
          <w:noProof/>
        </w:rPr>
      </w:pPr>
      <w:r>
        <w:rPr>
          <w:noProof/>
        </w:rPr>
        <w:t>Z </w:t>
      </w:r>
      <w:r w:rsidR="008931B7" w:rsidRPr="00934258">
        <w:rPr>
          <w:noProof/>
        </w:rPr>
        <w:t xml:space="preserve">hlediska </w:t>
      </w:r>
      <w:r w:rsidR="008931B7" w:rsidRPr="00934258">
        <w:rPr>
          <w:b/>
          <w:noProof/>
        </w:rPr>
        <w:t xml:space="preserve">podílu </w:t>
      </w:r>
      <w:r>
        <w:rPr>
          <w:b/>
          <w:noProof/>
        </w:rPr>
        <w:t>na </w:t>
      </w:r>
      <w:r w:rsidR="008931B7" w:rsidRPr="00934258">
        <w:rPr>
          <w:b/>
          <w:noProof/>
        </w:rPr>
        <w:t>trhu podle objemu fakturované vody</w:t>
      </w:r>
      <w:r w:rsidR="008931B7" w:rsidRPr="00934258">
        <w:rPr>
          <w:noProof/>
        </w:rPr>
        <w:t xml:space="preserve"> </w:t>
      </w:r>
      <w:r w:rsidR="00876703">
        <w:rPr>
          <w:noProof/>
        </w:rPr>
        <w:t>vykázanéh</w:t>
      </w:r>
      <w:r>
        <w:rPr>
          <w:noProof/>
        </w:rPr>
        <w:t>o na </w:t>
      </w:r>
      <w:r w:rsidR="00876703">
        <w:rPr>
          <w:noProof/>
        </w:rPr>
        <w:t xml:space="preserve">Porovnáních </w:t>
      </w:r>
      <w:r w:rsidR="008931B7" w:rsidRPr="00934258">
        <w:rPr>
          <w:noProof/>
        </w:rPr>
        <w:t>byl</w:t>
      </w:r>
      <w:r>
        <w:rPr>
          <w:noProof/>
        </w:rPr>
        <w:t>o </w:t>
      </w:r>
      <w:r w:rsidR="008931B7" w:rsidRPr="00934258">
        <w:rPr>
          <w:noProof/>
        </w:rPr>
        <w:t>analyzován</w:t>
      </w:r>
      <w:r>
        <w:rPr>
          <w:noProof/>
        </w:rPr>
        <w:t>o pro </w:t>
      </w:r>
      <w:r w:rsidR="008931B7" w:rsidRPr="00934258">
        <w:rPr>
          <w:b/>
          <w:noProof/>
        </w:rPr>
        <w:t xml:space="preserve">pitnou vodu </w:t>
      </w:r>
      <w:r w:rsidR="004F3C9D">
        <w:rPr>
          <w:b/>
          <w:noProof/>
        </w:rPr>
        <w:t>95,59</w:t>
      </w:r>
      <w:r w:rsidR="008931B7" w:rsidRPr="00934258">
        <w:rPr>
          <w:b/>
          <w:noProof/>
        </w:rPr>
        <w:t xml:space="preserve"> % trhu </w:t>
      </w:r>
      <w:r w:rsidR="008931B7" w:rsidRPr="00934258">
        <w:rPr>
          <w:noProof/>
        </w:rPr>
        <w:t xml:space="preserve">a </w:t>
      </w:r>
      <w:r>
        <w:rPr>
          <w:noProof/>
        </w:rPr>
        <w:t>pro </w:t>
      </w:r>
      <w:r w:rsidR="008931B7" w:rsidRPr="00934258">
        <w:rPr>
          <w:b/>
          <w:noProof/>
        </w:rPr>
        <w:t xml:space="preserve">vodu odpadní </w:t>
      </w:r>
      <w:r w:rsidR="004F3C9D">
        <w:rPr>
          <w:b/>
          <w:noProof/>
        </w:rPr>
        <w:t>97,34</w:t>
      </w:r>
      <w:r w:rsidR="008931B7" w:rsidRPr="00934258">
        <w:rPr>
          <w:b/>
          <w:noProof/>
        </w:rPr>
        <w:t> % trhu</w:t>
      </w:r>
      <w:r w:rsidR="008931B7" w:rsidRPr="00934258">
        <w:rPr>
          <w:noProof/>
        </w:rPr>
        <w:t xml:space="preserve"> (vi</w:t>
      </w:r>
      <w:r>
        <w:rPr>
          <w:noProof/>
        </w:rPr>
        <w:t>z </w:t>
      </w:r>
      <w:r w:rsidR="008931B7" w:rsidRPr="00934258">
        <w:rPr>
          <w:noProof/>
        </w:rPr>
        <w:t>níže uvedená tabulka).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523"/>
        <w:gridCol w:w="2041"/>
        <w:gridCol w:w="1928"/>
        <w:gridCol w:w="1531"/>
        <w:gridCol w:w="2041"/>
      </w:tblGrid>
      <w:tr w:rsidR="002D14A7" w:rsidRPr="00C62639" w14:paraId="4517E098" w14:textId="77777777" w:rsidTr="00007A20">
        <w:trPr>
          <w:jc w:val="center"/>
        </w:trPr>
        <w:tc>
          <w:tcPr>
            <w:tcW w:w="1247" w:type="dxa"/>
            <w:shd w:val="clear" w:color="auto" w:fill="C6D9F1"/>
            <w:vAlign w:val="center"/>
          </w:tcPr>
          <w:p w14:paraId="78549990" w14:textId="77777777" w:rsidR="008931B7" w:rsidRPr="004F3C9D" w:rsidRDefault="008931B7" w:rsidP="00007A20">
            <w:pPr>
              <w:jc w:val="left"/>
              <w:rPr>
                <w:rFonts w:asciiTheme="minorHAnsi" w:hAnsiTheme="minorHAnsi"/>
                <w:b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 xml:space="preserve">PITNÁ VODA </w:t>
            </w:r>
          </w:p>
        </w:tc>
        <w:tc>
          <w:tcPr>
            <w:tcW w:w="1523" w:type="dxa"/>
            <w:shd w:val="clear" w:color="auto" w:fill="C6D9F1"/>
            <w:vAlign w:val="center"/>
          </w:tcPr>
          <w:p w14:paraId="60941715" w14:textId="5F27A05C" w:rsidR="008931B7" w:rsidRPr="004F3C9D" w:rsidRDefault="008931B7" w:rsidP="00007A20">
            <w:pPr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Celkově</w:t>
            </w:r>
            <w:r w:rsidRPr="004F3C9D">
              <w:rPr>
                <w:rFonts w:ascii="Calibri Light" w:hAnsi="Calibri Light"/>
                <w:smallCaps/>
                <w:sz w:val="20"/>
              </w:rPr>
              <w:t xml:space="preserve"> </w:t>
            </w:r>
            <w:r w:rsidR="00B50349" w:rsidRPr="004F3C9D">
              <w:rPr>
                <w:b/>
                <w:smallCaps/>
                <w:sz w:val="20"/>
              </w:rPr>
              <w:t>2313</w:t>
            </w:r>
            <w:r w:rsidR="00371EFB">
              <w:rPr>
                <w:rFonts w:ascii="Calibri Light" w:hAnsi="Calibri Light"/>
                <w:b/>
                <w:smallCaps/>
                <w:sz w:val="20"/>
              </w:rPr>
              <w:t xml:space="preserve"> </w:t>
            </w:r>
            <w:r w:rsidRPr="004F3C9D">
              <w:rPr>
                <w:rFonts w:ascii="Calibri Light" w:hAnsi="Calibri Light"/>
                <w:smallCaps/>
                <w:sz w:val="20"/>
              </w:rPr>
              <w:t>odběratelských Porovnání</w:t>
            </w:r>
          </w:p>
        </w:tc>
        <w:tc>
          <w:tcPr>
            <w:tcW w:w="2041" w:type="dxa"/>
            <w:shd w:val="clear" w:color="auto" w:fill="C6D9F1"/>
            <w:vAlign w:val="center"/>
          </w:tcPr>
          <w:p w14:paraId="2C465E84" w14:textId="7B0B7971" w:rsidR="008931B7" w:rsidRPr="004F3C9D" w:rsidRDefault="008931B7" w:rsidP="00007A20">
            <w:pPr>
              <w:jc w:val="left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Zařazen</w:t>
            </w:r>
            <w:r w:rsidR="00962A95">
              <w:rPr>
                <w:rFonts w:ascii="Calibri Light" w:hAnsi="Calibri Light"/>
                <w:b/>
                <w:smallCaps/>
                <w:sz w:val="20"/>
              </w:rPr>
              <w:t>o </w:t>
            </w:r>
            <w:r w:rsidRPr="004F3C9D">
              <w:rPr>
                <w:rFonts w:ascii="Calibri Light" w:hAnsi="Calibri Light"/>
                <w:smallCaps/>
                <w:sz w:val="20"/>
              </w:rPr>
              <w:t>d</w:t>
            </w:r>
            <w:r w:rsidR="00962A95">
              <w:rPr>
                <w:rFonts w:ascii="Calibri Light" w:hAnsi="Calibri Light"/>
                <w:smallCaps/>
                <w:sz w:val="20"/>
              </w:rPr>
              <w:t>o </w:t>
            </w:r>
            <w:r w:rsidRPr="004F3C9D">
              <w:rPr>
                <w:rFonts w:ascii="Calibri Light" w:hAnsi="Calibri Light"/>
                <w:smallCaps/>
                <w:sz w:val="20"/>
              </w:rPr>
              <w:t xml:space="preserve">projektu </w:t>
            </w:r>
            <w:r w:rsidR="00B50349" w:rsidRPr="004F3C9D">
              <w:rPr>
                <w:b/>
                <w:smallCaps/>
                <w:sz w:val="20"/>
              </w:rPr>
              <w:t>2031</w:t>
            </w:r>
            <w:r w:rsidR="00371EFB">
              <w:rPr>
                <w:rFonts w:ascii="Calibri Light" w:hAnsi="Calibri Light"/>
                <w:b/>
                <w:smallCaps/>
                <w:sz w:val="20"/>
              </w:rPr>
              <w:t xml:space="preserve"> </w:t>
            </w:r>
            <w:r w:rsidRPr="004F3C9D">
              <w:rPr>
                <w:rFonts w:ascii="Calibri Light" w:hAnsi="Calibri Light"/>
                <w:smallCaps/>
                <w:sz w:val="20"/>
              </w:rPr>
              <w:t>odběratelských Porovnání</w:t>
            </w:r>
          </w:p>
        </w:tc>
        <w:tc>
          <w:tcPr>
            <w:tcW w:w="1928" w:type="dxa"/>
            <w:shd w:val="clear" w:color="auto" w:fill="FBD4B4"/>
            <w:vAlign w:val="center"/>
          </w:tcPr>
          <w:p w14:paraId="22A4B849" w14:textId="77777777" w:rsidR="008931B7" w:rsidRPr="004F3C9D" w:rsidRDefault="008931B7" w:rsidP="00007A20">
            <w:pPr>
              <w:jc w:val="left"/>
              <w:rPr>
                <w:rFonts w:asciiTheme="minorHAnsi" w:hAnsiTheme="minorHAnsi"/>
                <w:b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ODPADNÍ VODA</w:t>
            </w:r>
          </w:p>
        </w:tc>
        <w:tc>
          <w:tcPr>
            <w:tcW w:w="1531" w:type="dxa"/>
            <w:shd w:val="clear" w:color="auto" w:fill="FBD4B4"/>
            <w:vAlign w:val="center"/>
          </w:tcPr>
          <w:p w14:paraId="243E8331" w14:textId="7CB1988E" w:rsidR="008931B7" w:rsidRPr="004F3C9D" w:rsidRDefault="008931B7" w:rsidP="00B50349">
            <w:pPr>
              <w:jc w:val="left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 xml:space="preserve">Celkově </w:t>
            </w:r>
            <w:r w:rsidR="00B50349" w:rsidRPr="004F3C9D">
              <w:rPr>
                <w:rFonts w:ascii="Calibri Light" w:hAnsi="Calibri Light"/>
                <w:b/>
                <w:smallCaps/>
                <w:sz w:val="20"/>
              </w:rPr>
              <w:t>2778</w:t>
            </w:r>
            <w:r w:rsidR="00371EFB">
              <w:rPr>
                <w:rFonts w:ascii="Calibri Light" w:hAnsi="Calibri Light"/>
                <w:b/>
                <w:smallCaps/>
                <w:sz w:val="20"/>
              </w:rPr>
              <w:t xml:space="preserve"> </w:t>
            </w:r>
            <w:r w:rsidRPr="004F3C9D">
              <w:rPr>
                <w:rFonts w:ascii="Calibri Light" w:hAnsi="Calibri Light"/>
                <w:smallCaps/>
                <w:sz w:val="20"/>
              </w:rPr>
              <w:t>odběratelských Porovnání</w:t>
            </w:r>
          </w:p>
        </w:tc>
        <w:tc>
          <w:tcPr>
            <w:tcW w:w="2041" w:type="dxa"/>
            <w:shd w:val="clear" w:color="auto" w:fill="FBD4B4"/>
            <w:vAlign w:val="center"/>
          </w:tcPr>
          <w:p w14:paraId="0D3BAAE6" w14:textId="14E39896" w:rsidR="008931B7" w:rsidRPr="004F3C9D" w:rsidRDefault="008931B7" w:rsidP="00B50349">
            <w:pPr>
              <w:jc w:val="left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Zařazen</w:t>
            </w:r>
            <w:r w:rsidR="00962A95">
              <w:rPr>
                <w:rFonts w:ascii="Calibri Light" w:hAnsi="Calibri Light"/>
                <w:b/>
                <w:smallCaps/>
                <w:sz w:val="20"/>
              </w:rPr>
              <w:t>o </w:t>
            </w:r>
            <w:r w:rsidRPr="004F3C9D">
              <w:rPr>
                <w:rFonts w:ascii="Calibri Light" w:hAnsi="Calibri Light"/>
                <w:smallCaps/>
                <w:sz w:val="20"/>
              </w:rPr>
              <w:t>d</w:t>
            </w:r>
            <w:r w:rsidR="00962A95">
              <w:rPr>
                <w:rFonts w:ascii="Calibri Light" w:hAnsi="Calibri Light"/>
                <w:smallCaps/>
                <w:sz w:val="20"/>
              </w:rPr>
              <w:t>o </w:t>
            </w:r>
            <w:r w:rsidRPr="004F3C9D">
              <w:rPr>
                <w:rFonts w:ascii="Calibri Light" w:hAnsi="Calibri Light"/>
                <w:smallCaps/>
                <w:sz w:val="20"/>
              </w:rPr>
              <w:t xml:space="preserve">projektu </w:t>
            </w:r>
            <w:r w:rsidR="00B50349" w:rsidRPr="004F3C9D">
              <w:rPr>
                <w:rFonts w:ascii="Calibri Light" w:hAnsi="Calibri Light"/>
                <w:b/>
                <w:smallCaps/>
                <w:sz w:val="20"/>
              </w:rPr>
              <w:t>2443</w:t>
            </w:r>
            <w:r w:rsidR="00371EFB">
              <w:rPr>
                <w:rFonts w:ascii="Calibri Light" w:hAnsi="Calibri Light"/>
                <w:b/>
                <w:smallCaps/>
                <w:sz w:val="20"/>
              </w:rPr>
              <w:t xml:space="preserve"> </w:t>
            </w:r>
            <w:r w:rsidRPr="004F3C9D">
              <w:rPr>
                <w:rFonts w:ascii="Calibri Light" w:hAnsi="Calibri Light"/>
                <w:smallCaps/>
                <w:sz w:val="20"/>
              </w:rPr>
              <w:t>odběratelských Porovnání</w:t>
            </w:r>
          </w:p>
        </w:tc>
      </w:tr>
      <w:tr w:rsidR="002D14A7" w:rsidRPr="00C62639" w14:paraId="75285FB7" w14:textId="77777777" w:rsidTr="00007A20">
        <w:trPr>
          <w:jc w:val="center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00FF30C" w14:textId="063353E9" w:rsidR="008931B7" w:rsidRPr="004F3C9D" w:rsidRDefault="008931B7" w:rsidP="00007A20">
            <w:pPr>
              <w:jc w:val="left"/>
              <w:rPr>
                <w:rFonts w:asciiTheme="minorHAnsi" w:hAnsiTheme="minorHAnsi"/>
                <w:b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 xml:space="preserve">Voda pitná fakturovaná </w:t>
            </w:r>
            <w:r w:rsidR="00962A95">
              <w:rPr>
                <w:rFonts w:ascii="Calibri Light" w:hAnsi="Calibri Light"/>
                <w:b/>
                <w:smallCaps/>
                <w:sz w:val="20"/>
              </w:rPr>
              <w:t>v </w:t>
            </w:r>
            <w:r w:rsidRPr="004F3C9D">
              <w:rPr>
                <w:rFonts w:ascii="Calibri Light" w:hAnsi="Calibri Light"/>
                <w:b/>
                <w:smallCaps/>
                <w:sz w:val="20"/>
              </w:rPr>
              <w:t>mil. m</w:t>
            </w:r>
            <w:r w:rsidRPr="004F3C9D">
              <w:rPr>
                <w:rFonts w:ascii="Calibri Light" w:hAnsi="Calibri Light"/>
                <w:b/>
                <w:smallCaps/>
                <w:sz w:val="20"/>
                <w:vertAlign w:val="superscript"/>
              </w:rPr>
              <w:t>3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EEBE64E" w14:textId="77777777" w:rsidR="008931B7" w:rsidRPr="004F3C9D" w:rsidRDefault="00B50349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498,911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AEF1B18" w14:textId="77777777" w:rsidR="008931B7" w:rsidRPr="004F3C9D" w:rsidRDefault="00B50349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476,890</w:t>
            </w:r>
          </w:p>
        </w:tc>
        <w:tc>
          <w:tcPr>
            <w:tcW w:w="1928" w:type="dxa"/>
            <w:shd w:val="clear" w:color="auto" w:fill="FBD4B4"/>
            <w:vAlign w:val="center"/>
          </w:tcPr>
          <w:p w14:paraId="41EF62FA" w14:textId="399F07E1" w:rsidR="008931B7" w:rsidRPr="004F3C9D" w:rsidRDefault="008931B7" w:rsidP="005D772D">
            <w:pPr>
              <w:jc w:val="left"/>
              <w:rPr>
                <w:rFonts w:asciiTheme="minorHAnsi" w:hAnsiTheme="minorHAnsi"/>
                <w:b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V</w:t>
            </w:r>
            <w:r w:rsidR="002D14A7">
              <w:rPr>
                <w:rFonts w:ascii="Calibri Light" w:hAnsi="Calibri Light"/>
                <w:b/>
                <w:smallCaps/>
                <w:sz w:val="20"/>
              </w:rPr>
              <w:t>oda odpadní fakturovaná včetně srážkové</w:t>
            </w:r>
            <w:r w:rsidRPr="004F3C9D">
              <w:rPr>
                <w:rFonts w:ascii="Calibri Light" w:hAnsi="Calibri Light"/>
                <w:b/>
                <w:smallCaps/>
                <w:sz w:val="20"/>
              </w:rPr>
              <w:t xml:space="preserve"> </w:t>
            </w:r>
            <w:r w:rsidR="00962A95">
              <w:rPr>
                <w:rFonts w:ascii="Calibri Light" w:hAnsi="Calibri Light"/>
                <w:b/>
                <w:smallCaps/>
                <w:sz w:val="20"/>
              </w:rPr>
              <w:t>v </w:t>
            </w:r>
            <w:r w:rsidRPr="004F3C9D">
              <w:rPr>
                <w:rFonts w:ascii="Calibri Light" w:hAnsi="Calibri Light"/>
                <w:b/>
                <w:smallCaps/>
                <w:sz w:val="20"/>
              </w:rPr>
              <w:t>mil. m</w:t>
            </w:r>
            <w:r w:rsidRPr="004F3C9D">
              <w:rPr>
                <w:rFonts w:ascii="Calibri Light" w:hAnsi="Calibri Light"/>
                <w:b/>
                <w:smallCaps/>
                <w:sz w:val="20"/>
                <w:vertAlign w:val="superscript"/>
              </w:rPr>
              <w:t>3</w:t>
            </w:r>
          </w:p>
        </w:tc>
        <w:tc>
          <w:tcPr>
            <w:tcW w:w="1531" w:type="dxa"/>
            <w:shd w:val="clear" w:color="auto" w:fill="FBD4B4"/>
            <w:vAlign w:val="center"/>
          </w:tcPr>
          <w:p w14:paraId="17B4E305" w14:textId="77777777" w:rsidR="008931B7" w:rsidRPr="004F3C9D" w:rsidRDefault="004F3C9D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529,306</w:t>
            </w:r>
          </w:p>
        </w:tc>
        <w:tc>
          <w:tcPr>
            <w:tcW w:w="2041" w:type="dxa"/>
            <w:shd w:val="clear" w:color="auto" w:fill="FBD4B4"/>
            <w:vAlign w:val="center"/>
          </w:tcPr>
          <w:p w14:paraId="1175F443" w14:textId="77777777" w:rsidR="004F3C9D" w:rsidRPr="004F3C9D" w:rsidRDefault="004F3C9D" w:rsidP="00182DD5">
            <w:pPr>
              <w:jc w:val="center"/>
              <w:rPr>
                <w:rFonts w:asciiTheme="minorHAnsi" w:hAnsiTheme="minorHAnsi"/>
                <w:smallCaps/>
                <w:noProof/>
                <w:sz w:val="20"/>
                <w:szCs w:val="20"/>
                <w:lang w:eastAsia="cs-CZ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515,231</w:t>
            </w:r>
          </w:p>
        </w:tc>
      </w:tr>
    </w:tbl>
    <w:p w14:paraId="22FC122F" w14:textId="40DDCAFE" w:rsidR="008931B7" w:rsidRPr="00C62639" w:rsidRDefault="008931B7" w:rsidP="008931B7">
      <w:pPr>
        <w:pStyle w:val="NORMLN0"/>
        <w:rPr>
          <w:rFonts w:asciiTheme="minorHAnsi" w:hAnsiTheme="minorHAnsi"/>
          <w:noProof/>
        </w:rPr>
      </w:pPr>
      <w:r w:rsidRPr="00934258">
        <w:rPr>
          <w:noProof/>
        </w:rPr>
        <w:lastRenderedPageBreak/>
        <w:t>Ja</w:t>
      </w:r>
      <w:r w:rsidR="00962A95">
        <w:rPr>
          <w:noProof/>
        </w:rPr>
        <w:t>k </w:t>
      </w:r>
      <w:r w:rsidRPr="00934258">
        <w:rPr>
          <w:noProof/>
        </w:rPr>
        <w:t xml:space="preserve">vyplývá </w:t>
      </w:r>
      <w:r w:rsidR="00962A95">
        <w:rPr>
          <w:noProof/>
        </w:rPr>
        <w:t>z </w:t>
      </w:r>
      <w:r>
        <w:rPr>
          <w:noProof/>
        </w:rPr>
        <w:t>údajů</w:t>
      </w:r>
      <w:r w:rsidRPr="00934258">
        <w:rPr>
          <w:noProof/>
        </w:rPr>
        <w:t xml:space="preserve"> </w:t>
      </w:r>
      <w:r w:rsidR="00962A95">
        <w:rPr>
          <w:noProof/>
        </w:rPr>
        <w:t>o </w:t>
      </w:r>
      <w:r w:rsidRPr="00934258">
        <w:rPr>
          <w:noProof/>
        </w:rPr>
        <w:t xml:space="preserve">počtu </w:t>
      </w:r>
      <w:r w:rsidR="00A47E54" w:rsidRPr="00934258">
        <w:rPr>
          <w:noProof/>
        </w:rPr>
        <w:t>Por</w:t>
      </w:r>
      <w:r w:rsidR="00A47E54">
        <w:rPr>
          <w:noProof/>
        </w:rPr>
        <w:t xml:space="preserve">ovnání </w:t>
      </w:r>
      <w:r w:rsidRPr="00934258">
        <w:rPr>
          <w:noProof/>
        </w:rPr>
        <w:t xml:space="preserve">zařazených </w:t>
      </w:r>
      <w:r>
        <w:rPr>
          <w:noProof/>
        </w:rPr>
        <w:t>d</w:t>
      </w:r>
      <w:r w:rsidR="00962A95">
        <w:rPr>
          <w:noProof/>
        </w:rPr>
        <w:t>o </w:t>
      </w:r>
      <w:r>
        <w:rPr>
          <w:noProof/>
        </w:rPr>
        <w:t>benchmarkingu</w:t>
      </w:r>
      <w:r w:rsidR="00A47E54">
        <w:rPr>
          <w:noProof/>
        </w:rPr>
        <w:t xml:space="preserve"> (vi</w:t>
      </w:r>
      <w:r w:rsidR="00962A95">
        <w:rPr>
          <w:noProof/>
        </w:rPr>
        <w:t>z </w:t>
      </w:r>
      <w:r w:rsidR="00A47E54">
        <w:rPr>
          <w:noProof/>
        </w:rPr>
        <w:t>tabulky níže),</w:t>
      </w:r>
      <w:r w:rsidRPr="00934258">
        <w:rPr>
          <w:noProof/>
        </w:rPr>
        <w:t xml:space="preserve"> </w:t>
      </w:r>
      <w:r w:rsidR="00962A95">
        <w:rPr>
          <w:noProof/>
        </w:rPr>
        <w:t>v </w:t>
      </w:r>
      <w:r w:rsidRPr="00934258">
        <w:rPr>
          <w:noProof/>
        </w:rPr>
        <w:t>porovnání s</w:t>
      </w:r>
      <w:r w:rsidR="00876703">
        <w:rPr>
          <w:noProof/>
        </w:rPr>
        <w:t> předchozími roky</w:t>
      </w:r>
      <w:r w:rsidRPr="00934258">
        <w:rPr>
          <w:noProof/>
        </w:rPr>
        <w:t xml:space="preserve"> došl</w:t>
      </w:r>
      <w:r w:rsidR="00962A95">
        <w:rPr>
          <w:noProof/>
        </w:rPr>
        <w:t>o </w:t>
      </w:r>
      <w:r w:rsidR="00876703">
        <w:rPr>
          <w:noProof/>
        </w:rPr>
        <w:t>o</w:t>
      </w:r>
      <w:r w:rsidR="00A47E54">
        <w:rPr>
          <w:noProof/>
        </w:rPr>
        <w:t xml:space="preserve">pět </w:t>
      </w:r>
      <w:r w:rsidR="00962A95">
        <w:rPr>
          <w:noProof/>
        </w:rPr>
        <w:t>k </w:t>
      </w:r>
      <w:r>
        <w:rPr>
          <w:noProof/>
        </w:rPr>
        <w:t>nárůstu</w:t>
      </w:r>
      <w:r w:rsidRPr="00934258">
        <w:rPr>
          <w:noProof/>
        </w:rPr>
        <w:t xml:space="preserve"> počtu Porovnání vhodných </w:t>
      </w:r>
      <w:r w:rsidR="00962A95">
        <w:rPr>
          <w:noProof/>
        </w:rPr>
        <w:t>pro </w:t>
      </w:r>
      <w:r w:rsidRPr="00934258">
        <w:rPr>
          <w:noProof/>
        </w:rPr>
        <w:t>další analýzu.</w:t>
      </w:r>
      <w:r w:rsidRPr="00C62639">
        <w:rPr>
          <w:rFonts w:asciiTheme="minorHAnsi" w:hAnsiTheme="minorHAnsi"/>
          <w:noProof/>
        </w:rPr>
        <w:t xml:space="preserve"> </w:t>
      </w:r>
    </w:p>
    <w:p w14:paraId="3B5266BF" w14:textId="77777777" w:rsidR="008931B7" w:rsidRPr="00C62639" w:rsidRDefault="008931B7" w:rsidP="008931B7">
      <w:pPr>
        <w:pStyle w:val="NORMLN0"/>
        <w:rPr>
          <w:rFonts w:asciiTheme="minorHAnsi" w:hAnsiTheme="minorHAnsi"/>
          <w:noProof/>
        </w:rPr>
      </w:pPr>
    </w:p>
    <w:tbl>
      <w:tblPr>
        <w:tblStyle w:val="Tabulkasmkou4zvraznn11"/>
        <w:tblW w:w="5000" w:type="pct"/>
        <w:tblLook w:val="0420" w:firstRow="1" w:lastRow="0" w:firstColumn="0" w:lastColumn="0" w:noHBand="0" w:noVBand="1"/>
      </w:tblPr>
      <w:tblGrid>
        <w:gridCol w:w="1543"/>
        <w:gridCol w:w="1834"/>
        <w:gridCol w:w="2435"/>
        <w:gridCol w:w="1624"/>
        <w:gridCol w:w="1624"/>
      </w:tblGrid>
      <w:tr w:rsidR="008931B7" w:rsidRPr="00C62639" w14:paraId="20BA2C43" w14:textId="77777777" w:rsidTr="004F3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52" w:type="pct"/>
            <w:hideMark/>
          </w:tcPr>
          <w:p w14:paraId="633C86C6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bookmarkStart w:id="27" w:name="OLE_LINK1"/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PITNÁ VODA</w:t>
            </w:r>
          </w:p>
        </w:tc>
        <w:tc>
          <w:tcPr>
            <w:tcW w:w="1012" w:type="pct"/>
            <w:hideMark/>
          </w:tcPr>
          <w:p w14:paraId="240B4E85" w14:textId="102D3D54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 xml:space="preserve">Porovnání zaslaná 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na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M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Ze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(ks)</w:t>
            </w:r>
          </w:p>
        </w:tc>
        <w:tc>
          <w:tcPr>
            <w:tcW w:w="1344" w:type="pct"/>
            <w:hideMark/>
          </w:tcPr>
          <w:p w14:paraId="60D01011" w14:textId="73D4BE26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Porovnání zařazená d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o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benchmarkingu (ks)</w:t>
            </w:r>
          </w:p>
        </w:tc>
        <w:tc>
          <w:tcPr>
            <w:tcW w:w="896" w:type="pct"/>
            <w:hideMark/>
          </w:tcPr>
          <w:p w14:paraId="29054E85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Nepoužitá Porovnání (ks)</w:t>
            </w:r>
          </w:p>
        </w:tc>
        <w:tc>
          <w:tcPr>
            <w:tcW w:w="896" w:type="pct"/>
          </w:tcPr>
          <w:p w14:paraId="4BA1FED6" w14:textId="39BD2BE9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 xml:space="preserve">Podíl 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na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 xml:space="preserve">trhu </w:t>
            </w:r>
          </w:p>
        </w:tc>
      </w:tr>
      <w:tr w:rsidR="004F3C9D" w:rsidRPr="00C62639" w14:paraId="01F2A4D6" w14:textId="77777777" w:rsidTr="004F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52" w:type="pct"/>
          </w:tcPr>
          <w:p w14:paraId="2140DBFC" w14:textId="77777777" w:rsidR="004F3C9D" w:rsidRPr="004F3C9D" w:rsidRDefault="004F3C9D" w:rsidP="004F3C9D">
            <w:pPr>
              <w:jc w:val="center"/>
              <w:rPr>
                <w:rFonts w:ascii="Calibri Light" w:hAnsi="Calibri Light"/>
                <w:b/>
                <w:bCs/>
                <w:smallCaps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2018</w:t>
            </w:r>
          </w:p>
        </w:tc>
        <w:tc>
          <w:tcPr>
            <w:tcW w:w="1012" w:type="pct"/>
          </w:tcPr>
          <w:p w14:paraId="50441DA0" w14:textId="77777777" w:rsidR="004F3C9D" w:rsidRPr="004F3C9D" w:rsidRDefault="004F3C9D" w:rsidP="004F3C9D">
            <w:pPr>
              <w:jc w:val="center"/>
              <w:rPr>
                <w:rFonts w:ascii="Calibri Light" w:hAnsi="Calibri Light"/>
                <w:bCs/>
                <w:smallCaps/>
                <w:sz w:val="20"/>
              </w:rPr>
            </w:pPr>
            <w:r w:rsidRPr="004F3C9D">
              <w:rPr>
                <w:rFonts w:ascii="Calibri Light" w:hAnsi="Calibri Light"/>
                <w:bCs/>
                <w:smallCaps/>
                <w:sz w:val="20"/>
              </w:rPr>
              <w:t>2313</w:t>
            </w:r>
          </w:p>
        </w:tc>
        <w:tc>
          <w:tcPr>
            <w:tcW w:w="1344" w:type="pct"/>
          </w:tcPr>
          <w:p w14:paraId="60315D1D" w14:textId="77777777" w:rsidR="004F3C9D" w:rsidRPr="004F3C9D" w:rsidRDefault="004F3C9D" w:rsidP="004F3C9D">
            <w:pPr>
              <w:jc w:val="center"/>
              <w:rPr>
                <w:rFonts w:ascii="Calibri Light" w:hAnsi="Calibri Light"/>
                <w:b/>
                <w:bCs/>
                <w:smallCaps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2031</w:t>
            </w:r>
          </w:p>
        </w:tc>
        <w:tc>
          <w:tcPr>
            <w:tcW w:w="896" w:type="pct"/>
          </w:tcPr>
          <w:p w14:paraId="60CE0124" w14:textId="77777777" w:rsidR="004F3C9D" w:rsidRPr="004F3C9D" w:rsidRDefault="004F3C9D" w:rsidP="004F3C9D">
            <w:pPr>
              <w:jc w:val="center"/>
              <w:rPr>
                <w:rFonts w:ascii="Calibri Light" w:hAnsi="Calibri Light"/>
                <w:bCs/>
                <w:smallCaps/>
                <w:sz w:val="20"/>
              </w:rPr>
            </w:pPr>
            <w:r w:rsidRPr="004F3C9D">
              <w:rPr>
                <w:rFonts w:ascii="Calibri Light" w:hAnsi="Calibri Light"/>
                <w:bCs/>
                <w:smallCaps/>
                <w:sz w:val="20"/>
              </w:rPr>
              <w:t>282</w:t>
            </w:r>
          </w:p>
        </w:tc>
        <w:tc>
          <w:tcPr>
            <w:tcW w:w="896" w:type="pct"/>
          </w:tcPr>
          <w:p w14:paraId="5A0EB996" w14:textId="77777777" w:rsidR="004F3C9D" w:rsidRPr="004F3C9D" w:rsidRDefault="004F3C9D" w:rsidP="004F3C9D">
            <w:pPr>
              <w:jc w:val="center"/>
              <w:rPr>
                <w:rFonts w:ascii="Calibri Light" w:hAnsi="Calibri Light"/>
                <w:b/>
                <w:bCs/>
                <w:smallCaps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95,59%</w:t>
            </w:r>
          </w:p>
        </w:tc>
      </w:tr>
      <w:tr w:rsidR="008931B7" w:rsidRPr="00C62639" w14:paraId="6884287B" w14:textId="77777777" w:rsidTr="004F3C9D">
        <w:trPr>
          <w:trHeight w:val="20"/>
        </w:trPr>
        <w:tc>
          <w:tcPr>
            <w:tcW w:w="852" w:type="pct"/>
            <w:hideMark/>
          </w:tcPr>
          <w:p w14:paraId="54AA4416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2017</w:t>
            </w:r>
          </w:p>
        </w:tc>
        <w:tc>
          <w:tcPr>
            <w:tcW w:w="1012" w:type="pct"/>
            <w:hideMark/>
          </w:tcPr>
          <w:p w14:paraId="2302EF7D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1922</w:t>
            </w:r>
          </w:p>
        </w:tc>
        <w:tc>
          <w:tcPr>
            <w:tcW w:w="1344" w:type="pct"/>
            <w:hideMark/>
          </w:tcPr>
          <w:p w14:paraId="42AA63AE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1697</w:t>
            </w:r>
          </w:p>
        </w:tc>
        <w:tc>
          <w:tcPr>
            <w:tcW w:w="896" w:type="pct"/>
            <w:hideMark/>
          </w:tcPr>
          <w:p w14:paraId="1DBED8D0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225</w:t>
            </w:r>
          </w:p>
        </w:tc>
        <w:tc>
          <w:tcPr>
            <w:tcW w:w="896" w:type="pct"/>
          </w:tcPr>
          <w:p w14:paraId="3D906BCB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97,50 %</w:t>
            </w:r>
          </w:p>
        </w:tc>
      </w:tr>
      <w:tr w:rsidR="008931B7" w:rsidRPr="00C62639" w14:paraId="489C62CC" w14:textId="77777777" w:rsidTr="004F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52" w:type="pct"/>
            <w:hideMark/>
          </w:tcPr>
          <w:p w14:paraId="3111D971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2016</w:t>
            </w:r>
          </w:p>
        </w:tc>
        <w:tc>
          <w:tcPr>
            <w:tcW w:w="1012" w:type="pct"/>
            <w:hideMark/>
          </w:tcPr>
          <w:p w14:paraId="14CF86F7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1820</w:t>
            </w:r>
          </w:p>
        </w:tc>
        <w:tc>
          <w:tcPr>
            <w:tcW w:w="1344" w:type="pct"/>
            <w:hideMark/>
          </w:tcPr>
          <w:p w14:paraId="78796D12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1582</w:t>
            </w:r>
          </w:p>
        </w:tc>
        <w:tc>
          <w:tcPr>
            <w:tcW w:w="896" w:type="pct"/>
            <w:hideMark/>
          </w:tcPr>
          <w:p w14:paraId="655A4658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238</w:t>
            </w:r>
          </w:p>
        </w:tc>
        <w:tc>
          <w:tcPr>
            <w:tcW w:w="896" w:type="pct"/>
          </w:tcPr>
          <w:p w14:paraId="53499315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95,23 %</w:t>
            </w:r>
          </w:p>
        </w:tc>
      </w:tr>
      <w:tr w:rsidR="008931B7" w:rsidRPr="00C62639" w14:paraId="25E1A991" w14:textId="77777777" w:rsidTr="004F3C9D">
        <w:trPr>
          <w:trHeight w:val="20"/>
        </w:trPr>
        <w:tc>
          <w:tcPr>
            <w:tcW w:w="852" w:type="pct"/>
          </w:tcPr>
          <w:p w14:paraId="3287019B" w14:textId="77777777" w:rsidR="008931B7" w:rsidRPr="004F3C9D" w:rsidRDefault="008931B7" w:rsidP="00007A20">
            <w:pPr>
              <w:jc w:val="center"/>
              <w:rPr>
                <w:rFonts w:ascii="Calibri Light" w:hAnsi="Calibri Light"/>
                <w:b/>
                <w:bCs/>
                <w:smallCaps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2015</w:t>
            </w:r>
          </w:p>
        </w:tc>
        <w:tc>
          <w:tcPr>
            <w:tcW w:w="1012" w:type="pct"/>
          </w:tcPr>
          <w:p w14:paraId="00555474" w14:textId="77777777" w:rsidR="008931B7" w:rsidRPr="004F3C9D" w:rsidRDefault="008931B7" w:rsidP="00007A20">
            <w:pPr>
              <w:jc w:val="center"/>
              <w:rPr>
                <w:rFonts w:ascii="Calibri Light" w:hAnsi="Calibri Light"/>
                <w:smallCaps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1818</w:t>
            </w:r>
          </w:p>
        </w:tc>
        <w:tc>
          <w:tcPr>
            <w:tcW w:w="1344" w:type="pct"/>
          </w:tcPr>
          <w:p w14:paraId="6495A202" w14:textId="77777777" w:rsidR="008931B7" w:rsidRPr="004F3C9D" w:rsidRDefault="008931B7" w:rsidP="00007A20">
            <w:pPr>
              <w:jc w:val="center"/>
              <w:rPr>
                <w:rFonts w:ascii="Calibri Light" w:hAnsi="Calibri Light"/>
                <w:b/>
                <w:smallCaps/>
                <w:sz w:val="20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1371</w:t>
            </w:r>
          </w:p>
        </w:tc>
        <w:tc>
          <w:tcPr>
            <w:tcW w:w="896" w:type="pct"/>
          </w:tcPr>
          <w:p w14:paraId="5B750596" w14:textId="77777777" w:rsidR="008931B7" w:rsidRPr="004F3C9D" w:rsidRDefault="008931B7" w:rsidP="00007A20">
            <w:pPr>
              <w:jc w:val="center"/>
              <w:rPr>
                <w:rFonts w:ascii="Calibri Light" w:hAnsi="Calibri Light"/>
                <w:smallCaps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447</w:t>
            </w:r>
          </w:p>
        </w:tc>
        <w:tc>
          <w:tcPr>
            <w:tcW w:w="896" w:type="pct"/>
          </w:tcPr>
          <w:p w14:paraId="33643212" w14:textId="77777777" w:rsidR="008931B7" w:rsidRPr="004F3C9D" w:rsidRDefault="008931B7" w:rsidP="00007A20">
            <w:pPr>
              <w:jc w:val="center"/>
              <w:rPr>
                <w:rFonts w:ascii="Calibri Light" w:hAnsi="Calibri Light"/>
                <w:smallCaps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33,39 %</w:t>
            </w:r>
          </w:p>
        </w:tc>
      </w:tr>
      <w:bookmarkEnd w:id="27"/>
    </w:tbl>
    <w:p w14:paraId="5D32EF06" w14:textId="77777777" w:rsidR="008931B7" w:rsidRPr="00C62639" w:rsidRDefault="008931B7" w:rsidP="008931B7">
      <w:pPr>
        <w:pStyle w:val="NORMLN0"/>
        <w:rPr>
          <w:rFonts w:asciiTheme="minorHAnsi" w:hAnsiTheme="minorHAnsi"/>
          <w:noProof/>
        </w:rPr>
      </w:pPr>
    </w:p>
    <w:tbl>
      <w:tblPr>
        <w:tblStyle w:val="Tabulkasmkou4zvraznn62"/>
        <w:tblW w:w="5000" w:type="pct"/>
        <w:tblLook w:val="0420" w:firstRow="1" w:lastRow="0" w:firstColumn="0" w:lastColumn="0" w:noHBand="0" w:noVBand="1"/>
      </w:tblPr>
      <w:tblGrid>
        <w:gridCol w:w="1482"/>
        <w:gridCol w:w="1895"/>
        <w:gridCol w:w="2435"/>
        <w:gridCol w:w="1624"/>
        <w:gridCol w:w="1624"/>
      </w:tblGrid>
      <w:tr w:rsidR="008931B7" w:rsidRPr="00C62639" w14:paraId="32C390AA" w14:textId="77777777" w:rsidTr="004F3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18" w:type="pct"/>
            <w:hideMark/>
          </w:tcPr>
          <w:p w14:paraId="0608A0BC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ODPADNÍ VODA</w:t>
            </w:r>
          </w:p>
        </w:tc>
        <w:tc>
          <w:tcPr>
            <w:tcW w:w="1046" w:type="pct"/>
            <w:hideMark/>
          </w:tcPr>
          <w:p w14:paraId="140B00D3" w14:textId="4EE361AC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 xml:space="preserve">Porovnání zaslaná 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na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M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Ze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(ks)</w:t>
            </w:r>
          </w:p>
        </w:tc>
        <w:tc>
          <w:tcPr>
            <w:tcW w:w="1344" w:type="pct"/>
            <w:hideMark/>
          </w:tcPr>
          <w:p w14:paraId="052B5ECB" w14:textId="7914D32E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Porovnání zařazená d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o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benchmarkingu (ks)</w:t>
            </w:r>
          </w:p>
        </w:tc>
        <w:tc>
          <w:tcPr>
            <w:tcW w:w="896" w:type="pct"/>
            <w:hideMark/>
          </w:tcPr>
          <w:p w14:paraId="6BE057CD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Nepoužitá Porovnání (ks)</w:t>
            </w:r>
          </w:p>
        </w:tc>
        <w:tc>
          <w:tcPr>
            <w:tcW w:w="896" w:type="pct"/>
          </w:tcPr>
          <w:p w14:paraId="18954D4F" w14:textId="61F601B4" w:rsidR="008931B7" w:rsidRPr="004F3C9D" w:rsidRDefault="008931B7" w:rsidP="00007A20">
            <w:pPr>
              <w:jc w:val="center"/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</w:pP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 xml:space="preserve">Podíl </w:t>
            </w:r>
            <w:r w:rsidR="00962A95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>na </w:t>
            </w:r>
            <w:r w:rsidRPr="004F3C9D">
              <w:rPr>
                <w:rFonts w:asciiTheme="minorHAnsi" w:hAnsiTheme="minorHAnsi"/>
                <w:b w:val="0"/>
                <w:bCs w:val="0"/>
                <w:smallCaps/>
                <w:noProof/>
                <w:sz w:val="20"/>
              </w:rPr>
              <w:t xml:space="preserve">trhu </w:t>
            </w:r>
          </w:p>
        </w:tc>
      </w:tr>
      <w:tr w:rsidR="004F3C9D" w:rsidRPr="00C62639" w14:paraId="08778372" w14:textId="77777777" w:rsidTr="004F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18" w:type="pct"/>
          </w:tcPr>
          <w:p w14:paraId="13918FBE" w14:textId="77777777" w:rsidR="004F3C9D" w:rsidRPr="00262F72" w:rsidRDefault="004F3C9D" w:rsidP="004F3C9D">
            <w:pPr>
              <w:jc w:val="center"/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2018</w:t>
            </w:r>
          </w:p>
        </w:tc>
        <w:tc>
          <w:tcPr>
            <w:tcW w:w="1046" w:type="pct"/>
          </w:tcPr>
          <w:p w14:paraId="52443886" w14:textId="77777777" w:rsidR="004F3C9D" w:rsidRPr="00262F72" w:rsidRDefault="004F3C9D" w:rsidP="004F3C9D">
            <w:pPr>
              <w:jc w:val="center"/>
            </w:pPr>
            <w:r w:rsidRPr="004F3C9D">
              <w:rPr>
                <w:rFonts w:ascii="Calibri Light" w:hAnsi="Calibri Light"/>
                <w:smallCaps/>
                <w:sz w:val="20"/>
              </w:rPr>
              <w:t>2778</w:t>
            </w:r>
          </w:p>
        </w:tc>
        <w:tc>
          <w:tcPr>
            <w:tcW w:w="1344" w:type="pct"/>
          </w:tcPr>
          <w:p w14:paraId="1E3957FB" w14:textId="77777777" w:rsidR="004F3C9D" w:rsidRPr="00262F72" w:rsidRDefault="004F3C9D" w:rsidP="004F3C9D">
            <w:pPr>
              <w:jc w:val="center"/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2443</w:t>
            </w:r>
          </w:p>
        </w:tc>
        <w:tc>
          <w:tcPr>
            <w:tcW w:w="896" w:type="pct"/>
          </w:tcPr>
          <w:p w14:paraId="18F0EFDC" w14:textId="77777777" w:rsidR="004F3C9D" w:rsidRPr="00262F72" w:rsidRDefault="004F3C9D" w:rsidP="004F3C9D">
            <w:pPr>
              <w:jc w:val="center"/>
            </w:pPr>
            <w:r w:rsidRPr="004F3C9D">
              <w:rPr>
                <w:rFonts w:ascii="Calibri Light" w:hAnsi="Calibri Light"/>
                <w:smallCaps/>
                <w:sz w:val="20"/>
              </w:rPr>
              <w:t>335</w:t>
            </w:r>
          </w:p>
        </w:tc>
        <w:tc>
          <w:tcPr>
            <w:tcW w:w="896" w:type="pct"/>
          </w:tcPr>
          <w:p w14:paraId="6E2E7CD2" w14:textId="77777777" w:rsidR="004F3C9D" w:rsidRPr="004F3C9D" w:rsidRDefault="004F3C9D" w:rsidP="004F3C9D">
            <w:pPr>
              <w:jc w:val="center"/>
              <w:rPr>
                <w:b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97,34%</w:t>
            </w:r>
          </w:p>
        </w:tc>
      </w:tr>
      <w:tr w:rsidR="008931B7" w:rsidRPr="00C62639" w14:paraId="6796E581" w14:textId="77777777" w:rsidTr="004F3C9D">
        <w:trPr>
          <w:trHeight w:val="20"/>
        </w:trPr>
        <w:tc>
          <w:tcPr>
            <w:tcW w:w="818" w:type="pct"/>
            <w:hideMark/>
          </w:tcPr>
          <w:p w14:paraId="6BFA6954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2017</w:t>
            </w:r>
          </w:p>
        </w:tc>
        <w:tc>
          <w:tcPr>
            <w:tcW w:w="1046" w:type="pct"/>
            <w:hideMark/>
          </w:tcPr>
          <w:p w14:paraId="00A7AF36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2232</w:t>
            </w:r>
          </w:p>
        </w:tc>
        <w:tc>
          <w:tcPr>
            <w:tcW w:w="1344" w:type="pct"/>
            <w:hideMark/>
          </w:tcPr>
          <w:p w14:paraId="3BF9491D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2005</w:t>
            </w:r>
          </w:p>
        </w:tc>
        <w:tc>
          <w:tcPr>
            <w:tcW w:w="896" w:type="pct"/>
            <w:hideMark/>
          </w:tcPr>
          <w:p w14:paraId="6576B49A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227</w:t>
            </w:r>
          </w:p>
        </w:tc>
        <w:tc>
          <w:tcPr>
            <w:tcW w:w="896" w:type="pct"/>
          </w:tcPr>
          <w:p w14:paraId="15FB5FCC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97,79%</w:t>
            </w:r>
          </w:p>
        </w:tc>
      </w:tr>
      <w:tr w:rsidR="008931B7" w:rsidRPr="00C62639" w14:paraId="1FC11A63" w14:textId="77777777" w:rsidTr="004F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18" w:type="pct"/>
            <w:hideMark/>
          </w:tcPr>
          <w:p w14:paraId="22EF823F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2016</w:t>
            </w:r>
          </w:p>
        </w:tc>
        <w:tc>
          <w:tcPr>
            <w:tcW w:w="1046" w:type="pct"/>
            <w:hideMark/>
          </w:tcPr>
          <w:p w14:paraId="59647271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2051</w:t>
            </w:r>
          </w:p>
        </w:tc>
        <w:tc>
          <w:tcPr>
            <w:tcW w:w="1344" w:type="pct"/>
            <w:hideMark/>
          </w:tcPr>
          <w:p w14:paraId="7D8744CB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1857</w:t>
            </w:r>
          </w:p>
        </w:tc>
        <w:tc>
          <w:tcPr>
            <w:tcW w:w="896" w:type="pct"/>
            <w:hideMark/>
          </w:tcPr>
          <w:p w14:paraId="49672797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194</w:t>
            </w:r>
          </w:p>
        </w:tc>
        <w:tc>
          <w:tcPr>
            <w:tcW w:w="896" w:type="pct"/>
          </w:tcPr>
          <w:p w14:paraId="1566B1D6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92,59 %</w:t>
            </w:r>
          </w:p>
        </w:tc>
      </w:tr>
      <w:tr w:rsidR="008931B7" w:rsidRPr="00C62639" w14:paraId="11AF8A72" w14:textId="77777777" w:rsidTr="004F3C9D">
        <w:trPr>
          <w:trHeight w:val="20"/>
        </w:trPr>
        <w:tc>
          <w:tcPr>
            <w:tcW w:w="818" w:type="pct"/>
          </w:tcPr>
          <w:p w14:paraId="4E1E11EB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bCs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bCs/>
                <w:smallCaps/>
                <w:sz w:val="20"/>
              </w:rPr>
              <w:t>2015</w:t>
            </w:r>
          </w:p>
        </w:tc>
        <w:tc>
          <w:tcPr>
            <w:tcW w:w="1046" w:type="pct"/>
          </w:tcPr>
          <w:p w14:paraId="72A248EC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1936</w:t>
            </w:r>
          </w:p>
        </w:tc>
        <w:tc>
          <w:tcPr>
            <w:tcW w:w="1344" w:type="pct"/>
          </w:tcPr>
          <w:p w14:paraId="56D47CCB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b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b/>
                <w:smallCaps/>
                <w:sz w:val="20"/>
              </w:rPr>
              <w:t>1437</w:t>
            </w:r>
          </w:p>
        </w:tc>
        <w:tc>
          <w:tcPr>
            <w:tcW w:w="896" w:type="pct"/>
          </w:tcPr>
          <w:p w14:paraId="30C469B7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499</w:t>
            </w:r>
          </w:p>
        </w:tc>
        <w:tc>
          <w:tcPr>
            <w:tcW w:w="896" w:type="pct"/>
          </w:tcPr>
          <w:p w14:paraId="7A184F85" w14:textId="77777777" w:rsidR="008931B7" w:rsidRPr="004F3C9D" w:rsidRDefault="008931B7" w:rsidP="00007A20">
            <w:pPr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4F3C9D">
              <w:rPr>
                <w:rFonts w:ascii="Calibri Light" w:hAnsi="Calibri Light"/>
                <w:smallCaps/>
                <w:sz w:val="20"/>
              </w:rPr>
              <w:t>33,69 %</w:t>
            </w:r>
          </w:p>
        </w:tc>
      </w:tr>
    </w:tbl>
    <w:p w14:paraId="165EE4E6" w14:textId="09642B13" w:rsidR="008931B7" w:rsidRDefault="008931B7" w:rsidP="008931B7">
      <w:pPr>
        <w:pStyle w:val="NORMLN0"/>
        <w:rPr>
          <w:rFonts w:asciiTheme="minorHAnsi" w:hAnsiTheme="minorHAnsi"/>
          <w:noProof/>
        </w:rPr>
      </w:pPr>
    </w:p>
    <w:p w14:paraId="62D531F8" w14:textId="4412D185" w:rsidR="007124D0" w:rsidRDefault="007124D0" w:rsidP="008931B7">
      <w:pPr>
        <w:pStyle w:val="NORMLN0"/>
        <w:rPr>
          <w:rFonts w:asciiTheme="minorHAnsi" w:hAnsiTheme="minorHAnsi"/>
          <w:noProof/>
        </w:rPr>
      </w:pPr>
    </w:p>
    <w:p w14:paraId="20FCADBD" w14:textId="77777777" w:rsidR="007124D0" w:rsidRPr="00C62639" w:rsidRDefault="007124D0" w:rsidP="008931B7">
      <w:pPr>
        <w:pStyle w:val="NORMLN0"/>
        <w:rPr>
          <w:rFonts w:asciiTheme="minorHAnsi" w:hAnsiTheme="minorHAnsi"/>
          <w:noProof/>
        </w:rPr>
      </w:pPr>
    </w:p>
    <w:p w14:paraId="518008D8" w14:textId="437C4084" w:rsidR="008931B7" w:rsidRPr="0056423C" w:rsidRDefault="008931B7" w:rsidP="008931B7">
      <w:pPr>
        <w:pStyle w:val="Nadpis1"/>
        <w:rPr>
          <w:rFonts w:eastAsia="Calibri"/>
          <w:noProof/>
        </w:rPr>
      </w:pPr>
      <w:bookmarkStart w:id="28" w:name="_Toc34210376"/>
      <w:r w:rsidRPr="0056423C">
        <w:rPr>
          <w:rFonts w:eastAsia="Calibri"/>
          <w:noProof/>
        </w:rPr>
        <w:t xml:space="preserve">Důvody, které znemožňují použití dat </w:t>
      </w:r>
      <w:r w:rsidR="00962A95">
        <w:rPr>
          <w:rFonts w:eastAsia="Calibri"/>
          <w:noProof/>
        </w:rPr>
        <w:t>pro </w:t>
      </w:r>
      <w:r w:rsidRPr="0056423C">
        <w:rPr>
          <w:rFonts w:eastAsia="Calibri"/>
          <w:noProof/>
        </w:rPr>
        <w:t>benchmarking</w:t>
      </w:r>
      <w:bookmarkEnd w:id="25"/>
      <w:bookmarkEnd w:id="28"/>
    </w:p>
    <w:p w14:paraId="37E036A3" w14:textId="4A219091" w:rsidR="008931B7" w:rsidRPr="00C62639" w:rsidRDefault="00962A95" w:rsidP="00A47E54">
      <w:pPr>
        <w:pStyle w:val="NORMLN0"/>
        <w:rPr>
          <w:rFonts w:asciiTheme="minorHAnsi" w:hAnsiTheme="minorHAnsi" w:cs="Calibri"/>
          <w:noProof/>
        </w:rPr>
      </w:pPr>
      <w:r>
        <w:rPr>
          <w:noProof/>
        </w:rPr>
        <w:t>Při </w:t>
      </w:r>
      <w:r w:rsidR="008931B7" w:rsidRPr="00C62639">
        <w:rPr>
          <w:noProof/>
        </w:rPr>
        <w:t xml:space="preserve">propojování informací </w:t>
      </w:r>
      <w:r>
        <w:rPr>
          <w:noProof/>
        </w:rPr>
        <w:t>z </w:t>
      </w:r>
      <w:r w:rsidR="008931B7" w:rsidRPr="00C62639">
        <w:rPr>
          <w:noProof/>
        </w:rPr>
        <w:t>databází (</w:t>
      </w:r>
      <w:r w:rsidR="00A47E54">
        <w:rPr>
          <w:noProof/>
        </w:rPr>
        <w:t xml:space="preserve">tj. </w:t>
      </w:r>
      <w:r>
        <w:rPr>
          <w:noProof/>
        </w:rPr>
        <w:t>z </w:t>
      </w:r>
      <w:r w:rsidR="008931B7" w:rsidRPr="00C62639">
        <w:rPr>
          <w:noProof/>
        </w:rPr>
        <w:t>Porovnání,</w:t>
      </w:r>
      <w:r w:rsidR="00371EFB">
        <w:rPr>
          <w:noProof/>
        </w:rPr>
        <w:t xml:space="preserve"> </w:t>
      </w:r>
      <w:r w:rsidR="00A47E54">
        <w:rPr>
          <w:noProof/>
        </w:rPr>
        <w:t xml:space="preserve">VÚME a VÚPE) </w:t>
      </w:r>
      <w:r w:rsidR="008931B7" w:rsidRPr="00C62639">
        <w:rPr>
          <w:noProof/>
        </w:rPr>
        <w:t>byl</w:t>
      </w:r>
      <w:r>
        <w:rPr>
          <w:noProof/>
        </w:rPr>
        <w:t>o </w:t>
      </w:r>
      <w:r w:rsidR="008931B7" w:rsidRPr="00C62639">
        <w:rPr>
          <w:noProof/>
        </w:rPr>
        <w:t>specifikován</w:t>
      </w:r>
      <w:r>
        <w:rPr>
          <w:noProof/>
        </w:rPr>
        <w:t>o </w:t>
      </w:r>
      <w:r w:rsidR="008931B7" w:rsidRPr="00C62639">
        <w:rPr>
          <w:noProof/>
        </w:rPr>
        <w:t xml:space="preserve">deset nedostatků, které </w:t>
      </w:r>
      <w:r w:rsidR="008931B7">
        <w:rPr>
          <w:noProof/>
        </w:rPr>
        <w:t>znemožňují</w:t>
      </w:r>
      <w:r w:rsidR="008931B7" w:rsidRPr="00C62639">
        <w:rPr>
          <w:noProof/>
        </w:rPr>
        <w:t xml:space="preserve"> </w:t>
      </w:r>
      <w:r w:rsidR="008931B7">
        <w:rPr>
          <w:noProof/>
        </w:rPr>
        <w:t>pro</w:t>
      </w:r>
      <w:r w:rsidR="008931B7" w:rsidRPr="00C62639">
        <w:rPr>
          <w:noProof/>
        </w:rPr>
        <w:t>pojení dat.</w:t>
      </w:r>
      <w:r w:rsidR="008931B7">
        <w:rPr>
          <w:noProof/>
        </w:rPr>
        <w:t xml:space="preserve"> </w:t>
      </w:r>
      <w:r w:rsidR="00A47E54">
        <w:rPr>
          <w:noProof/>
        </w:rPr>
        <w:t>Tyt</w:t>
      </w:r>
      <w:r>
        <w:rPr>
          <w:noProof/>
        </w:rPr>
        <w:t>o </w:t>
      </w:r>
      <w:r w:rsidR="00A47E54">
        <w:rPr>
          <w:noProof/>
        </w:rPr>
        <w:t>nedostatky</w:t>
      </w:r>
      <w:r w:rsidR="008931B7" w:rsidRPr="00934258">
        <w:rPr>
          <w:noProof/>
        </w:rPr>
        <w:t xml:space="preserve"> </w:t>
      </w:r>
      <w:r w:rsidR="008931B7">
        <w:rPr>
          <w:noProof/>
        </w:rPr>
        <w:t>byly</w:t>
      </w:r>
      <w:r w:rsidR="008931B7" w:rsidRPr="00934258">
        <w:rPr>
          <w:noProof/>
        </w:rPr>
        <w:t xml:space="preserve"> </w:t>
      </w:r>
      <w:r>
        <w:rPr>
          <w:noProof/>
        </w:rPr>
        <w:t>pro </w:t>
      </w:r>
      <w:r w:rsidR="008931B7" w:rsidRPr="00934258">
        <w:rPr>
          <w:noProof/>
        </w:rPr>
        <w:t xml:space="preserve">zjednodušení </w:t>
      </w:r>
      <w:r w:rsidR="008931B7">
        <w:rPr>
          <w:noProof/>
        </w:rPr>
        <w:t>zařazeny</w:t>
      </w:r>
      <w:r w:rsidR="008931B7" w:rsidRPr="00934258">
        <w:rPr>
          <w:noProof/>
        </w:rPr>
        <w:t xml:space="preserve"> d</w:t>
      </w:r>
      <w:r>
        <w:rPr>
          <w:noProof/>
        </w:rPr>
        <w:t>o </w:t>
      </w:r>
      <w:r w:rsidR="00B31618">
        <w:rPr>
          <w:noProof/>
        </w:rPr>
        <w:t>šesti</w:t>
      </w:r>
      <w:r w:rsidR="008931B7" w:rsidRPr="00934258">
        <w:rPr>
          <w:noProof/>
        </w:rPr>
        <w:t xml:space="preserve"> </w:t>
      </w:r>
      <w:r w:rsidR="008931B7">
        <w:rPr>
          <w:noProof/>
        </w:rPr>
        <w:t>kategorií</w:t>
      </w:r>
      <w:r w:rsidR="008931B7" w:rsidRPr="00934258">
        <w:rPr>
          <w:noProof/>
        </w:rPr>
        <w:t xml:space="preserve"> a jejich </w:t>
      </w:r>
      <w:r w:rsidR="00A47E54">
        <w:rPr>
          <w:noProof/>
        </w:rPr>
        <w:t>četnost</w:t>
      </w:r>
      <w:r w:rsidR="008931B7">
        <w:rPr>
          <w:noProof/>
        </w:rPr>
        <w:t xml:space="preserve"> je uvede</w:t>
      </w:r>
      <w:r>
        <w:rPr>
          <w:noProof/>
        </w:rPr>
        <w:t>na v </w:t>
      </w:r>
      <w:r w:rsidR="008931B7">
        <w:rPr>
          <w:noProof/>
        </w:rPr>
        <w:t xml:space="preserve">rozdělení </w:t>
      </w:r>
      <w:r>
        <w:rPr>
          <w:noProof/>
        </w:rPr>
        <w:t>pro </w:t>
      </w:r>
      <w:r w:rsidR="008931B7">
        <w:rPr>
          <w:noProof/>
        </w:rPr>
        <w:t>vodovod a kanalizaci</w:t>
      </w:r>
      <w:r w:rsidR="008931B7" w:rsidRPr="00934258">
        <w:rPr>
          <w:noProof/>
        </w:rPr>
        <w:t>.</w:t>
      </w:r>
    </w:p>
    <w:p w14:paraId="2F9CE1D5" w14:textId="3B9F2CC4" w:rsidR="008931B7" w:rsidRDefault="008931B7" w:rsidP="008931B7">
      <w:pPr>
        <w:pStyle w:val="NORMLN0"/>
        <w:rPr>
          <w:rFonts w:asciiTheme="minorHAnsi" w:hAnsiTheme="minorHAnsi" w:cs="Calibri"/>
          <w:noProof/>
        </w:rPr>
      </w:pPr>
      <w:r>
        <w:rPr>
          <w:noProof/>
          <w:lang w:val="sk-SK"/>
        </w:rPr>
        <w:t xml:space="preserve">Nejvíce </w:t>
      </w:r>
      <w:r>
        <w:rPr>
          <w:noProof/>
        </w:rPr>
        <w:t xml:space="preserve">Porovnání </w:t>
      </w:r>
      <w:r>
        <w:rPr>
          <w:noProof/>
          <w:lang w:val="sk-SK"/>
        </w:rPr>
        <w:t>byl</w:t>
      </w:r>
      <w:r w:rsidR="00962A95">
        <w:rPr>
          <w:noProof/>
          <w:lang w:val="sk-SK"/>
        </w:rPr>
        <w:t>o </w:t>
      </w:r>
      <w:r>
        <w:rPr>
          <w:noProof/>
        </w:rPr>
        <w:t>vyřazen</w:t>
      </w:r>
      <w:r w:rsidR="00962A95">
        <w:rPr>
          <w:noProof/>
        </w:rPr>
        <w:t>o z </w:t>
      </w:r>
      <w:r w:rsidRPr="00934258">
        <w:rPr>
          <w:noProof/>
        </w:rPr>
        <w:t>důvodů, které byly spojeny s IČPE</w:t>
      </w:r>
      <w:r w:rsidRPr="00C62639">
        <w:rPr>
          <w:rFonts w:asciiTheme="minorHAnsi" w:hAnsiTheme="minorHAnsi" w:cs="Calibri"/>
          <w:noProof/>
        </w:rPr>
        <w:t>.</w:t>
      </w:r>
      <w:r w:rsidRPr="00934258">
        <w:rPr>
          <w:noProof/>
        </w:rPr>
        <w:t xml:space="preserve"> </w:t>
      </w:r>
      <w:r>
        <w:rPr>
          <w:noProof/>
        </w:rPr>
        <w:t xml:space="preserve">Buď </w:t>
      </w:r>
      <w:r w:rsidR="00962A95">
        <w:rPr>
          <w:noProof/>
        </w:rPr>
        <w:t>k </w:t>
      </w:r>
      <w:r>
        <w:rPr>
          <w:noProof/>
        </w:rPr>
        <w:t xml:space="preserve">IČPE </w:t>
      </w:r>
      <w:r w:rsidR="00962A95">
        <w:rPr>
          <w:noProof/>
        </w:rPr>
        <w:t>ve </w:t>
      </w:r>
      <w:r>
        <w:rPr>
          <w:noProof/>
        </w:rPr>
        <w:t>VÚPE chyběl</w:t>
      </w:r>
      <w:r w:rsidR="00962A95">
        <w:rPr>
          <w:noProof/>
        </w:rPr>
        <w:t>o </w:t>
      </w:r>
      <w:r>
        <w:rPr>
          <w:noProof/>
        </w:rPr>
        <w:t xml:space="preserve">související IČME </w:t>
      </w:r>
      <w:r w:rsidR="00962A95">
        <w:rPr>
          <w:noProof/>
        </w:rPr>
        <w:t>ve </w:t>
      </w:r>
      <w:r>
        <w:rPr>
          <w:noProof/>
        </w:rPr>
        <w:t>VÚME, neb</w:t>
      </w:r>
      <w:r w:rsidR="00962A95">
        <w:rPr>
          <w:noProof/>
        </w:rPr>
        <w:t>o k </w:t>
      </w:r>
      <w:r>
        <w:rPr>
          <w:noProof/>
        </w:rPr>
        <w:t xml:space="preserve">IČPE uvedenému </w:t>
      </w:r>
      <w:r w:rsidR="00962A95">
        <w:rPr>
          <w:noProof/>
        </w:rPr>
        <w:t>na </w:t>
      </w:r>
      <w:r>
        <w:rPr>
          <w:noProof/>
        </w:rPr>
        <w:t xml:space="preserve">Porovnání </w:t>
      </w:r>
      <w:r>
        <w:rPr>
          <w:noProof/>
          <w:lang w:val="sk-SK"/>
        </w:rPr>
        <w:t>c</w:t>
      </w:r>
      <w:r>
        <w:rPr>
          <w:noProof/>
        </w:rPr>
        <w:t>hyběl</w:t>
      </w:r>
      <w:r w:rsidR="00962A95">
        <w:rPr>
          <w:noProof/>
        </w:rPr>
        <w:t>o </w:t>
      </w:r>
      <w:r>
        <w:rPr>
          <w:noProof/>
        </w:rPr>
        <w:t xml:space="preserve">IČPE </w:t>
      </w:r>
      <w:r w:rsidR="00962A95">
        <w:rPr>
          <w:noProof/>
        </w:rPr>
        <w:t>ve </w:t>
      </w:r>
      <w:r>
        <w:rPr>
          <w:noProof/>
        </w:rPr>
        <w:t>VÚPE</w:t>
      </w:r>
      <w:r w:rsidRPr="00C62639">
        <w:rPr>
          <w:rFonts w:asciiTheme="minorHAnsi" w:hAnsiTheme="minorHAnsi" w:cs="Calibri"/>
          <w:noProof/>
        </w:rPr>
        <w:t>, což znemožnil</w:t>
      </w:r>
      <w:r w:rsidR="00962A95">
        <w:rPr>
          <w:rFonts w:asciiTheme="minorHAnsi" w:hAnsiTheme="minorHAnsi" w:cs="Calibri"/>
          <w:noProof/>
        </w:rPr>
        <w:t>o </w:t>
      </w:r>
      <w:r w:rsidRPr="00C62639">
        <w:rPr>
          <w:rFonts w:asciiTheme="minorHAnsi" w:hAnsiTheme="minorHAnsi" w:cs="Calibri"/>
          <w:noProof/>
        </w:rPr>
        <w:t xml:space="preserve">napojení informací </w:t>
      </w:r>
      <w:r w:rsidR="00962A95">
        <w:rPr>
          <w:rFonts w:asciiTheme="minorHAnsi" w:hAnsiTheme="minorHAnsi" w:cs="Calibri"/>
          <w:noProof/>
        </w:rPr>
        <w:t>z </w:t>
      </w:r>
      <w:r w:rsidRPr="00C62639">
        <w:rPr>
          <w:rFonts w:asciiTheme="minorHAnsi" w:hAnsiTheme="minorHAnsi" w:cs="Calibri"/>
          <w:noProof/>
        </w:rPr>
        <w:t xml:space="preserve">VÚPE a VÚME </w:t>
      </w:r>
      <w:r w:rsidR="00962A95">
        <w:rPr>
          <w:rFonts w:asciiTheme="minorHAnsi" w:hAnsiTheme="minorHAnsi" w:cs="Calibri"/>
          <w:noProof/>
        </w:rPr>
        <w:t>k </w:t>
      </w:r>
      <w:r w:rsidRPr="00C62639">
        <w:rPr>
          <w:rFonts w:asciiTheme="minorHAnsi" w:hAnsiTheme="minorHAnsi" w:cs="Calibri"/>
          <w:noProof/>
        </w:rPr>
        <w:t>danému Porovnání.</w:t>
      </w:r>
    </w:p>
    <w:p w14:paraId="30908152" w14:textId="14B49175" w:rsidR="007124D0" w:rsidRDefault="00B31618" w:rsidP="008931B7">
      <w:pPr>
        <w:pStyle w:val="NORMLN0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 xml:space="preserve">Informace </w:t>
      </w:r>
      <w:r w:rsidR="00962A95">
        <w:rPr>
          <w:rFonts w:asciiTheme="minorHAnsi" w:hAnsiTheme="minorHAnsi" w:cs="Calibri"/>
          <w:noProof/>
        </w:rPr>
        <w:t>o </w:t>
      </w:r>
      <w:r>
        <w:rPr>
          <w:rFonts w:asciiTheme="minorHAnsi" w:hAnsiTheme="minorHAnsi" w:cs="Calibri"/>
          <w:noProof/>
        </w:rPr>
        <w:t>příčinách nezařazení jednotlivých Porovnání d</w:t>
      </w:r>
      <w:r w:rsidR="00962A95">
        <w:rPr>
          <w:rFonts w:asciiTheme="minorHAnsi" w:hAnsiTheme="minorHAnsi" w:cs="Calibri"/>
          <w:noProof/>
        </w:rPr>
        <w:t>o </w:t>
      </w:r>
      <w:r>
        <w:rPr>
          <w:rFonts w:asciiTheme="minorHAnsi" w:hAnsiTheme="minorHAnsi" w:cs="Calibri"/>
          <w:noProof/>
        </w:rPr>
        <w:t xml:space="preserve">další analýzy je přístupná </w:t>
      </w:r>
      <w:r w:rsidR="00962A95">
        <w:rPr>
          <w:rFonts w:asciiTheme="minorHAnsi" w:hAnsiTheme="minorHAnsi" w:cs="Calibri"/>
          <w:noProof/>
        </w:rPr>
        <w:t>v </w:t>
      </w:r>
      <w:r>
        <w:rPr>
          <w:rFonts w:asciiTheme="minorHAnsi" w:hAnsiTheme="minorHAnsi" w:cs="Calibri"/>
          <w:noProof/>
        </w:rPr>
        <w:t xml:space="preserve">*.xls souborech </w:t>
      </w:r>
      <w:r w:rsidR="00962A95">
        <w:rPr>
          <w:rFonts w:asciiTheme="minorHAnsi" w:hAnsiTheme="minorHAnsi" w:cs="Calibri"/>
          <w:noProof/>
        </w:rPr>
        <w:t>na </w:t>
      </w:r>
      <w:r>
        <w:rPr>
          <w:rFonts w:asciiTheme="minorHAnsi" w:hAnsiTheme="minorHAnsi" w:cs="Calibri"/>
          <w:noProof/>
        </w:rPr>
        <w:t>webu M</w:t>
      </w:r>
      <w:r w:rsidR="00962A95">
        <w:rPr>
          <w:rFonts w:asciiTheme="minorHAnsi" w:hAnsiTheme="minorHAnsi" w:cs="Calibri"/>
          <w:noProof/>
        </w:rPr>
        <w:t>Ze </w:t>
      </w:r>
      <w:r>
        <w:rPr>
          <w:rFonts w:asciiTheme="minorHAnsi" w:hAnsiTheme="minorHAnsi" w:cs="Calibri"/>
          <w:noProof/>
        </w:rPr>
        <w:t>(</w:t>
      </w:r>
      <w:r w:rsidR="00A47E54">
        <w:rPr>
          <w:rFonts w:asciiTheme="minorHAnsi" w:hAnsiTheme="minorHAnsi" w:cs="Calibri"/>
          <w:noProof/>
        </w:rPr>
        <w:t>vi</w:t>
      </w:r>
      <w:r w:rsidR="00962A95">
        <w:rPr>
          <w:rFonts w:asciiTheme="minorHAnsi" w:hAnsiTheme="minorHAnsi" w:cs="Calibri"/>
          <w:noProof/>
        </w:rPr>
        <w:t>z </w:t>
      </w:r>
      <w:r w:rsidR="00A47E54">
        <w:rPr>
          <w:rFonts w:asciiTheme="minorHAnsi" w:hAnsiTheme="minorHAnsi" w:cs="Calibri"/>
          <w:noProof/>
        </w:rPr>
        <w:t>kapitola 1)</w:t>
      </w:r>
      <w:r>
        <w:rPr>
          <w:rFonts w:asciiTheme="minorHAnsi" w:hAnsiTheme="minorHAnsi" w:cs="Calibri"/>
          <w:noProof/>
        </w:rPr>
        <w:t>.</w:t>
      </w:r>
      <w:r w:rsidR="008931B7" w:rsidRPr="00C62639">
        <w:rPr>
          <w:rFonts w:asciiTheme="minorHAnsi" w:hAnsiTheme="minorHAnsi" w:cs="Calibri"/>
          <w:noProof/>
        </w:rPr>
        <w:t xml:space="preserve"> </w:t>
      </w:r>
    </w:p>
    <w:p w14:paraId="6E3CEF59" w14:textId="77777777" w:rsidR="007124D0" w:rsidRDefault="007124D0">
      <w:pPr>
        <w:spacing w:before="0" w:after="160" w:line="259" w:lineRule="auto"/>
        <w:contextualSpacing w:val="0"/>
        <w:jc w:val="left"/>
        <w:rPr>
          <w:rFonts w:asciiTheme="minorHAnsi" w:hAnsiTheme="minorHAnsi" w:cs="Calibri"/>
          <w:noProof/>
          <w:szCs w:val="20"/>
        </w:rPr>
      </w:pPr>
      <w:r>
        <w:rPr>
          <w:rFonts w:asciiTheme="minorHAnsi" w:hAnsiTheme="minorHAnsi" w:cs="Calibri"/>
          <w:noProof/>
        </w:rPr>
        <w:br w:type="page"/>
      </w:r>
    </w:p>
    <w:p w14:paraId="32BDF192" w14:textId="77777777" w:rsidR="008931B7" w:rsidRPr="000A06BE" w:rsidRDefault="008931B7" w:rsidP="008931B7">
      <w:pPr>
        <w:pStyle w:val="Nadpis3"/>
        <w:rPr>
          <w:rFonts w:asciiTheme="minorHAnsi" w:hAnsiTheme="minorHAnsi"/>
          <w:noProof/>
        </w:rPr>
      </w:pPr>
      <w:bookmarkStart w:id="29" w:name="_Toc963473"/>
      <w:bookmarkStart w:id="30" w:name="_Toc34210377"/>
      <w:r w:rsidRPr="000A06BE">
        <w:rPr>
          <w:rFonts w:asciiTheme="minorHAnsi" w:hAnsiTheme="minorHAnsi"/>
          <w:noProof/>
        </w:rPr>
        <w:lastRenderedPageBreak/>
        <w:t>Vodovod</w:t>
      </w:r>
      <w:bookmarkEnd w:id="29"/>
      <w:bookmarkEnd w:id="30"/>
    </w:p>
    <w:p w14:paraId="3BE92C28" w14:textId="6DA98F28" w:rsidR="008931B7" w:rsidRPr="00C62639" w:rsidRDefault="00962A95" w:rsidP="005B5C70">
      <w:pPr>
        <w:pStyle w:val="NORMLN0"/>
        <w:rPr>
          <w:rFonts w:asciiTheme="minorHAnsi" w:hAnsiTheme="minorHAnsi" w:cs="Calibri"/>
          <w:noProof/>
        </w:rPr>
      </w:pPr>
      <w:r>
        <w:rPr>
          <w:noProof/>
        </w:rPr>
        <w:t>Z </w:t>
      </w:r>
      <w:r w:rsidR="008931B7" w:rsidRPr="00934258">
        <w:rPr>
          <w:noProof/>
        </w:rPr>
        <w:t>celkovéh</w:t>
      </w:r>
      <w:r>
        <w:rPr>
          <w:noProof/>
        </w:rPr>
        <w:t>o </w:t>
      </w:r>
      <w:r w:rsidR="008931B7" w:rsidRPr="00934258">
        <w:rPr>
          <w:noProof/>
        </w:rPr>
        <w:t xml:space="preserve">počtu </w:t>
      </w:r>
      <w:r w:rsidR="005B5C70">
        <w:rPr>
          <w:noProof/>
        </w:rPr>
        <w:t>2</w:t>
      </w:r>
      <w:r w:rsidR="00967419">
        <w:rPr>
          <w:noProof/>
        </w:rPr>
        <w:t xml:space="preserve"> </w:t>
      </w:r>
      <w:r w:rsidR="005B5C70">
        <w:rPr>
          <w:noProof/>
        </w:rPr>
        <w:t>313</w:t>
      </w:r>
      <w:r w:rsidR="008931B7" w:rsidRPr="00934258">
        <w:rPr>
          <w:noProof/>
        </w:rPr>
        <w:t xml:space="preserve"> Porovnání byl</w:t>
      </w:r>
      <w:r>
        <w:rPr>
          <w:noProof/>
        </w:rPr>
        <w:t>o </w:t>
      </w:r>
      <w:r w:rsidR="008931B7" w:rsidRPr="00934258">
        <w:rPr>
          <w:noProof/>
        </w:rPr>
        <w:t>vyřazen</w:t>
      </w:r>
      <w:r>
        <w:rPr>
          <w:noProof/>
        </w:rPr>
        <w:t>o </w:t>
      </w:r>
      <w:r w:rsidR="005B5C70">
        <w:rPr>
          <w:noProof/>
        </w:rPr>
        <w:t>282</w:t>
      </w:r>
      <w:r w:rsidR="005B5C70" w:rsidRPr="00934258">
        <w:rPr>
          <w:noProof/>
        </w:rPr>
        <w:t xml:space="preserve"> </w:t>
      </w:r>
      <w:r w:rsidR="008931B7" w:rsidRPr="00934258">
        <w:rPr>
          <w:noProof/>
        </w:rPr>
        <w:t>Porovnání</w:t>
      </w:r>
      <w:r w:rsidR="008931B7">
        <w:rPr>
          <w:noProof/>
        </w:rPr>
        <w:t xml:space="preserve"> (tj</w:t>
      </w:r>
      <w:r w:rsidR="008931B7" w:rsidRPr="00934258">
        <w:rPr>
          <w:noProof/>
        </w:rPr>
        <w:t>.</w:t>
      </w:r>
      <w:r w:rsidR="008931B7">
        <w:rPr>
          <w:noProof/>
        </w:rPr>
        <w:t xml:space="preserve"> </w:t>
      </w:r>
      <w:r w:rsidR="005B5C70">
        <w:rPr>
          <w:noProof/>
        </w:rPr>
        <w:t>12,19</w:t>
      </w:r>
      <w:r w:rsidR="008931B7">
        <w:rPr>
          <w:noProof/>
        </w:rPr>
        <w:t xml:space="preserve"> %).</w:t>
      </w:r>
      <w:r w:rsidR="008931B7" w:rsidRPr="00934258">
        <w:rPr>
          <w:noProof/>
        </w:rPr>
        <w:t xml:space="preserve"> </w:t>
      </w:r>
      <w:r>
        <w:rPr>
          <w:noProof/>
        </w:rPr>
        <w:t>Z </w:t>
      </w:r>
      <w:r w:rsidR="00A47E54">
        <w:rPr>
          <w:noProof/>
        </w:rPr>
        <w:t>tohot</w:t>
      </w:r>
      <w:r>
        <w:rPr>
          <w:noProof/>
        </w:rPr>
        <w:t>o </w:t>
      </w:r>
      <w:r w:rsidR="00A47E54">
        <w:rPr>
          <w:noProof/>
        </w:rPr>
        <w:t>počtu byl</w:t>
      </w:r>
      <w:r>
        <w:rPr>
          <w:noProof/>
        </w:rPr>
        <w:t>o </w:t>
      </w:r>
      <w:r w:rsidR="00A47E54">
        <w:rPr>
          <w:noProof/>
        </w:rPr>
        <w:t>n</w:t>
      </w:r>
      <w:r w:rsidR="008931B7" w:rsidRPr="00934258">
        <w:rPr>
          <w:noProof/>
        </w:rPr>
        <w:t>ejčastějším důvodem</w:t>
      </w:r>
      <w:r w:rsidR="00194A43">
        <w:rPr>
          <w:noProof/>
        </w:rPr>
        <w:t xml:space="preserve"> vyřazení Porovnání</w:t>
      </w:r>
      <w:r w:rsidR="008931B7" w:rsidRPr="00934258">
        <w:rPr>
          <w:noProof/>
        </w:rPr>
        <w:t xml:space="preserve"> (</w:t>
      </w:r>
      <w:r w:rsidR="008931B7">
        <w:rPr>
          <w:noProof/>
        </w:rPr>
        <w:t xml:space="preserve">tj. </w:t>
      </w:r>
      <w:r w:rsidR="005B5C70">
        <w:rPr>
          <w:noProof/>
        </w:rPr>
        <w:t>85,46</w:t>
      </w:r>
      <w:r w:rsidR="008931B7" w:rsidRPr="00934258">
        <w:rPr>
          <w:noProof/>
        </w:rPr>
        <w:t xml:space="preserve"> %), že </w:t>
      </w:r>
      <w:r>
        <w:rPr>
          <w:noProof/>
        </w:rPr>
        <w:t>k </w:t>
      </w:r>
      <w:r w:rsidR="008931B7">
        <w:rPr>
          <w:noProof/>
        </w:rPr>
        <w:t>některému</w:t>
      </w:r>
      <w:r w:rsidR="008931B7" w:rsidRPr="00934258">
        <w:rPr>
          <w:noProof/>
        </w:rPr>
        <w:t xml:space="preserve"> IČPE uveden</w:t>
      </w:r>
      <w:r w:rsidR="008931B7">
        <w:rPr>
          <w:noProof/>
        </w:rPr>
        <w:t>ému</w:t>
      </w:r>
      <w:r w:rsidR="008931B7" w:rsidRPr="00934258">
        <w:rPr>
          <w:noProof/>
        </w:rPr>
        <w:t xml:space="preserve"> </w:t>
      </w:r>
      <w:r>
        <w:rPr>
          <w:noProof/>
        </w:rPr>
        <w:t>na </w:t>
      </w:r>
      <w:r w:rsidR="008931B7" w:rsidRPr="00934258">
        <w:rPr>
          <w:noProof/>
        </w:rPr>
        <w:t xml:space="preserve">Porovnání </w:t>
      </w:r>
      <w:r w:rsidR="008931B7">
        <w:rPr>
          <w:noProof/>
        </w:rPr>
        <w:t>nebyl</w:t>
      </w:r>
      <w:r>
        <w:rPr>
          <w:noProof/>
        </w:rPr>
        <w:t>o </w:t>
      </w:r>
      <w:r w:rsidR="008931B7">
        <w:rPr>
          <w:noProof/>
        </w:rPr>
        <w:t>zaslán</w:t>
      </w:r>
      <w:r>
        <w:rPr>
          <w:noProof/>
        </w:rPr>
        <w:t>o </w:t>
      </w:r>
      <w:r w:rsidR="008931B7">
        <w:rPr>
          <w:noProof/>
        </w:rPr>
        <w:t xml:space="preserve">hlášení </w:t>
      </w:r>
      <w:r w:rsidR="008931B7" w:rsidRPr="00934258">
        <w:rPr>
          <w:noProof/>
        </w:rPr>
        <w:t>VÚPE.</w:t>
      </w:r>
    </w:p>
    <w:tbl>
      <w:tblPr>
        <w:tblW w:w="3812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4390"/>
        <w:gridCol w:w="2517"/>
      </w:tblGrid>
      <w:tr w:rsidR="008931B7" w:rsidRPr="00B31618" w14:paraId="480A800C" w14:textId="77777777" w:rsidTr="005B5C70">
        <w:trPr>
          <w:trHeight w:val="472"/>
          <w:tblHeader/>
          <w:jc w:val="center"/>
        </w:trPr>
        <w:tc>
          <w:tcPr>
            <w:tcW w:w="3178" w:type="pc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F81BD"/>
            <w:vAlign w:val="center"/>
            <w:hideMark/>
          </w:tcPr>
          <w:p w14:paraId="7B4FC442" w14:textId="77777777" w:rsidR="008931B7" w:rsidRPr="00B31618" w:rsidRDefault="008931B7" w:rsidP="00007A2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</w:pPr>
            <w:r w:rsidRPr="00B31618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  <w:t>Důvod vyřazení Porovnání - VODOVOD</w:t>
            </w:r>
          </w:p>
        </w:tc>
        <w:tc>
          <w:tcPr>
            <w:tcW w:w="1822" w:type="pc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F81BD"/>
            <w:vAlign w:val="center"/>
            <w:hideMark/>
          </w:tcPr>
          <w:p w14:paraId="3E290DFD" w14:textId="24BF52F8" w:rsidR="008931B7" w:rsidRPr="00B31618" w:rsidRDefault="008931B7" w:rsidP="005B5C7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</w:pPr>
            <w:r w:rsidRPr="00B31618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  <w:t xml:space="preserve">Počet vyřazených Porovnání </w:t>
            </w:r>
            <w:r w:rsidR="00962A95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  <w:t>z </w:t>
            </w:r>
            <w:r w:rsidRPr="00B31618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  <w:t>benchmarkingu 201</w:t>
            </w:r>
            <w:r w:rsidR="005B5C70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0"/>
                <w:szCs w:val="22"/>
              </w:rPr>
              <w:t>8</w:t>
            </w:r>
          </w:p>
        </w:tc>
      </w:tr>
      <w:tr w:rsidR="005B5C70" w:rsidRPr="00B31618" w14:paraId="53357445" w14:textId="77777777" w:rsidTr="00F60E69">
        <w:trPr>
          <w:trHeight w:val="285"/>
          <w:jc w:val="center"/>
        </w:trPr>
        <w:tc>
          <w:tcPr>
            <w:tcW w:w="3178" w:type="pct"/>
            <w:shd w:val="clear" w:color="auto" w:fill="9CC2E5" w:themeFill="accent1" w:themeFillTint="99"/>
            <w:hideMark/>
          </w:tcPr>
          <w:p w14:paraId="55DF1DBB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nenalezené ičpe</w:t>
            </w:r>
          </w:p>
        </w:tc>
        <w:tc>
          <w:tcPr>
            <w:tcW w:w="1822" w:type="pct"/>
            <w:shd w:val="clear" w:color="auto" w:fill="9CC2E5" w:themeFill="accent1" w:themeFillTint="99"/>
            <w:hideMark/>
          </w:tcPr>
          <w:p w14:paraId="6B8472D0" w14:textId="77777777" w:rsidR="005B5C70" w:rsidRPr="005B5C70" w:rsidRDefault="005B5C70" w:rsidP="005B5C7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  <w:t>241</w:t>
            </w:r>
          </w:p>
        </w:tc>
      </w:tr>
      <w:tr w:rsidR="005B5C70" w:rsidRPr="00B31618" w14:paraId="31863DCB" w14:textId="77777777" w:rsidTr="005B5C70">
        <w:trPr>
          <w:trHeight w:val="195"/>
          <w:jc w:val="center"/>
        </w:trPr>
        <w:tc>
          <w:tcPr>
            <w:tcW w:w="3178" w:type="pct"/>
            <w:shd w:val="clear" w:color="auto" w:fill="DBE5F1"/>
            <w:hideMark/>
          </w:tcPr>
          <w:p w14:paraId="44BA6BAF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není ičpe vodovodu</w:t>
            </w:r>
          </w:p>
        </w:tc>
        <w:tc>
          <w:tcPr>
            <w:tcW w:w="1822" w:type="pct"/>
            <w:shd w:val="clear" w:color="auto" w:fill="DBE5F1"/>
            <w:hideMark/>
          </w:tcPr>
          <w:p w14:paraId="3EC1F2A3" w14:textId="77777777" w:rsidR="005B5C70" w:rsidRPr="005B5C70" w:rsidRDefault="005B5C70" w:rsidP="005B5C7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  <w:t>18</w:t>
            </w:r>
          </w:p>
        </w:tc>
      </w:tr>
      <w:tr w:rsidR="005B5C70" w:rsidRPr="00B31618" w14:paraId="6B566357" w14:textId="77777777" w:rsidTr="00F60E69">
        <w:trPr>
          <w:trHeight w:val="281"/>
          <w:jc w:val="center"/>
        </w:trPr>
        <w:tc>
          <w:tcPr>
            <w:tcW w:w="3178" w:type="pct"/>
            <w:shd w:val="clear" w:color="auto" w:fill="9CC2E5" w:themeFill="accent1" w:themeFillTint="99"/>
            <w:hideMark/>
          </w:tcPr>
          <w:p w14:paraId="05FD61C7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malý či nulový počet připojených obyvatel</w:t>
            </w:r>
          </w:p>
        </w:tc>
        <w:tc>
          <w:tcPr>
            <w:tcW w:w="1822" w:type="pct"/>
            <w:shd w:val="clear" w:color="auto" w:fill="9CC2E5" w:themeFill="accent1" w:themeFillTint="99"/>
            <w:hideMark/>
          </w:tcPr>
          <w:p w14:paraId="649CB847" w14:textId="77777777" w:rsidR="005B5C70" w:rsidRPr="005B5C70" w:rsidRDefault="005B5C70" w:rsidP="005B5C7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  <w:t>15</w:t>
            </w:r>
          </w:p>
        </w:tc>
      </w:tr>
      <w:tr w:rsidR="005B5C70" w:rsidRPr="00B31618" w14:paraId="69D9ACD0" w14:textId="77777777" w:rsidTr="005B5C70">
        <w:trPr>
          <w:trHeight w:val="271"/>
          <w:jc w:val="center"/>
        </w:trPr>
        <w:tc>
          <w:tcPr>
            <w:tcW w:w="3178" w:type="pct"/>
            <w:shd w:val="clear" w:color="auto" w:fill="DBE5F1"/>
            <w:hideMark/>
          </w:tcPr>
          <w:p w14:paraId="6C2E01DB" w14:textId="5D2D0B95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 xml:space="preserve">chyby </w:t>
            </w:r>
            <w:r w:rsidR="00962A95">
              <w:rPr>
                <w:smallCaps/>
              </w:rPr>
              <w:t>ve </w:t>
            </w:r>
            <w:r w:rsidRPr="005B5C70">
              <w:rPr>
                <w:smallCaps/>
              </w:rPr>
              <w:t>vykazování</w:t>
            </w:r>
          </w:p>
        </w:tc>
        <w:tc>
          <w:tcPr>
            <w:tcW w:w="1822" w:type="pct"/>
            <w:shd w:val="clear" w:color="auto" w:fill="DBE5F1"/>
            <w:hideMark/>
          </w:tcPr>
          <w:p w14:paraId="3C0A1523" w14:textId="77777777" w:rsidR="005B5C70" w:rsidRPr="005B5C70" w:rsidRDefault="005B5C70" w:rsidP="005B5C7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  <w:t>4</w:t>
            </w:r>
          </w:p>
        </w:tc>
      </w:tr>
      <w:tr w:rsidR="005B5C70" w:rsidRPr="00B31618" w14:paraId="67C188E7" w14:textId="77777777" w:rsidTr="00F60E69">
        <w:trPr>
          <w:trHeight w:val="271"/>
          <w:jc w:val="center"/>
        </w:trPr>
        <w:tc>
          <w:tcPr>
            <w:tcW w:w="3178" w:type="pct"/>
            <w:shd w:val="clear" w:color="auto" w:fill="9CC2E5" w:themeFill="accent1" w:themeFillTint="99"/>
          </w:tcPr>
          <w:p w14:paraId="5EC7A43E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malé či nulové množství fakturované vody</w:t>
            </w:r>
          </w:p>
        </w:tc>
        <w:tc>
          <w:tcPr>
            <w:tcW w:w="1822" w:type="pct"/>
            <w:shd w:val="clear" w:color="auto" w:fill="9CC2E5" w:themeFill="accent1" w:themeFillTint="99"/>
          </w:tcPr>
          <w:p w14:paraId="2BF4C1F4" w14:textId="77777777" w:rsidR="005B5C70" w:rsidRPr="005B5C70" w:rsidRDefault="005B5C70" w:rsidP="005B5C7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  <w:t>3</w:t>
            </w:r>
          </w:p>
        </w:tc>
      </w:tr>
      <w:tr w:rsidR="00F60E69" w:rsidRPr="00B31618" w14:paraId="3D5E0C44" w14:textId="77777777" w:rsidTr="005B5C70">
        <w:trPr>
          <w:trHeight w:val="177"/>
          <w:jc w:val="center"/>
        </w:trPr>
        <w:tc>
          <w:tcPr>
            <w:tcW w:w="3178" w:type="pct"/>
            <w:shd w:val="clear" w:color="auto" w:fill="DBE5F1"/>
          </w:tcPr>
          <w:p w14:paraId="50CE8216" w14:textId="27757E08" w:rsidR="00F60E69" w:rsidRPr="00F60E69" w:rsidRDefault="00F60E69" w:rsidP="00F60E69">
            <w:pPr>
              <w:spacing w:before="0" w:after="0"/>
              <w:rPr>
                <w:smallCaps/>
              </w:rPr>
            </w:pPr>
            <w:r>
              <w:rPr>
                <w:smallCaps/>
              </w:rPr>
              <w:t>nenalezené ičme</w:t>
            </w:r>
          </w:p>
        </w:tc>
        <w:tc>
          <w:tcPr>
            <w:tcW w:w="1822" w:type="pct"/>
            <w:shd w:val="clear" w:color="auto" w:fill="DBE5F1"/>
          </w:tcPr>
          <w:p w14:paraId="1D616B4C" w14:textId="106A7AC8" w:rsidR="00F60E69" w:rsidRPr="00F60E69" w:rsidRDefault="00F60E69" w:rsidP="00007A2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</w:pPr>
            <w:r w:rsidRPr="00F60E69">
              <w:rPr>
                <w:rFonts w:asciiTheme="minorHAnsi" w:hAnsiTheme="minorHAnsi"/>
                <w:bCs/>
                <w:smallCaps/>
                <w:noProof/>
                <w:sz w:val="20"/>
                <w:szCs w:val="22"/>
              </w:rPr>
              <w:t>1</w:t>
            </w:r>
          </w:p>
        </w:tc>
      </w:tr>
      <w:tr w:rsidR="008931B7" w:rsidRPr="00B31618" w14:paraId="3BD7ECDB" w14:textId="77777777" w:rsidTr="00F60E69">
        <w:trPr>
          <w:trHeight w:val="251"/>
          <w:jc w:val="center"/>
        </w:trPr>
        <w:tc>
          <w:tcPr>
            <w:tcW w:w="3178" w:type="pct"/>
            <w:shd w:val="clear" w:color="auto" w:fill="9CC2E5" w:themeFill="accent1" w:themeFillTint="99"/>
            <w:hideMark/>
          </w:tcPr>
          <w:p w14:paraId="06ADE8E7" w14:textId="77777777" w:rsidR="008931B7" w:rsidRPr="00B31618" w:rsidRDefault="008931B7" w:rsidP="00007A20">
            <w:pPr>
              <w:pStyle w:val="NORMLN0"/>
              <w:spacing w:before="0" w:after="0"/>
              <w:ind w:firstLine="0"/>
              <w:jc w:val="right"/>
              <w:rPr>
                <w:rFonts w:asciiTheme="minorHAnsi" w:hAnsiTheme="minorHAnsi"/>
                <w:smallCaps/>
                <w:noProof/>
                <w:sz w:val="20"/>
                <w:szCs w:val="22"/>
              </w:rPr>
            </w:pPr>
            <w:r w:rsidRPr="00B31618">
              <w:rPr>
                <w:rFonts w:asciiTheme="minorHAnsi" w:hAnsiTheme="minorHAnsi"/>
                <w:b/>
                <w:bCs/>
                <w:smallCaps/>
                <w:noProof/>
                <w:sz w:val="20"/>
                <w:szCs w:val="22"/>
              </w:rPr>
              <w:t>celkem</w:t>
            </w:r>
          </w:p>
        </w:tc>
        <w:tc>
          <w:tcPr>
            <w:tcW w:w="1822" w:type="pct"/>
            <w:shd w:val="clear" w:color="auto" w:fill="9CC2E5" w:themeFill="accent1" w:themeFillTint="99"/>
            <w:hideMark/>
          </w:tcPr>
          <w:p w14:paraId="58CC975F" w14:textId="77777777" w:rsidR="008931B7" w:rsidRPr="00B31618" w:rsidRDefault="008931B7" w:rsidP="00007A20">
            <w:pPr>
              <w:pStyle w:val="NORMLN0"/>
              <w:spacing w:before="0" w:after="0"/>
              <w:ind w:firstLine="0"/>
              <w:jc w:val="center"/>
              <w:rPr>
                <w:rFonts w:asciiTheme="minorHAnsi" w:hAnsiTheme="minorHAnsi"/>
                <w:smallCaps/>
                <w:noProof/>
                <w:sz w:val="20"/>
                <w:szCs w:val="22"/>
              </w:rPr>
            </w:pPr>
            <w:r w:rsidRPr="00B31618">
              <w:rPr>
                <w:rFonts w:asciiTheme="minorHAnsi" w:hAnsiTheme="minorHAnsi"/>
                <w:b/>
                <w:bCs/>
                <w:smallCaps/>
                <w:noProof/>
                <w:sz w:val="20"/>
                <w:szCs w:val="22"/>
              </w:rPr>
              <w:t>225</w:t>
            </w:r>
          </w:p>
        </w:tc>
      </w:tr>
    </w:tbl>
    <w:p w14:paraId="65A66320" w14:textId="77777777" w:rsidR="008931B7" w:rsidRPr="000A06BE" w:rsidRDefault="008931B7" w:rsidP="008931B7">
      <w:pPr>
        <w:pStyle w:val="Nadpis3"/>
        <w:rPr>
          <w:rFonts w:asciiTheme="minorHAnsi" w:hAnsiTheme="minorHAnsi"/>
          <w:noProof/>
        </w:rPr>
      </w:pPr>
      <w:bookmarkStart w:id="31" w:name="_Toc963474"/>
      <w:bookmarkStart w:id="32" w:name="_Toc34210378"/>
      <w:r w:rsidRPr="000A06BE">
        <w:rPr>
          <w:rFonts w:asciiTheme="minorHAnsi" w:hAnsiTheme="minorHAnsi"/>
          <w:noProof/>
        </w:rPr>
        <w:t>Kanalizace</w:t>
      </w:r>
      <w:bookmarkEnd w:id="31"/>
      <w:bookmarkEnd w:id="32"/>
    </w:p>
    <w:p w14:paraId="3B35AD19" w14:textId="5809EEEE" w:rsidR="00194A43" w:rsidRPr="00C62639" w:rsidRDefault="00962A95" w:rsidP="00194A43">
      <w:pPr>
        <w:pStyle w:val="NORMLN0"/>
        <w:rPr>
          <w:rFonts w:asciiTheme="minorHAnsi" w:hAnsiTheme="minorHAnsi" w:cs="Calibri"/>
          <w:noProof/>
        </w:rPr>
      </w:pPr>
      <w:r>
        <w:rPr>
          <w:noProof/>
        </w:rPr>
        <w:t>V </w:t>
      </w:r>
      <w:r w:rsidR="008931B7" w:rsidRPr="00C62639">
        <w:rPr>
          <w:noProof/>
        </w:rPr>
        <w:t>případě kanalizace byl</w:t>
      </w:r>
      <w:r>
        <w:rPr>
          <w:noProof/>
        </w:rPr>
        <w:t>o z </w:t>
      </w:r>
      <w:r w:rsidR="008931B7" w:rsidRPr="00C62639">
        <w:rPr>
          <w:noProof/>
        </w:rPr>
        <w:t>celkovéh</w:t>
      </w:r>
      <w:r>
        <w:rPr>
          <w:noProof/>
        </w:rPr>
        <w:t>o </w:t>
      </w:r>
      <w:r w:rsidR="008931B7" w:rsidRPr="00C62639">
        <w:rPr>
          <w:noProof/>
        </w:rPr>
        <w:t xml:space="preserve">počtu </w:t>
      </w:r>
      <w:r w:rsidR="005B5C70">
        <w:rPr>
          <w:noProof/>
        </w:rPr>
        <w:t>2</w:t>
      </w:r>
      <w:r w:rsidR="00967419">
        <w:rPr>
          <w:noProof/>
        </w:rPr>
        <w:t xml:space="preserve"> </w:t>
      </w:r>
      <w:r w:rsidR="005B5C70">
        <w:rPr>
          <w:noProof/>
        </w:rPr>
        <w:t>778</w:t>
      </w:r>
      <w:r w:rsidR="008931B7" w:rsidRPr="00C62639">
        <w:rPr>
          <w:noProof/>
        </w:rPr>
        <w:t xml:space="preserve"> Porovnání vyřazen</w:t>
      </w:r>
      <w:r>
        <w:rPr>
          <w:noProof/>
        </w:rPr>
        <w:t>o </w:t>
      </w:r>
      <w:r w:rsidR="005B5C70">
        <w:rPr>
          <w:noProof/>
        </w:rPr>
        <w:t xml:space="preserve">335 </w:t>
      </w:r>
      <w:r w:rsidR="008931B7">
        <w:rPr>
          <w:noProof/>
        </w:rPr>
        <w:t xml:space="preserve">(tj. </w:t>
      </w:r>
      <w:r w:rsidR="005B5C70">
        <w:rPr>
          <w:noProof/>
        </w:rPr>
        <w:t>12,06</w:t>
      </w:r>
      <w:r w:rsidR="008931B7">
        <w:rPr>
          <w:noProof/>
        </w:rPr>
        <w:t> %)</w:t>
      </w:r>
      <w:r w:rsidR="008931B7" w:rsidRPr="00C62639">
        <w:rPr>
          <w:noProof/>
        </w:rPr>
        <w:t xml:space="preserve">. </w:t>
      </w:r>
      <w:r>
        <w:rPr>
          <w:noProof/>
        </w:rPr>
        <w:t>Z </w:t>
      </w:r>
      <w:r w:rsidR="00194A43">
        <w:rPr>
          <w:noProof/>
        </w:rPr>
        <w:t>tohot</w:t>
      </w:r>
      <w:r>
        <w:rPr>
          <w:noProof/>
        </w:rPr>
        <w:t>o </w:t>
      </w:r>
      <w:r w:rsidR="00194A43">
        <w:rPr>
          <w:noProof/>
        </w:rPr>
        <w:t>počtu byl</w:t>
      </w:r>
      <w:r>
        <w:rPr>
          <w:noProof/>
        </w:rPr>
        <w:t>o </w:t>
      </w:r>
      <w:r w:rsidR="00194A43">
        <w:rPr>
          <w:noProof/>
        </w:rPr>
        <w:t>opět n</w:t>
      </w:r>
      <w:r w:rsidR="00194A43" w:rsidRPr="00934258">
        <w:rPr>
          <w:noProof/>
        </w:rPr>
        <w:t xml:space="preserve">ejčastějším důvodem </w:t>
      </w:r>
      <w:r w:rsidR="00194A43">
        <w:rPr>
          <w:noProof/>
        </w:rPr>
        <w:t xml:space="preserve">vyřazení Porovnání </w:t>
      </w:r>
      <w:r w:rsidR="00194A43" w:rsidRPr="00934258">
        <w:rPr>
          <w:noProof/>
        </w:rPr>
        <w:t>(</w:t>
      </w:r>
      <w:r w:rsidR="00194A43">
        <w:rPr>
          <w:noProof/>
        </w:rPr>
        <w:t>tj. 51,64</w:t>
      </w:r>
      <w:r w:rsidR="00194A43" w:rsidRPr="00934258">
        <w:rPr>
          <w:noProof/>
        </w:rPr>
        <w:t xml:space="preserve"> %), že </w:t>
      </w:r>
      <w:r>
        <w:rPr>
          <w:noProof/>
        </w:rPr>
        <w:t>k </w:t>
      </w:r>
      <w:r w:rsidR="00194A43">
        <w:rPr>
          <w:noProof/>
        </w:rPr>
        <w:t>některému</w:t>
      </w:r>
      <w:r w:rsidR="00194A43" w:rsidRPr="00934258">
        <w:rPr>
          <w:noProof/>
        </w:rPr>
        <w:t xml:space="preserve"> IČPE uveden</w:t>
      </w:r>
      <w:r w:rsidR="00194A43">
        <w:rPr>
          <w:noProof/>
        </w:rPr>
        <w:t>ému</w:t>
      </w:r>
      <w:r w:rsidR="00194A43" w:rsidRPr="00934258">
        <w:rPr>
          <w:noProof/>
        </w:rPr>
        <w:t xml:space="preserve"> </w:t>
      </w:r>
      <w:r>
        <w:rPr>
          <w:noProof/>
        </w:rPr>
        <w:t>na </w:t>
      </w:r>
      <w:r w:rsidR="00194A43" w:rsidRPr="00934258">
        <w:rPr>
          <w:noProof/>
        </w:rPr>
        <w:t xml:space="preserve">Porovnání </w:t>
      </w:r>
      <w:r w:rsidR="00194A43">
        <w:rPr>
          <w:noProof/>
        </w:rPr>
        <w:t>nebyl</w:t>
      </w:r>
      <w:r>
        <w:rPr>
          <w:noProof/>
        </w:rPr>
        <w:t>o </w:t>
      </w:r>
      <w:r w:rsidR="00194A43">
        <w:rPr>
          <w:noProof/>
        </w:rPr>
        <w:t>zaslán</w:t>
      </w:r>
      <w:r>
        <w:rPr>
          <w:noProof/>
        </w:rPr>
        <w:t>o </w:t>
      </w:r>
      <w:r w:rsidR="00194A43">
        <w:rPr>
          <w:noProof/>
        </w:rPr>
        <w:t xml:space="preserve">hlášení </w:t>
      </w:r>
      <w:r w:rsidR="00194A43" w:rsidRPr="00934258">
        <w:rPr>
          <w:noProof/>
        </w:rPr>
        <w:t>VÚPE.</w:t>
      </w:r>
    </w:p>
    <w:p w14:paraId="153E7632" w14:textId="18F46C84" w:rsidR="008931B7" w:rsidRDefault="00055D3D" w:rsidP="008931B7">
      <w:pPr>
        <w:pStyle w:val="NORMLN0"/>
        <w:rPr>
          <w:noProof/>
        </w:rPr>
      </w:pPr>
      <w:r>
        <w:rPr>
          <w:noProof/>
        </w:rPr>
        <w:t xml:space="preserve">Dalším </w:t>
      </w:r>
      <w:r w:rsidR="00194A43">
        <w:rPr>
          <w:noProof/>
        </w:rPr>
        <w:t>poměrně častým nedostatkem byl</w:t>
      </w:r>
      <w:r w:rsidR="00962A95">
        <w:rPr>
          <w:noProof/>
        </w:rPr>
        <w:t>o </w:t>
      </w:r>
      <w:r>
        <w:rPr>
          <w:noProof/>
        </w:rPr>
        <w:t>vykazování množství fakturovan</w:t>
      </w:r>
      <w:r w:rsidR="00194A43">
        <w:rPr>
          <w:noProof/>
        </w:rPr>
        <w:t>é</w:t>
      </w:r>
      <w:r>
        <w:rPr>
          <w:noProof/>
        </w:rPr>
        <w:t xml:space="preserve"> odpadní a srážkové vody</w:t>
      </w:r>
      <w:r w:rsidR="00194A43">
        <w:rPr>
          <w:noProof/>
        </w:rPr>
        <w:t xml:space="preserve"> </w:t>
      </w:r>
      <w:r w:rsidR="00962A95">
        <w:rPr>
          <w:noProof/>
        </w:rPr>
        <w:t>v </w:t>
      </w:r>
      <w:r w:rsidR="00194A43">
        <w:rPr>
          <w:noProof/>
        </w:rPr>
        <w:t>nulové neb</w:t>
      </w:r>
      <w:r w:rsidR="00962A95">
        <w:rPr>
          <w:noProof/>
        </w:rPr>
        <w:t>o </w:t>
      </w:r>
      <w:r w:rsidR="00194A43">
        <w:rPr>
          <w:noProof/>
        </w:rPr>
        <w:t>zanedbatelné výši.</w:t>
      </w:r>
      <w:r>
        <w:rPr>
          <w:noProof/>
        </w:rPr>
        <w:t xml:space="preserve"> </w:t>
      </w:r>
    </w:p>
    <w:tbl>
      <w:tblPr>
        <w:tblStyle w:val="Tmavtabulkasmkou5zvraznn61"/>
        <w:tblW w:w="3863" w:type="pct"/>
        <w:jc w:val="center"/>
        <w:tblLook w:val="0420" w:firstRow="1" w:lastRow="0" w:firstColumn="0" w:lastColumn="0" w:noHBand="0" w:noVBand="1"/>
      </w:tblPr>
      <w:tblGrid>
        <w:gridCol w:w="4119"/>
        <w:gridCol w:w="2881"/>
      </w:tblGrid>
      <w:tr w:rsidR="008931B7" w:rsidRPr="00C62639" w14:paraId="3AE7B0C5" w14:textId="77777777" w:rsidTr="00007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tcW w:w="2942" w:type="pct"/>
            <w:vAlign w:val="center"/>
            <w:hideMark/>
          </w:tcPr>
          <w:p w14:paraId="1849150A" w14:textId="77777777" w:rsidR="008931B7" w:rsidRPr="005B5C70" w:rsidRDefault="008931B7" w:rsidP="00007A20">
            <w:pPr>
              <w:pStyle w:val="Normlnzprva"/>
              <w:spacing w:after="0" w:line="0" w:lineRule="atLeast"/>
              <w:ind w:firstLine="0"/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smallCaps/>
                <w:noProof/>
                <w:sz w:val="20"/>
              </w:rPr>
              <w:t>Důvod vyřazení Porovnání - KANALIZACE</w:t>
            </w:r>
          </w:p>
        </w:tc>
        <w:tc>
          <w:tcPr>
            <w:tcW w:w="2058" w:type="pct"/>
            <w:vAlign w:val="center"/>
            <w:hideMark/>
          </w:tcPr>
          <w:p w14:paraId="46B8CEF0" w14:textId="3C2A696B" w:rsidR="008931B7" w:rsidRPr="005B5C70" w:rsidRDefault="008931B7" w:rsidP="00007A20">
            <w:pPr>
              <w:pStyle w:val="Normlnzprva"/>
              <w:spacing w:after="0" w:line="0" w:lineRule="atLeast"/>
              <w:ind w:firstLine="0"/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smallCaps/>
                <w:noProof/>
                <w:sz w:val="20"/>
              </w:rPr>
              <w:t>Počet vyřazených</w:t>
            </w:r>
            <w:r w:rsidR="005B5C70">
              <w:rPr>
                <w:rFonts w:asciiTheme="minorHAnsi" w:hAnsiTheme="minorHAnsi"/>
                <w:smallCaps/>
                <w:noProof/>
                <w:sz w:val="20"/>
              </w:rPr>
              <w:t xml:space="preserve"> Porovnání </w:t>
            </w:r>
            <w:r w:rsidR="00962A95">
              <w:rPr>
                <w:rFonts w:asciiTheme="minorHAnsi" w:hAnsiTheme="minorHAnsi"/>
                <w:smallCaps/>
                <w:noProof/>
                <w:sz w:val="20"/>
              </w:rPr>
              <w:t>z </w:t>
            </w:r>
            <w:r w:rsidR="005B5C70">
              <w:rPr>
                <w:rFonts w:asciiTheme="minorHAnsi" w:hAnsiTheme="minorHAnsi"/>
                <w:smallCaps/>
                <w:noProof/>
                <w:sz w:val="20"/>
              </w:rPr>
              <w:t>benchmarkingu 2018</w:t>
            </w:r>
          </w:p>
        </w:tc>
      </w:tr>
      <w:tr w:rsidR="005B5C70" w:rsidRPr="00C62639" w14:paraId="22B6B119" w14:textId="77777777" w:rsidTr="00C2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2" w:type="pct"/>
            <w:hideMark/>
          </w:tcPr>
          <w:p w14:paraId="65753867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nenalezené ičpe</w:t>
            </w:r>
          </w:p>
        </w:tc>
        <w:tc>
          <w:tcPr>
            <w:tcW w:w="2058" w:type="pct"/>
            <w:vAlign w:val="bottom"/>
            <w:hideMark/>
          </w:tcPr>
          <w:p w14:paraId="5D01A228" w14:textId="77777777" w:rsidR="005B5C70" w:rsidRPr="005B5C70" w:rsidRDefault="005B5C70" w:rsidP="005B5C7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bCs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</w:rPr>
              <w:t>173</w:t>
            </w:r>
          </w:p>
        </w:tc>
      </w:tr>
      <w:tr w:rsidR="005B5C70" w:rsidRPr="00C62639" w14:paraId="7F549C01" w14:textId="77777777" w:rsidTr="00C24122">
        <w:trPr>
          <w:trHeight w:val="20"/>
          <w:jc w:val="center"/>
        </w:trPr>
        <w:tc>
          <w:tcPr>
            <w:tcW w:w="2942" w:type="pct"/>
            <w:hideMark/>
          </w:tcPr>
          <w:p w14:paraId="55B4DA62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malé či nulové množství fakturované vody</w:t>
            </w:r>
          </w:p>
        </w:tc>
        <w:tc>
          <w:tcPr>
            <w:tcW w:w="2058" w:type="pct"/>
            <w:vAlign w:val="bottom"/>
            <w:hideMark/>
          </w:tcPr>
          <w:p w14:paraId="162AB453" w14:textId="77777777" w:rsidR="005B5C70" w:rsidRPr="005B5C70" w:rsidRDefault="005B5C70" w:rsidP="005B5C7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bCs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</w:rPr>
              <w:t>104</w:t>
            </w:r>
          </w:p>
        </w:tc>
      </w:tr>
      <w:tr w:rsidR="005B5C70" w:rsidRPr="00C62639" w14:paraId="3397A0B7" w14:textId="77777777" w:rsidTr="00C2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2" w:type="pct"/>
            <w:hideMark/>
          </w:tcPr>
          <w:p w14:paraId="6BF1D9FB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není ičpe kanalizace</w:t>
            </w:r>
          </w:p>
        </w:tc>
        <w:tc>
          <w:tcPr>
            <w:tcW w:w="2058" w:type="pct"/>
            <w:vAlign w:val="bottom"/>
            <w:hideMark/>
          </w:tcPr>
          <w:p w14:paraId="384469B2" w14:textId="77777777" w:rsidR="005B5C70" w:rsidRPr="005B5C70" w:rsidRDefault="005B5C70" w:rsidP="005B5C7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bCs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</w:rPr>
              <w:t>37</w:t>
            </w:r>
          </w:p>
        </w:tc>
      </w:tr>
      <w:tr w:rsidR="005B5C70" w:rsidRPr="00C62639" w14:paraId="62863FEB" w14:textId="77777777" w:rsidTr="00C24122">
        <w:trPr>
          <w:trHeight w:val="20"/>
          <w:jc w:val="center"/>
        </w:trPr>
        <w:tc>
          <w:tcPr>
            <w:tcW w:w="2942" w:type="pct"/>
            <w:hideMark/>
          </w:tcPr>
          <w:p w14:paraId="5AFD5828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malý či nulový počet připojených obyvatel</w:t>
            </w:r>
          </w:p>
        </w:tc>
        <w:tc>
          <w:tcPr>
            <w:tcW w:w="2058" w:type="pct"/>
            <w:vAlign w:val="bottom"/>
            <w:hideMark/>
          </w:tcPr>
          <w:p w14:paraId="442BE1E7" w14:textId="77777777" w:rsidR="005B5C70" w:rsidRPr="005B5C70" w:rsidRDefault="005B5C70" w:rsidP="005B5C7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bCs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</w:rPr>
              <w:t>17</w:t>
            </w:r>
          </w:p>
        </w:tc>
      </w:tr>
      <w:tr w:rsidR="005B5C70" w:rsidRPr="00C62639" w14:paraId="1B54819B" w14:textId="77777777" w:rsidTr="00C2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2" w:type="pct"/>
          </w:tcPr>
          <w:p w14:paraId="534F14E1" w14:textId="4DDEFADE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 xml:space="preserve">chyby </w:t>
            </w:r>
            <w:r w:rsidR="00962A95">
              <w:rPr>
                <w:smallCaps/>
              </w:rPr>
              <w:t>ve </w:t>
            </w:r>
            <w:r w:rsidRPr="005B5C70">
              <w:rPr>
                <w:smallCaps/>
              </w:rPr>
              <w:t>vykazování</w:t>
            </w:r>
          </w:p>
        </w:tc>
        <w:tc>
          <w:tcPr>
            <w:tcW w:w="2058" w:type="pct"/>
            <w:vAlign w:val="bottom"/>
          </w:tcPr>
          <w:p w14:paraId="1BE0D4E8" w14:textId="77777777" w:rsidR="005B5C70" w:rsidRPr="005B5C70" w:rsidRDefault="005B5C70" w:rsidP="005B5C7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bCs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</w:rPr>
              <w:t>2</w:t>
            </w:r>
          </w:p>
        </w:tc>
      </w:tr>
      <w:tr w:rsidR="005B5C70" w:rsidRPr="00C62639" w14:paraId="79A9A634" w14:textId="77777777" w:rsidTr="00C24122">
        <w:trPr>
          <w:trHeight w:val="20"/>
          <w:jc w:val="center"/>
        </w:trPr>
        <w:tc>
          <w:tcPr>
            <w:tcW w:w="2942" w:type="pct"/>
          </w:tcPr>
          <w:p w14:paraId="13FCC910" w14:textId="77777777" w:rsidR="005B5C70" w:rsidRPr="005B5C70" w:rsidRDefault="005B5C70" w:rsidP="005B5C70">
            <w:pPr>
              <w:spacing w:before="0" w:after="0"/>
              <w:rPr>
                <w:smallCaps/>
              </w:rPr>
            </w:pPr>
            <w:r w:rsidRPr="005B5C70">
              <w:rPr>
                <w:smallCaps/>
              </w:rPr>
              <w:t>nenalezené ičme</w:t>
            </w:r>
          </w:p>
        </w:tc>
        <w:tc>
          <w:tcPr>
            <w:tcW w:w="2058" w:type="pct"/>
            <w:vAlign w:val="bottom"/>
          </w:tcPr>
          <w:p w14:paraId="63BA35AA" w14:textId="77777777" w:rsidR="005B5C70" w:rsidRPr="005B5C70" w:rsidRDefault="005B5C70" w:rsidP="005B5C7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bCs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Cs/>
                <w:smallCaps/>
                <w:noProof/>
                <w:sz w:val="20"/>
              </w:rPr>
              <w:t>2</w:t>
            </w:r>
          </w:p>
        </w:tc>
      </w:tr>
      <w:tr w:rsidR="008931B7" w:rsidRPr="00C62639" w14:paraId="5FC02A2F" w14:textId="77777777" w:rsidTr="00F6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tcW w:w="2942" w:type="pct"/>
            <w:vAlign w:val="center"/>
            <w:hideMark/>
          </w:tcPr>
          <w:p w14:paraId="7C5A04DC" w14:textId="77777777" w:rsidR="008931B7" w:rsidRPr="005B5C70" w:rsidRDefault="008931B7" w:rsidP="00007A20">
            <w:pPr>
              <w:pStyle w:val="Normlnzprva"/>
              <w:spacing w:after="0" w:line="0" w:lineRule="atLeast"/>
              <w:jc w:val="right"/>
              <w:rPr>
                <w:rFonts w:asciiTheme="minorHAnsi" w:hAnsiTheme="minorHAnsi"/>
                <w:smallCaps/>
                <w:noProof/>
                <w:sz w:val="20"/>
              </w:rPr>
            </w:pPr>
            <w:r w:rsidRPr="005B5C70">
              <w:rPr>
                <w:rFonts w:asciiTheme="minorHAnsi" w:hAnsiTheme="minorHAnsi"/>
                <w:b/>
                <w:bCs/>
                <w:smallCaps/>
                <w:noProof/>
                <w:sz w:val="20"/>
              </w:rPr>
              <w:t>celkem</w:t>
            </w:r>
          </w:p>
        </w:tc>
        <w:tc>
          <w:tcPr>
            <w:tcW w:w="2058" w:type="pct"/>
            <w:vAlign w:val="center"/>
            <w:hideMark/>
          </w:tcPr>
          <w:p w14:paraId="24796263" w14:textId="47A0E2D0" w:rsidR="008931B7" w:rsidRPr="005B5C70" w:rsidRDefault="00967419" w:rsidP="00007A20">
            <w:pPr>
              <w:pStyle w:val="Normlnzprva"/>
              <w:spacing w:after="0" w:line="0" w:lineRule="atLeast"/>
              <w:ind w:firstLine="21"/>
              <w:jc w:val="center"/>
              <w:rPr>
                <w:rFonts w:asciiTheme="minorHAnsi" w:hAnsiTheme="minorHAnsi"/>
                <w:smallCaps/>
                <w:noProof/>
                <w:sz w:val="20"/>
              </w:rPr>
            </w:pPr>
            <w:r>
              <w:rPr>
                <w:rFonts w:asciiTheme="minorHAnsi" w:hAnsiTheme="minorHAnsi"/>
                <w:b/>
                <w:bCs/>
                <w:smallCaps/>
                <w:noProof/>
                <w:sz w:val="20"/>
              </w:rPr>
              <w:t>335</w:t>
            </w:r>
          </w:p>
        </w:tc>
      </w:tr>
    </w:tbl>
    <w:p w14:paraId="6A1F2C15" w14:textId="77777777" w:rsidR="008931B7" w:rsidRDefault="008931B7" w:rsidP="008931B7">
      <w:pPr>
        <w:pStyle w:val="Normlnzprva"/>
        <w:rPr>
          <w:noProof/>
        </w:rPr>
      </w:pPr>
      <w:r w:rsidRPr="00C62639">
        <w:rPr>
          <w:noProof/>
        </w:rPr>
        <w:t xml:space="preserve"> </w:t>
      </w:r>
    </w:p>
    <w:p w14:paraId="48EB07C2" w14:textId="6F7A1259" w:rsidR="008931B7" w:rsidRPr="00C62639" w:rsidRDefault="00657FB0" w:rsidP="008931B7">
      <w:pPr>
        <w:pStyle w:val="Nadpis2"/>
        <w:rPr>
          <w:rFonts w:asciiTheme="minorHAnsi" w:hAnsiTheme="minorHAnsi"/>
          <w:noProof/>
        </w:rPr>
      </w:pPr>
      <w:bookmarkStart w:id="33" w:name="_Toc963475"/>
      <w:r>
        <w:rPr>
          <w:rFonts w:asciiTheme="minorHAnsi" w:hAnsiTheme="minorHAnsi"/>
          <w:noProof/>
        </w:rPr>
        <w:t xml:space="preserve"> </w:t>
      </w:r>
      <w:bookmarkStart w:id="34" w:name="_Toc34210379"/>
      <w:r w:rsidR="008931B7" w:rsidRPr="00C62639">
        <w:rPr>
          <w:rFonts w:asciiTheme="minorHAnsi" w:hAnsiTheme="minorHAnsi"/>
          <w:noProof/>
        </w:rPr>
        <w:t>Rozdělení Porovnání d</w:t>
      </w:r>
      <w:r w:rsidR="00962A95">
        <w:rPr>
          <w:rFonts w:asciiTheme="minorHAnsi" w:hAnsiTheme="minorHAnsi"/>
          <w:noProof/>
        </w:rPr>
        <w:t>o </w:t>
      </w:r>
      <w:r w:rsidR="008931B7" w:rsidRPr="00C62639">
        <w:rPr>
          <w:rFonts w:asciiTheme="minorHAnsi" w:hAnsiTheme="minorHAnsi"/>
          <w:noProof/>
        </w:rPr>
        <w:t>vlastnických a provozovatelských skupin</w:t>
      </w:r>
      <w:bookmarkEnd w:id="33"/>
      <w:bookmarkEnd w:id="34"/>
    </w:p>
    <w:p w14:paraId="7B95670E" w14:textId="69C01362" w:rsidR="007124D0" w:rsidRDefault="008931B7" w:rsidP="008931B7">
      <w:pPr>
        <w:pStyle w:val="NORMLN0"/>
      </w:pPr>
      <w:r w:rsidRPr="00F6250E">
        <w:t>Rozdělení analyzovaných Porovnání d</w:t>
      </w:r>
      <w:r w:rsidR="00F60E69">
        <w:t xml:space="preserve">o </w:t>
      </w:r>
      <w:r w:rsidRPr="00F6250E">
        <w:t>skupin byl</w:t>
      </w:r>
      <w:r w:rsidR="00F60E69">
        <w:t xml:space="preserve">o </w:t>
      </w:r>
      <w:r w:rsidRPr="00F6250E">
        <w:t>realizován</w:t>
      </w:r>
      <w:r w:rsidR="00F60E69">
        <w:t xml:space="preserve">o </w:t>
      </w:r>
      <w:r w:rsidR="00962A95">
        <w:t>v </w:t>
      </w:r>
      <w:r w:rsidRPr="00F6250E">
        <w:t>souladu se</w:t>
      </w:r>
      <w:r w:rsidR="00962A95">
        <w:t> </w:t>
      </w:r>
      <w:r w:rsidRPr="00F6250E">
        <w:t xml:space="preserve">stanoveným postupem </w:t>
      </w:r>
      <w:r w:rsidR="00962A95">
        <w:t>v </w:t>
      </w:r>
      <w:r w:rsidRPr="00F6250E">
        <w:t xml:space="preserve">metodice </w:t>
      </w:r>
      <w:r w:rsidRPr="00934258">
        <w:rPr>
          <w:noProof/>
        </w:rPr>
        <w:t>benchmarking</w:t>
      </w:r>
      <w:r w:rsidRPr="00F6250E">
        <w:t xml:space="preserve">u. Počty Porovnání </w:t>
      </w:r>
      <w:r w:rsidR="00962A95">
        <w:t>v </w:t>
      </w:r>
      <w:r w:rsidRPr="00F6250E">
        <w:t>jednotlivých skupinách vlastnickéh</w:t>
      </w:r>
      <w:r w:rsidR="00962A95">
        <w:t>o </w:t>
      </w:r>
      <w:r w:rsidRPr="00F6250E">
        <w:t>a provozovatelskéh</w:t>
      </w:r>
      <w:r w:rsidR="00962A95">
        <w:t>o </w:t>
      </w:r>
      <w:r w:rsidRPr="00F6250E">
        <w:t xml:space="preserve">benchmarkingu jsou uvedeny </w:t>
      </w:r>
      <w:r w:rsidR="00962A95">
        <w:t>v </w:t>
      </w:r>
      <w:r w:rsidRPr="00F6250E">
        <w:t xml:space="preserve">následujících tabulkách. </w:t>
      </w:r>
    </w:p>
    <w:p w14:paraId="08B490BD" w14:textId="77777777" w:rsidR="007124D0" w:rsidRDefault="007124D0">
      <w:pPr>
        <w:spacing w:before="0" w:after="160" w:line="259" w:lineRule="auto"/>
        <w:contextualSpacing w:val="0"/>
        <w:jc w:val="left"/>
        <w:rPr>
          <w:szCs w:val="20"/>
        </w:rPr>
      </w:pPr>
      <w:r>
        <w:br w:type="page"/>
      </w:r>
    </w:p>
    <w:p w14:paraId="58054645" w14:textId="2E5E19A0" w:rsidR="008931B7" w:rsidRPr="00C62639" w:rsidRDefault="008931B7" w:rsidP="008931B7">
      <w:pPr>
        <w:pStyle w:val="Nadpis3"/>
        <w:rPr>
          <w:rFonts w:asciiTheme="minorHAnsi" w:eastAsia="Calibri" w:hAnsiTheme="minorHAnsi"/>
          <w:noProof/>
        </w:rPr>
      </w:pPr>
      <w:bookmarkStart w:id="35" w:name="_Toc963476"/>
      <w:bookmarkStart w:id="36" w:name="_Toc34210380"/>
      <w:r w:rsidRPr="00C62639">
        <w:rPr>
          <w:rFonts w:asciiTheme="minorHAnsi" w:eastAsia="Calibri" w:hAnsiTheme="minorHAnsi"/>
          <w:noProof/>
        </w:rPr>
        <w:lastRenderedPageBreak/>
        <w:t>Skupiny vlastnickéh</w:t>
      </w:r>
      <w:r w:rsidR="00962A95">
        <w:rPr>
          <w:rFonts w:asciiTheme="minorHAnsi" w:eastAsia="Calibri" w:hAnsiTheme="minorHAnsi"/>
          <w:noProof/>
        </w:rPr>
        <w:t>o </w:t>
      </w:r>
      <w:r w:rsidRPr="00C62639">
        <w:rPr>
          <w:rFonts w:asciiTheme="minorHAnsi" w:eastAsia="Calibri" w:hAnsiTheme="minorHAnsi"/>
          <w:noProof/>
        </w:rPr>
        <w:t>benchmarkingu</w:t>
      </w:r>
      <w:bookmarkEnd w:id="35"/>
      <w:bookmarkEnd w:id="36"/>
    </w:p>
    <w:p w14:paraId="5D65BC0D" w14:textId="5DE8DBF7" w:rsidR="008931B7" w:rsidRDefault="008931B7" w:rsidP="008931B7">
      <w:pPr>
        <w:pStyle w:val="NORMLN0"/>
        <w:rPr>
          <w:noProof/>
        </w:rPr>
      </w:pPr>
      <w:r w:rsidRPr="00934258">
        <w:rPr>
          <w:noProof/>
        </w:rPr>
        <w:t>Vlastnický benchmarking dělí Porovnání d</w:t>
      </w:r>
      <w:r w:rsidR="00962A95">
        <w:rPr>
          <w:noProof/>
        </w:rPr>
        <w:t>o </w:t>
      </w:r>
      <w:r w:rsidRPr="00934258">
        <w:rPr>
          <w:noProof/>
        </w:rPr>
        <w:t xml:space="preserve">skupin podle hodnoty </w:t>
      </w:r>
      <w:r>
        <w:rPr>
          <w:noProof/>
        </w:rPr>
        <w:t>VIM</w:t>
      </w:r>
      <w:r w:rsidRPr="00934258">
        <w:rPr>
          <w:noProof/>
        </w:rPr>
        <w:t xml:space="preserve"> vypočtené</w:t>
      </w:r>
      <w:r>
        <w:rPr>
          <w:noProof/>
        </w:rPr>
        <w:t xml:space="preserve"> podle</w:t>
      </w:r>
      <w:r w:rsidR="00F60E69">
        <w:rPr>
          <w:noProof/>
        </w:rPr>
        <w:t> </w:t>
      </w:r>
      <w:r w:rsidRPr="00934258">
        <w:rPr>
          <w:noProof/>
        </w:rPr>
        <w:t>metodickéh</w:t>
      </w:r>
      <w:r w:rsidR="00962A95">
        <w:rPr>
          <w:noProof/>
        </w:rPr>
        <w:t>o </w:t>
      </w:r>
      <w:r w:rsidRPr="00934258">
        <w:rPr>
          <w:noProof/>
        </w:rPr>
        <w:t>pokynu M</w:t>
      </w:r>
      <w:r w:rsidR="00962A95">
        <w:rPr>
          <w:noProof/>
        </w:rPr>
        <w:t>Ze </w:t>
      </w:r>
      <w:r>
        <w:rPr>
          <w:noProof/>
        </w:rPr>
        <w:t>č.j.: 401/2010-15000. Vlastníci, jejichž majete</w:t>
      </w:r>
      <w:r w:rsidR="00962A95">
        <w:rPr>
          <w:noProof/>
        </w:rPr>
        <w:t>k </w:t>
      </w:r>
      <w:r>
        <w:rPr>
          <w:noProof/>
        </w:rPr>
        <w:t xml:space="preserve">je uveden </w:t>
      </w:r>
      <w:r w:rsidR="00962A95">
        <w:rPr>
          <w:noProof/>
        </w:rPr>
        <w:t>na </w:t>
      </w:r>
      <w:r>
        <w:rPr>
          <w:noProof/>
        </w:rPr>
        <w:t xml:space="preserve">více Porovnáních, se mohou vyskytnout </w:t>
      </w:r>
      <w:r w:rsidR="00962A95">
        <w:rPr>
          <w:noProof/>
        </w:rPr>
        <w:t>ve </w:t>
      </w:r>
      <w:r>
        <w:rPr>
          <w:noProof/>
        </w:rPr>
        <w:t>více skupinách, a t</w:t>
      </w:r>
      <w:r w:rsidR="00962A95">
        <w:rPr>
          <w:noProof/>
        </w:rPr>
        <w:t>o </w:t>
      </w:r>
      <w:r>
        <w:rPr>
          <w:noProof/>
        </w:rPr>
        <w:t>i několikrát.</w:t>
      </w:r>
    </w:p>
    <w:p w14:paraId="22EC29A6" w14:textId="77777777" w:rsidR="008931B7" w:rsidRPr="00C62639" w:rsidRDefault="008931B7" w:rsidP="008931B7">
      <w:pPr>
        <w:pStyle w:val="Normlnzprva"/>
        <w:rPr>
          <w:rFonts w:asciiTheme="minorHAnsi" w:hAnsiTheme="minorHAnsi"/>
          <w:noProof/>
        </w:rPr>
      </w:pPr>
    </w:p>
    <w:tbl>
      <w:tblPr>
        <w:tblW w:w="5000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1672"/>
        <w:gridCol w:w="918"/>
        <w:gridCol w:w="680"/>
        <w:gridCol w:w="973"/>
        <w:gridCol w:w="1002"/>
        <w:gridCol w:w="964"/>
      </w:tblGrid>
      <w:tr w:rsidR="008931B7" w:rsidRPr="009722AF" w14:paraId="50EC08FC" w14:textId="77777777" w:rsidTr="00007A20">
        <w:trPr>
          <w:trHeight w:val="613"/>
          <w:jc w:val="center"/>
        </w:trPr>
        <w:tc>
          <w:tcPr>
            <w:tcW w:w="1566" w:type="pct"/>
            <w:tcBorders>
              <w:top w:val="single" w:sz="12" w:space="0" w:color="548DD4"/>
              <w:bottom w:val="nil"/>
              <w:right w:val="single" w:sz="12" w:space="0" w:color="548DD4"/>
            </w:tcBorders>
            <w:shd w:val="clear" w:color="auto" w:fill="auto"/>
            <w:vAlign w:val="bottom"/>
            <w:hideMark/>
          </w:tcPr>
          <w:p w14:paraId="5906807F" w14:textId="1E35B4CF" w:rsidR="008931B7" w:rsidRPr="00511D86" w:rsidRDefault="00511D86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smallCaps/>
                <w:noProof/>
                <w:color w:val="000000"/>
                <w:lang w:eastAsia="cs-CZ"/>
              </w:rPr>
            </w:pPr>
            <w:r w:rsidRPr="00511D86">
              <w:rPr>
                <w:rFonts w:asciiTheme="majorHAnsi" w:eastAsia="Times New Roman" w:hAnsiTheme="majorHAnsi"/>
                <w:b/>
                <w:smallCaps/>
                <w:noProof/>
                <w:color w:val="000000"/>
                <w:sz w:val="22"/>
                <w:lang w:eastAsia="cs-CZ"/>
              </w:rPr>
              <w:t>pitná voda</w:t>
            </w:r>
            <w:r w:rsidRPr="00511D86">
              <w:rPr>
                <w:rFonts w:asciiTheme="majorHAnsi" w:eastAsia="Times New Roman" w:hAnsiTheme="majorHAnsi"/>
                <w:smallCaps/>
                <w:noProof/>
                <w:color w:val="000000"/>
                <w:sz w:val="22"/>
                <w:lang w:eastAsia="cs-CZ"/>
              </w:rPr>
              <w:t xml:space="preserve"> </w:t>
            </w:r>
            <w:r w:rsidRPr="00511D86">
              <w:rPr>
                <w:rFonts w:asciiTheme="majorHAnsi" w:eastAsia="Times New Roman" w:hAnsiTheme="majorHAnsi"/>
                <w:smallCaps/>
                <w:noProof/>
                <w:color w:val="000000"/>
                <w:sz w:val="22"/>
                <w:lang w:eastAsia="cs-CZ"/>
              </w:rPr>
              <w:br/>
              <w:t>rozdělení porovnání d</w:t>
            </w:r>
            <w:r w:rsidR="00962A95">
              <w:rPr>
                <w:rFonts w:asciiTheme="majorHAnsi" w:eastAsia="Times New Roman" w:hAnsiTheme="majorHAnsi"/>
                <w:smallCaps/>
                <w:noProof/>
                <w:color w:val="000000"/>
                <w:sz w:val="22"/>
                <w:lang w:eastAsia="cs-CZ"/>
              </w:rPr>
              <w:t>o </w:t>
            </w:r>
            <w:r w:rsidRPr="00511D86">
              <w:rPr>
                <w:rFonts w:asciiTheme="majorHAnsi" w:eastAsia="Times New Roman" w:hAnsiTheme="majorHAnsi"/>
                <w:smallCaps/>
                <w:noProof/>
                <w:color w:val="000000"/>
                <w:sz w:val="22"/>
                <w:lang w:eastAsia="cs-CZ"/>
              </w:rPr>
              <w:t>skupin</w:t>
            </w:r>
          </w:p>
        </w:tc>
        <w:tc>
          <w:tcPr>
            <w:tcW w:w="925" w:type="pct"/>
            <w:tcBorders>
              <w:left w:val="single" w:sz="12" w:space="0" w:color="548DD4"/>
            </w:tcBorders>
            <w:shd w:val="clear" w:color="auto" w:fill="auto"/>
            <w:noWrap/>
            <w:vAlign w:val="bottom"/>
            <w:hideMark/>
          </w:tcPr>
          <w:p w14:paraId="697C7501" w14:textId="77777777" w:rsidR="008931B7" w:rsidRPr="00511D86" w:rsidRDefault="008931B7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smallCaps/>
                <w:noProof/>
                <w:color w:val="000000"/>
                <w:lang w:eastAsia="cs-CZ"/>
              </w:rPr>
            </w:pPr>
          </w:p>
        </w:tc>
        <w:tc>
          <w:tcPr>
            <w:tcW w:w="508" w:type="pct"/>
            <w:tcBorders>
              <w:bottom w:val="nil"/>
            </w:tcBorders>
          </w:tcPr>
          <w:p w14:paraId="66A1A4A4" w14:textId="77777777" w:rsidR="008931B7" w:rsidRPr="00511D86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smallCaps/>
                <w:noProof/>
                <w:color w:val="000000"/>
                <w:sz w:val="22"/>
                <w:lang w:eastAsia="cs-CZ"/>
              </w:rPr>
            </w:pPr>
          </w:p>
        </w:tc>
        <w:tc>
          <w:tcPr>
            <w:tcW w:w="2002" w:type="pct"/>
            <w:gridSpan w:val="4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2361C64" w14:textId="77777777" w:rsidR="008931B7" w:rsidRPr="00511D86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smallCaps/>
                <w:noProof/>
                <w:color w:val="000000"/>
                <w:lang w:eastAsia="cs-CZ"/>
              </w:rPr>
            </w:pPr>
            <w:r w:rsidRPr="00511D86">
              <w:rPr>
                <w:rFonts w:asciiTheme="majorHAnsi" w:eastAsia="Times New Roman" w:hAnsiTheme="majorHAnsi"/>
                <w:smallCaps/>
                <w:noProof/>
                <w:color w:val="000000"/>
                <w:sz w:val="22"/>
                <w:lang w:eastAsia="cs-CZ"/>
              </w:rPr>
              <w:t xml:space="preserve">Zastoupení podle modelu provozování </w:t>
            </w:r>
          </w:p>
        </w:tc>
      </w:tr>
      <w:tr w:rsidR="008931B7" w:rsidRPr="009722AF" w14:paraId="13451926" w14:textId="77777777" w:rsidTr="00007A20">
        <w:trPr>
          <w:trHeight w:val="306"/>
          <w:jc w:val="center"/>
        </w:trPr>
        <w:tc>
          <w:tcPr>
            <w:tcW w:w="1566" w:type="pct"/>
            <w:tcBorders>
              <w:top w:val="nil"/>
              <w:bottom w:val="nil"/>
              <w:right w:val="single" w:sz="12" w:space="0" w:color="548DD4"/>
            </w:tcBorders>
            <w:shd w:val="clear" w:color="5B9BD5" w:fill="5B9BD5"/>
            <w:noWrap/>
            <w:vAlign w:val="center"/>
            <w:hideMark/>
          </w:tcPr>
          <w:p w14:paraId="0A219187" w14:textId="76C91293" w:rsidR="008931B7" w:rsidRPr="00511D86" w:rsidRDefault="00511D86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lang w:eastAsia="cs-CZ"/>
              </w:rPr>
            </w:pPr>
            <w:r w:rsidRPr="00511D86"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sz w:val="22"/>
                <w:lang w:eastAsia="cs-CZ"/>
              </w:rPr>
              <w:t>skupi</w:t>
            </w:r>
            <w:r w:rsidR="00962A95"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sz w:val="22"/>
                <w:lang w:eastAsia="cs-CZ"/>
              </w:rPr>
              <w:t>na </w:t>
            </w:r>
            <w:r w:rsidRPr="00511D86"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sz w:val="22"/>
                <w:lang w:eastAsia="cs-CZ"/>
              </w:rPr>
              <w:t xml:space="preserve">/ model provozování </w:t>
            </w:r>
          </w:p>
        </w:tc>
        <w:tc>
          <w:tcPr>
            <w:tcW w:w="925" w:type="pct"/>
            <w:tcBorders>
              <w:left w:val="single" w:sz="12" w:space="0" w:color="548DD4"/>
              <w:right w:val="single" w:sz="12" w:space="0" w:color="548DD4"/>
            </w:tcBorders>
            <w:shd w:val="clear" w:color="5B9BD5" w:fill="5B9BD5"/>
            <w:noWrap/>
            <w:vAlign w:val="center"/>
            <w:hideMark/>
          </w:tcPr>
          <w:p w14:paraId="44D8A3B0" w14:textId="77777777" w:rsidR="008931B7" w:rsidRPr="00511D86" w:rsidRDefault="00511D86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lang w:eastAsia="cs-CZ"/>
              </w:rPr>
            </w:pPr>
            <w:r w:rsidRPr="00511D86"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sz w:val="22"/>
                <w:lang w:eastAsia="cs-CZ"/>
              </w:rPr>
              <w:t xml:space="preserve">počet porovnání </w:t>
            </w:r>
          </w:p>
          <w:p w14:paraId="460C60E4" w14:textId="28FF70D8" w:rsidR="008931B7" w:rsidRPr="00511D86" w:rsidRDefault="00962A95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lang w:eastAsia="cs-CZ"/>
              </w:rPr>
            </w:pPr>
            <w:r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sz w:val="22"/>
                <w:lang w:eastAsia="cs-CZ"/>
              </w:rPr>
              <w:t>ve </w:t>
            </w:r>
            <w:r w:rsidR="00511D86" w:rsidRPr="00511D86">
              <w:rPr>
                <w:rFonts w:asciiTheme="majorHAnsi" w:eastAsia="Times New Roman" w:hAnsiTheme="majorHAnsi"/>
                <w:b/>
                <w:bCs/>
                <w:smallCaps/>
                <w:noProof/>
                <w:color w:val="FFFFFF"/>
                <w:sz w:val="22"/>
                <w:lang w:eastAsia="cs-CZ"/>
              </w:rPr>
              <w:t>skupině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nil"/>
              <w:right w:val="single" w:sz="6" w:space="0" w:color="FFFFFF" w:themeColor="background1"/>
            </w:tcBorders>
            <w:shd w:val="clear" w:color="5B9BD5" w:fill="5B9BD5"/>
            <w:noWrap/>
            <w:vAlign w:val="center"/>
            <w:hideMark/>
          </w:tcPr>
          <w:p w14:paraId="63EDEF61" w14:textId="77777777" w:rsidR="008931B7" w:rsidRPr="009722AF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noProof/>
                <w:color w:val="FFFFFF"/>
                <w:sz w:val="2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b/>
                <w:bCs/>
                <w:noProof/>
                <w:color w:val="FFFFFF"/>
                <w:sz w:val="20"/>
                <w:lang w:eastAsia="cs-CZ"/>
              </w:rPr>
              <w:t>KOMBINOVANÝ</w:t>
            </w: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5B9BD5" w:fill="5B9BD5"/>
            <w:noWrap/>
            <w:vAlign w:val="center"/>
            <w:hideMark/>
          </w:tcPr>
          <w:p w14:paraId="3A05534D" w14:textId="77777777" w:rsidR="008931B7" w:rsidRPr="009722AF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noProof/>
                <w:color w:val="FFFFFF"/>
                <w:sz w:val="2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b/>
                <w:bCs/>
                <w:noProof/>
                <w:color w:val="FFFFFF"/>
                <w:sz w:val="20"/>
                <w:lang w:eastAsia="cs-CZ"/>
              </w:rPr>
              <w:t>ODDÍLNÝ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5B9BD5" w:fill="5B9BD5"/>
            <w:vAlign w:val="center"/>
          </w:tcPr>
          <w:p w14:paraId="79597C7F" w14:textId="77777777" w:rsidR="008931B7" w:rsidRPr="009722AF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lang w:eastAsia="cs-CZ"/>
              </w:rPr>
            </w:pPr>
            <w:r w:rsidRPr="009722AF">
              <w:rPr>
                <w:rFonts w:asciiTheme="majorHAnsi" w:hAnsiTheme="majorHAnsi"/>
                <w:b/>
                <w:bCs/>
                <w:color w:val="FFFFFF"/>
                <w:sz w:val="20"/>
              </w:rPr>
              <w:t>ODDÍLNÝ SERVISNÍ SMLOUVA</w:t>
            </w: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nil"/>
            </w:tcBorders>
            <w:shd w:val="clear" w:color="5B9BD5" w:fill="5B9BD5"/>
            <w:noWrap/>
            <w:vAlign w:val="center"/>
            <w:hideMark/>
          </w:tcPr>
          <w:p w14:paraId="790A17EF" w14:textId="77777777" w:rsidR="008931B7" w:rsidRPr="009722AF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noProof/>
                <w:color w:val="FFFFFF"/>
                <w:sz w:val="2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b/>
                <w:bCs/>
                <w:noProof/>
                <w:color w:val="FFFFFF"/>
                <w:sz w:val="20"/>
                <w:lang w:eastAsia="cs-CZ"/>
              </w:rPr>
              <w:t>SMÍŠENÝ</w:t>
            </w:r>
          </w:p>
        </w:tc>
      </w:tr>
      <w:tr w:rsidR="00511D86" w:rsidRPr="009722AF" w14:paraId="04A5CACB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nil"/>
              <w:bottom w:val="nil"/>
              <w:right w:val="single" w:sz="12" w:space="0" w:color="548DD4"/>
            </w:tcBorders>
            <w:shd w:val="clear" w:color="BDD7EE" w:fill="BDD7EE"/>
            <w:noWrap/>
            <w:vAlign w:val="bottom"/>
            <w:hideMark/>
          </w:tcPr>
          <w:p w14:paraId="5CE27AE1" w14:textId="77777777" w:rsidR="00511D86" w:rsidRPr="009722AF" w:rsidRDefault="00511D86" w:rsidP="00511D8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noProof/>
                <w:color w:val="00000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noProof/>
                <w:color w:val="000000"/>
                <w:sz w:val="22"/>
                <w:lang w:eastAsia="cs-CZ"/>
              </w:rPr>
              <w:t>I.skupina(&gt;10 000mil.Kč)</w:t>
            </w:r>
          </w:p>
        </w:tc>
        <w:tc>
          <w:tcPr>
            <w:tcW w:w="925" w:type="pct"/>
            <w:tcBorders>
              <w:left w:val="single" w:sz="12" w:space="0" w:color="548DD4"/>
              <w:right w:val="single" w:sz="12" w:space="0" w:color="548DD4"/>
            </w:tcBorders>
            <w:shd w:val="clear" w:color="BDD7EE" w:fill="BDD7EE"/>
            <w:noWrap/>
            <w:hideMark/>
          </w:tcPr>
          <w:p w14:paraId="7790ECCA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3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nil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0DD90689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59DC60B4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2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BDD7EE" w:fill="BDD7EE"/>
          </w:tcPr>
          <w:p w14:paraId="7676B64C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nil"/>
            </w:tcBorders>
            <w:shd w:val="clear" w:color="BDD7EE" w:fill="BDD7EE"/>
            <w:noWrap/>
            <w:hideMark/>
          </w:tcPr>
          <w:p w14:paraId="433C8ACE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</w:p>
        </w:tc>
      </w:tr>
      <w:tr w:rsidR="00511D86" w:rsidRPr="009722AF" w14:paraId="4C8B4CE6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nil"/>
              <w:bottom w:val="nil"/>
              <w:right w:val="single" w:sz="12" w:space="0" w:color="548DD4"/>
            </w:tcBorders>
            <w:shd w:val="clear" w:color="DDEBF7" w:fill="DDEBF7"/>
            <w:noWrap/>
            <w:vAlign w:val="bottom"/>
            <w:hideMark/>
          </w:tcPr>
          <w:p w14:paraId="67618BEF" w14:textId="77777777" w:rsidR="00511D86" w:rsidRPr="009722AF" w:rsidRDefault="00511D86" w:rsidP="00511D8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noProof/>
                <w:color w:val="00000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noProof/>
                <w:color w:val="000000"/>
                <w:sz w:val="22"/>
                <w:lang w:eastAsia="cs-CZ"/>
              </w:rPr>
              <w:t>II.skupina(&gt;1 000mil.Kč)</w:t>
            </w:r>
          </w:p>
        </w:tc>
        <w:tc>
          <w:tcPr>
            <w:tcW w:w="925" w:type="pct"/>
            <w:tcBorders>
              <w:left w:val="single" w:sz="12" w:space="0" w:color="548DD4"/>
              <w:right w:val="single" w:sz="12" w:space="0" w:color="548DD4"/>
            </w:tcBorders>
            <w:shd w:val="clear" w:color="DDEBF7" w:fill="DDEBF7"/>
            <w:noWrap/>
            <w:hideMark/>
          </w:tcPr>
          <w:p w14:paraId="244246E3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43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nil"/>
              <w:right w:val="single" w:sz="6" w:space="0" w:color="FFFFFF" w:themeColor="background1"/>
            </w:tcBorders>
            <w:shd w:val="clear" w:color="DDEBF7" w:fill="DDEBF7"/>
            <w:noWrap/>
            <w:hideMark/>
          </w:tcPr>
          <w:p w14:paraId="1DA63DFF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21</w:t>
            </w: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DDEBF7" w:fill="DDEBF7"/>
            <w:noWrap/>
            <w:hideMark/>
          </w:tcPr>
          <w:p w14:paraId="0DA516B6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22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DDEBF7" w:fill="DDEBF7"/>
          </w:tcPr>
          <w:p w14:paraId="11650B01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nil"/>
            </w:tcBorders>
            <w:shd w:val="clear" w:color="DDEBF7" w:fill="DDEBF7"/>
            <w:noWrap/>
            <w:hideMark/>
          </w:tcPr>
          <w:p w14:paraId="6C63D265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</w:p>
        </w:tc>
      </w:tr>
      <w:tr w:rsidR="00511D86" w:rsidRPr="009722AF" w14:paraId="14555907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nil"/>
              <w:bottom w:val="nil"/>
              <w:right w:val="single" w:sz="12" w:space="0" w:color="548DD4"/>
            </w:tcBorders>
            <w:shd w:val="clear" w:color="BDD7EE" w:fill="BDD7EE"/>
            <w:noWrap/>
            <w:vAlign w:val="bottom"/>
            <w:hideMark/>
          </w:tcPr>
          <w:p w14:paraId="1711F617" w14:textId="77777777" w:rsidR="00511D86" w:rsidRPr="009722AF" w:rsidRDefault="00511D86" w:rsidP="00511D8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noProof/>
                <w:color w:val="00000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noProof/>
                <w:color w:val="000000"/>
                <w:sz w:val="22"/>
                <w:lang w:eastAsia="cs-CZ"/>
              </w:rPr>
              <w:t>III.skupina(&gt;100mil.Kč)</w:t>
            </w:r>
          </w:p>
        </w:tc>
        <w:tc>
          <w:tcPr>
            <w:tcW w:w="925" w:type="pct"/>
            <w:tcBorders>
              <w:left w:val="single" w:sz="12" w:space="0" w:color="548DD4"/>
              <w:right w:val="single" w:sz="12" w:space="0" w:color="548DD4"/>
            </w:tcBorders>
            <w:shd w:val="clear" w:color="BDD7EE" w:fill="BDD7EE"/>
            <w:noWrap/>
            <w:hideMark/>
          </w:tcPr>
          <w:p w14:paraId="271A7E5D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138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nil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3E6E7D7E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12</w:t>
            </w: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2FD11E18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101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BDD7EE" w:fill="BDD7EE"/>
          </w:tcPr>
          <w:p w14:paraId="047C57F6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nil"/>
            </w:tcBorders>
            <w:shd w:val="clear" w:color="BDD7EE" w:fill="BDD7EE"/>
            <w:noWrap/>
            <w:hideMark/>
          </w:tcPr>
          <w:p w14:paraId="314738A8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15</w:t>
            </w:r>
          </w:p>
        </w:tc>
      </w:tr>
      <w:tr w:rsidR="00511D86" w:rsidRPr="009722AF" w14:paraId="24F116C6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nil"/>
              <w:bottom w:val="nil"/>
              <w:right w:val="single" w:sz="12" w:space="0" w:color="548DD4"/>
            </w:tcBorders>
            <w:shd w:val="clear" w:color="DDEBF7" w:fill="DDEBF7"/>
            <w:noWrap/>
            <w:vAlign w:val="bottom"/>
            <w:hideMark/>
          </w:tcPr>
          <w:p w14:paraId="29452CC6" w14:textId="77777777" w:rsidR="00511D86" w:rsidRPr="009722AF" w:rsidRDefault="00511D86" w:rsidP="00511D8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noProof/>
                <w:color w:val="00000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noProof/>
                <w:color w:val="000000"/>
                <w:sz w:val="22"/>
                <w:lang w:eastAsia="cs-CZ"/>
              </w:rPr>
              <w:t>IV.skupina(&gt;10mil.Kč)</w:t>
            </w:r>
          </w:p>
        </w:tc>
        <w:tc>
          <w:tcPr>
            <w:tcW w:w="925" w:type="pct"/>
            <w:tcBorders>
              <w:left w:val="single" w:sz="12" w:space="0" w:color="548DD4"/>
              <w:right w:val="single" w:sz="12" w:space="0" w:color="548DD4"/>
            </w:tcBorders>
            <w:shd w:val="clear" w:color="DDEBF7" w:fill="DDEBF7"/>
            <w:noWrap/>
            <w:hideMark/>
          </w:tcPr>
          <w:p w14:paraId="5DD3697E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1106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nil"/>
              <w:right w:val="single" w:sz="6" w:space="0" w:color="FFFFFF" w:themeColor="background1"/>
            </w:tcBorders>
            <w:shd w:val="clear" w:color="DDEBF7" w:fill="DDEBF7"/>
            <w:noWrap/>
            <w:hideMark/>
          </w:tcPr>
          <w:p w14:paraId="1282DE25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18</w:t>
            </w: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DDEBF7" w:fill="DDEBF7"/>
            <w:noWrap/>
            <w:hideMark/>
          </w:tcPr>
          <w:p w14:paraId="4190DCFA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505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DDEBF7" w:fill="DDEBF7"/>
          </w:tcPr>
          <w:p w14:paraId="6D7A2AC0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116</w:t>
            </w: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nil"/>
            </w:tcBorders>
            <w:shd w:val="clear" w:color="DDEBF7" w:fill="DDEBF7"/>
            <w:noWrap/>
            <w:hideMark/>
          </w:tcPr>
          <w:p w14:paraId="02C6EFFB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467</w:t>
            </w:r>
          </w:p>
        </w:tc>
      </w:tr>
      <w:tr w:rsidR="00511D86" w:rsidRPr="009722AF" w14:paraId="15534EC7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nil"/>
              <w:bottom w:val="nil"/>
              <w:right w:val="single" w:sz="12" w:space="0" w:color="548DD4"/>
            </w:tcBorders>
            <w:shd w:val="clear" w:color="BDD7EE" w:fill="BDD7EE"/>
            <w:noWrap/>
            <w:vAlign w:val="bottom"/>
            <w:hideMark/>
          </w:tcPr>
          <w:p w14:paraId="50037250" w14:textId="77777777" w:rsidR="00511D86" w:rsidRPr="009722AF" w:rsidRDefault="00511D86" w:rsidP="00511D8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noProof/>
                <w:color w:val="00000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noProof/>
                <w:color w:val="000000"/>
                <w:sz w:val="22"/>
                <w:lang w:eastAsia="cs-CZ"/>
              </w:rPr>
              <w:t>V.skupina(&gt;1mil.Kč)</w:t>
            </w:r>
          </w:p>
        </w:tc>
        <w:tc>
          <w:tcPr>
            <w:tcW w:w="925" w:type="pct"/>
            <w:tcBorders>
              <w:left w:val="single" w:sz="12" w:space="0" w:color="548DD4"/>
              <w:bottom w:val="nil"/>
              <w:right w:val="single" w:sz="12" w:space="0" w:color="548DD4"/>
            </w:tcBorders>
            <w:shd w:val="clear" w:color="BDD7EE" w:fill="BDD7EE"/>
            <w:noWrap/>
            <w:hideMark/>
          </w:tcPr>
          <w:p w14:paraId="2F454360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711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nil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0F368B53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3A8BB3A3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178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BDD7EE" w:fill="BDD7EE"/>
          </w:tcPr>
          <w:p w14:paraId="1C774ECE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93</w:t>
            </w: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nil"/>
            </w:tcBorders>
            <w:shd w:val="clear" w:color="BDD7EE" w:fill="BDD7EE"/>
            <w:noWrap/>
            <w:hideMark/>
          </w:tcPr>
          <w:p w14:paraId="2816FF77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437</w:t>
            </w:r>
          </w:p>
        </w:tc>
      </w:tr>
      <w:tr w:rsidR="00511D86" w:rsidRPr="009722AF" w14:paraId="5467BE44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nil"/>
              <w:bottom w:val="single" w:sz="8" w:space="0" w:color="548DD4"/>
              <w:right w:val="single" w:sz="12" w:space="0" w:color="548DD4"/>
            </w:tcBorders>
            <w:shd w:val="clear" w:color="DDEBF7" w:fill="DDEBF7"/>
            <w:noWrap/>
            <w:vAlign w:val="bottom"/>
            <w:hideMark/>
          </w:tcPr>
          <w:p w14:paraId="3801D3E7" w14:textId="77777777" w:rsidR="00511D86" w:rsidRPr="009722AF" w:rsidRDefault="00511D86" w:rsidP="00511D8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noProof/>
                <w:color w:val="000000"/>
                <w:lang w:eastAsia="cs-CZ"/>
              </w:rPr>
            </w:pPr>
            <w:r w:rsidRPr="009722AF">
              <w:rPr>
                <w:rFonts w:asciiTheme="majorHAnsi" w:eastAsia="Times New Roman" w:hAnsiTheme="majorHAnsi"/>
                <w:noProof/>
                <w:color w:val="000000"/>
                <w:sz w:val="22"/>
                <w:lang w:eastAsia="cs-CZ"/>
              </w:rPr>
              <w:t>VI.skupina(&lt;1mil.Kč)</w:t>
            </w:r>
          </w:p>
        </w:tc>
        <w:tc>
          <w:tcPr>
            <w:tcW w:w="925" w:type="pct"/>
            <w:tcBorders>
              <w:top w:val="nil"/>
              <w:left w:val="single" w:sz="12" w:space="0" w:color="548DD4"/>
              <w:bottom w:val="single" w:sz="8" w:space="0" w:color="548DD4"/>
              <w:right w:val="single" w:sz="12" w:space="0" w:color="548DD4"/>
            </w:tcBorders>
            <w:shd w:val="clear" w:color="DDEBF7" w:fill="DDEBF7"/>
            <w:noWrap/>
            <w:hideMark/>
          </w:tcPr>
          <w:p w14:paraId="392B13D1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30</w:t>
            </w:r>
          </w:p>
        </w:tc>
        <w:tc>
          <w:tcPr>
            <w:tcW w:w="884" w:type="pct"/>
            <w:gridSpan w:val="2"/>
            <w:tcBorders>
              <w:top w:val="nil"/>
              <w:left w:val="single" w:sz="12" w:space="0" w:color="548DD4"/>
              <w:bottom w:val="single" w:sz="8" w:space="0" w:color="548DD4"/>
              <w:right w:val="single" w:sz="6" w:space="0" w:color="FFFFFF" w:themeColor="background1"/>
            </w:tcBorders>
            <w:shd w:val="clear" w:color="DDEBF7" w:fill="DDEBF7"/>
            <w:noWrap/>
            <w:hideMark/>
          </w:tcPr>
          <w:p w14:paraId="44A41D08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38" w:type="pct"/>
            <w:tcBorders>
              <w:top w:val="nil"/>
              <w:left w:val="single" w:sz="6" w:space="0" w:color="FFFFFF" w:themeColor="background1"/>
              <w:bottom w:val="single" w:sz="8" w:space="0" w:color="548DD4"/>
              <w:right w:val="single" w:sz="6" w:space="0" w:color="FFFFFF" w:themeColor="background1"/>
            </w:tcBorders>
            <w:shd w:val="clear" w:color="DDEBF7" w:fill="DDEBF7"/>
            <w:noWrap/>
            <w:hideMark/>
          </w:tcPr>
          <w:p w14:paraId="66FA8928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2</w:t>
            </w:r>
          </w:p>
        </w:tc>
        <w:tc>
          <w:tcPr>
            <w:tcW w:w="554" w:type="pct"/>
            <w:tcBorders>
              <w:top w:val="nil"/>
              <w:left w:val="single" w:sz="6" w:space="0" w:color="FFFFFF" w:themeColor="background1"/>
              <w:bottom w:val="single" w:sz="8" w:space="0" w:color="548DD4"/>
              <w:right w:val="single" w:sz="6" w:space="0" w:color="FFFFFF" w:themeColor="background1"/>
            </w:tcBorders>
            <w:shd w:val="clear" w:color="DDEBF7" w:fill="DDEBF7"/>
          </w:tcPr>
          <w:p w14:paraId="346CA7C9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FFFFFF" w:themeColor="background1"/>
              <w:bottom w:val="single" w:sz="8" w:space="0" w:color="548DD4"/>
            </w:tcBorders>
            <w:shd w:val="clear" w:color="DDEBF7" w:fill="DDEBF7"/>
            <w:noWrap/>
            <w:hideMark/>
          </w:tcPr>
          <w:p w14:paraId="476DA535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color w:val="000000"/>
                <w:sz w:val="22"/>
              </w:rPr>
            </w:pPr>
            <w:r w:rsidRPr="00511D86">
              <w:rPr>
                <w:color w:val="000000"/>
                <w:sz w:val="22"/>
              </w:rPr>
              <w:t>26</w:t>
            </w:r>
          </w:p>
        </w:tc>
      </w:tr>
      <w:tr w:rsidR="00511D86" w:rsidRPr="009722AF" w14:paraId="3190EA59" w14:textId="77777777" w:rsidTr="00C24122">
        <w:trPr>
          <w:trHeight w:val="306"/>
          <w:jc w:val="center"/>
        </w:trPr>
        <w:tc>
          <w:tcPr>
            <w:tcW w:w="1566" w:type="pct"/>
            <w:tcBorders>
              <w:top w:val="single" w:sz="8" w:space="0" w:color="548DD4"/>
              <w:bottom w:val="single" w:sz="12" w:space="0" w:color="548DD4"/>
              <w:right w:val="single" w:sz="12" w:space="0" w:color="548DD4"/>
            </w:tcBorders>
            <w:shd w:val="clear" w:color="BDD7EE" w:fill="BDD7EE"/>
            <w:noWrap/>
            <w:vAlign w:val="bottom"/>
            <w:hideMark/>
          </w:tcPr>
          <w:p w14:paraId="2AFB12A4" w14:textId="77777777" w:rsidR="00511D86" w:rsidRPr="00511D86" w:rsidRDefault="00511D86" w:rsidP="00511D86">
            <w:pPr>
              <w:spacing w:before="0" w:after="0"/>
              <w:contextualSpacing w:val="0"/>
              <w:jc w:val="right"/>
              <w:rPr>
                <w:rFonts w:asciiTheme="majorHAnsi" w:eastAsia="Times New Roman" w:hAnsiTheme="majorHAnsi"/>
                <w:b/>
                <w:smallCaps/>
                <w:noProof/>
                <w:color w:val="000000"/>
                <w:lang w:eastAsia="cs-CZ"/>
              </w:rPr>
            </w:pPr>
            <w:r w:rsidRPr="00511D86">
              <w:rPr>
                <w:rFonts w:asciiTheme="majorHAnsi" w:eastAsia="Times New Roman" w:hAnsiTheme="majorHAnsi"/>
                <w:b/>
                <w:smallCaps/>
                <w:noProof/>
                <w:color w:val="000000"/>
                <w:sz w:val="22"/>
                <w:lang w:eastAsia="cs-CZ"/>
              </w:rPr>
              <w:t>Celkový součet</w:t>
            </w:r>
          </w:p>
        </w:tc>
        <w:tc>
          <w:tcPr>
            <w:tcW w:w="925" w:type="pct"/>
            <w:tcBorders>
              <w:top w:val="single" w:sz="8" w:space="0" w:color="548DD4"/>
              <w:left w:val="single" w:sz="12" w:space="0" w:color="548DD4"/>
              <w:right w:val="single" w:sz="12" w:space="0" w:color="548DD4"/>
            </w:tcBorders>
            <w:shd w:val="clear" w:color="BDD7EE" w:fill="BDD7EE"/>
            <w:noWrap/>
            <w:hideMark/>
          </w:tcPr>
          <w:p w14:paraId="7D06F28B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b/>
                <w:color w:val="000000"/>
                <w:sz w:val="22"/>
              </w:rPr>
            </w:pPr>
            <w:r w:rsidRPr="00511D86">
              <w:rPr>
                <w:b/>
                <w:color w:val="000000"/>
                <w:sz w:val="22"/>
              </w:rPr>
              <w:t>2031</w:t>
            </w:r>
          </w:p>
        </w:tc>
        <w:tc>
          <w:tcPr>
            <w:tcW w:w="884" w:type="pct"/>
            <w:gridSpan w:val="2"/>
            <w:tcBorders>
              <w:top w:val="single" w:sz="8" w:space="0" w:color="548DD4"/>
              <w:left w:val="single" w:sz="12" w:space="0" w:color="548DD4"/>
              <w:bottom w:val="single" w:sz="12" w:space="0" w:color="548DD4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0E93BDF4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b/>
                <w:color w:val="000000"/>
                <w:sz w:val="22"/>
              </w:rPr>
            </w:pPr>
            <w:r w:rsidRPr="00511D86">
              <w:rPr>
                <w:b/>
                <w:color w:val="000000"/>
                <w:sz w:val="22"/>
              </w:rPr>
              <w:t>55</w:t>
            </w:r>
          </w:p>
        </w:tc>
        <w:tc>
          <w:tcPr>
            <w:tcW w:w="538" w:type="pct"/>
            <w:tcBorders>
              <w:top w:val="single" w:sz="8" w:space="0" w:color="548DD4"/>
              <w:left w:val="single" w:sz="6" w:space="0" w:color="FFFFFF" w:themeColor="background1"/>
              <w:bottom w:val="single" w:sz="12" w:space="0" w:color="548DD4"/>
              <w:right w:val="single" w:sz="6" w:space="0" w:color="FFFFFF" w:themeColor="background1"/>
            </w:tcBorders>
            <w:shd w:val="clear" w:color="BDD7EE" w:fill="BDD7EE"/>
            <w:noWrap/>
            <w:hideMark/>
          </w:tcPr>
          <w:p w14:paraId="54EAEC11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b/>
                <w:color w:val="000000"/>
                <w:sz w:val="22"/>
              </w:rPr>
            </w:pPr>
            <w:r w:rsidRPr="00511D86">
              <w:rPr>
                <w:b/>
                <w:color w:val="000000"/>
                <w:sz w:val="22"/>
              </w:rPr>
              <w:t>810</w:t>
            </w:r>
          </w:p>
        </w:tc>
        <w:tc>
          <w:tcPr>
            <w:tcW w:w="554" w:type="pct"/>
            <w:tcBorders>
              <w:top w:val="single" w:sz="8" w:space="0" w:color="548DD4"/>
              <w:left w:val="single" w:sz="6" w:space="0" w:color="FFFFFF" w:themeColor="background1"/>
              <w:bottom w:val="single" w:sz="12" w:space="0" w:color="548DD4"/>
              <w:right w:val="single" w:sz="6" w:space="0" w:color="FFFFFF" w:themeColor="background1"/>
            </w:tcBorders>
            <w:shd w:val="clear" w:color="BDD7EE" w:fill="BDD7EE"/>
          </w:tcPr>
          <w:p w14:paraId="536F2B61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b/>
                <w:color w:val="000000"/>
                <w:sz w:val="22"/>
              </w:rPr>
            </w:pPr>
            <w:r w:rsidRPr="00511D86">
              <w:rPr>
                <w:b/>
                <w:color w:val="000000"/>
                <w:sz w:val="22"/>
              </w:rPr>
              <w:t>221</w:t>
            </w:r>
          </w:p>
        </w:tc>
        <w:tc>
          <w:tcPr>
            <w:tcW w:w="533" w:type="pct"/>
            <w:tcBorders>
              <w:top w:val="single" w:sz="8" w:space="0" w:color="548DD4"/>
              <w:left w:val="single" w:sz="6" w:space="0" w:color="FFFFFF" w:themeColor="background1"/>
              <w:bottom w:val="single" w:sz="12" w:space="0" w:color="548DD4"/>
            </w:tcBorders>
            <w:shd w:val="clear" w:color="BDD7EE" w:fill="BDD7EE"/>
            <w:noWrap/>
            <w:hideMark/>
          </w:tcPr>
          <w:p w14:paraId="6AE014F5" w14:textId="77777777" w:rsidR="00511D86" w:rsidRPr="00511D86" w:rsidRDefault="00511D86" w:rsidP="00511D86">
            <w:pPr>
              <w:spacing w:before="0" w:after="0"/>
              <w:contextualSpacing w:val="0"/>
              <w:jc w:val="center"/>
              <w:rPr>
                <w:b/>
                <w:color w:val="000000"/>
                <w:sz w:val="22"/>
              </w:rPr>
            </w:pPr>
            <w:r w:rsidRPr="00511D86">
              <w:rPr>
                <w:b/>
                <w:color w:val="000000"/>
                <w:sz w:val="22"/>
              </w:rPr>
              <w:t>945</w:t>
            </w:r>
          </w:p>
        </w:tc>
      </w:tr>
    </w:tbl>
    <w:p w14:paraId="1F7B2F2D" w14:textId="77777777" w:rsidR="008931B7" w:rsidRDefault="008931B7" w:rsidP="008931B7">
      <w:pPr>
        <w:pStyle w:val="Normlnzprva"/>
        <w:rPr>
          <w:rFonts w:asciiTheme="minorHAnsi" w:hAnsiTheme="minorHAnsi"/>
          <w:noProof/>
        </w:rPr>
      </w:pPr>
    </w:p>
    <w:p w14:paraId="53CD98D4" w14:textId="77777777" w:rsidR="008931B7" w:rsidRPr="00C62639" w:rsidRDefault="008931B7" w:rsidP="008931B7">
      <w:pPr>
        <w:pStyle w:val="Normlnzprva"/>
        <w:rPr>
          <w:rFonts w:asciiTheme="minorHAnsi" w:hAnsiTheme="minorHAnsi"/>
          <w:noProof/>
        </w:rPr>
      </w:pPr>
    </w:p>
    <w:tbl>
      <w:tblPr>
        <w:tblW w:w="9040" w:type="dxa"/>
        <w:jc w:val="center"/>
        <w:tblBorders>
          <w:top w:val="single" w:sz="12" w:space="0" w:color="F79646"/>
          <w:left w:val="single" w:sz="12" w:space="0" w:color="F79646"/>
          <w:bottom w:val="single" w:sz="12" w:space="0" w:color="F79646"/>
          <w:right w:val="single" w:sz="12" w:space="0" w:color="F7964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1429"/>
        <w:gridCol w:w="1077"/>
        <w:gridCol w:w="519"/>
        <w:gridCol w:w="1189"/>
        <w:gridCol w:w="1077"/>
        <w:gridCol w:w="1077"/>
      </w:tblGrid>
      <w:tr w:rsidR="008931B7" w:rsidRPr="009722AF" w14:paraId="5B13DA2A" w14:textId="77777777" w:rsidTr="00007A20">
        <w:trPr>
          <w:trHeight w:val="302"/>
          <w:jc w:val="center"/>
        </w:trPr>
        <w:tc>
          <w:tcPr>
            <w:tcW w:w="2672" w:type="dxa"/>
            <w:tcBorders>
              <w:top w:val="single" w:sz="12" w:space="0" w:color="F79646"/>
              <w:bottom w:val="nil"/>
              <w:right w:val="single" w:sz="12" w:space="0" w:color="F79646"/>
            </w:tcBorders>
            <w:shd w:val="clear" w:color="auto" w:fill="auto"/>
            <w:noWrap/>
            <w:vAlign w:val="center"/>
            <w:hideMark/>
          </w:tcPr>
          <w:p w14:paraId="116CE1CC" w14:textId="77777777" w:rsidR="008931B7" w:rsidRPr="00F85683" w:rsidRDefault="00F85683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smallCaps/>
                <w:noProof/>
                <w:color w:val="000000"/>
                <w:sz w:val="22"/>
                <w:szCs w:val="20"/>
                <w:lang w:eastAsia="cs-CZ"/>
              </w:rPr>
              <w:t>kanalizace</w:t>
            </w:r>
          </w:p>
          <w:p w14:paraId="191F0E5A" w14:textId="25635C9C" w:rsidR="008931B7" w:rsidRPr="00F85683" w:rsidRDefault="00F85683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rozdělení porovnání d</w:t>
            </w:r>
            <w:r w:rsidR="00962A95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o </w:t>
            </w: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skupin</w:t>
            </w:r>
          </w:p>
        </w:tc>
        <w:tc>
          <w:tcPr>
            <w:tcW w:w="1429" w:type="dxa"/>
            <w:tcBorders>
              <w:left w:val="single" w:sz="12" w:space="0" w:color="F79646"/>
              <w:bottom w:val="nil"/>
            </w:tcBorders>
            <w:shd w:val="clear" w:color="auto" w:fill="auto"/>
            <w:noWrap/>
            <w:vAlign w:val="center"/>
            <w:hideMark/>
          </w:tcPr>
          <w:p w14:paraId="577651DC" w14:textId="77777777" w:rsidR="008931B7" w:rsidRPr="00F85683" w:rsidRDefault="008931B7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712F437B" w14:textId="77777777" w:rsidR="008931B7" w:rsidRPr="00F85683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</w:pPr>
          </w:p>
        </w:tc>
        <w:tc>
          <w:tcPr>
            <w:tcW w:w="3862" w:type="dxa"/>
            <w:gridSpan w:val="4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3CA85D" w14:textId="77777777" w:rsidR="008931B7" w:rsidRPr="00F85683" w:rsidRDefault="00F85683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 xml:space="preserve">zastoupení podle modelu provozování </w:t>
            </w:r>
          </w:p>
        </w:tc>
      </w:tr>
      <w:tr w:rsidR="008931B7" w:rsidRPr="009722AF" w14:paraId="4D3BC0C4" w14:textId="77777777" w:rsidTr="00007A20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ED7D31" w:fill="ED7D31"/>
            <w:noWrap/>
            <w:vAlign w:val="center"/>
            <w:hideMark/>
          </w:tcPr>
          <w:p w14:paraId="23A56A0E" w14:textId="4CC627DA" w:rsidR="008931B7" w:rsidRPr="00F85683" w:rsidRDefault="00F85683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2"/>
                <w:szCs w:val="20"/>
                <w:lang w:eastAsia="cs-CZ"/>
              </w:rPr>
              <w:t>skupi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2"/>
                <w:szCs w:val="20"/>
                <w:lang w:eastAsia="cs-CZ"/>
              </w:rPr>
              <w:t>na </w:t>
            </w: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2"/>
                <w:szCs w:val="20"/>
                <w:lang w:eastAsia="cs-CZ"/>
              </w:rPr>
              <w:t xml:space="preserve">/ model provozování 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ED7D31" w:fill="ED7D31"/>
            <w:noWrap/>
            <w:vAlign w:val="center"/>
            <w:hideMark/>
          </w:tcPr>
          <w:p w14:paraId="1BE26B09" w14:textId="07262F99" w:rsidR="008931B7" w:rsidRPr="00F85683" w:rsidRDefault="00F85683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2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2"/>
                <w:szCs w:val="20"/>
                <w:lang w:eastAsia="cs-CZ"/>
              </w:rPr>
              <w:t>ve </w:t>
            </w: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2"/>
                <w:szCs w:val="20"/>
                <w:lang w:eastAsia="cs-CZ"/>
              </w:rPr>
              <w:t>skupině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ED7D31" w:fill="ED7D31"/>
            <w:noWrap/>
            <w:vAlign w:val="center"/>
            <w:hideMark/>
          </w:tcPr>
          <w:p w14:paraId="58310AD7" w14:textId="77777777" w:rsidR="008931B7" w:rsidRPr="00F85683" w:rsidRDefault="00F85683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  <w:t>kombinovaný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ED7D31" w:fill="ED7D31"/>
            <w:noWrap/>
            <w:vAlign w:val="center"/>
            <w:hideMark/>
          </w:tcPr>
          <w:p w14:paraId="6C79BA63" w14:textId="77777777" w:rsidR="008931B7" w:rsidRPr="00F85683" w:rsidRDefault="00F85683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  <w:t>oddílný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ED7D31" w:fill="ED7D31"/>
          </w:tcPr>
          <w:p w14:paraId="14F05178" w14:textId="77777777" w:rsidR="008931B7" w:rsidRPr="00F85683" w:rsidRDefault="00F85683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  <w:t>oddílný servisní smlouva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ED7D31" w:fill="ED7D31"/>
            <w:noWrap/>
            <w:vAlign w:val="center"/>
            <w:hideMark/>
          </w:tcPr>
          <w:p w14:paraId="6272127A" w14:textId="77777777" w:rsidR="008931B7" w:rsidRPr="00F85683" w:rsidRDefault="00F85683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FFFFFF"/>
                <w:sz w:val="20"/>
                <w:szCs w:val="20"/>
                <w:lang w:eastAsia="cs-CZ"/>
              </w:rPr>
              <w:t>smíšený</w:t>
            </w:r>
          </w:p>
        </w:tc>
      </w:tr>
      <w:tr w:rsidR="00F85683" w:rsidRPr="009722AF" w14:paraId="614CB59F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F8CBAD" w:fill="F8CBAD"/>
            <w:noWrap/>
            <w:vAlign w:val="center"/>
            <w:hideMark/>
          </w:tcPr>
          <w:p w14:paraId="085EEF01" w14:textId="77777777" w:rsidR="00F85683" w:rsidRPr="00F85683" w:rsidRDefault="00F85683" w:rsidP="00F85683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i.skupina(&gt;10 000mil.kč)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F8CBAD" w:fill="F8CBAD"/>
            <w:noWrap/>
            <w:hideMark/>
          </w:tcPr>
          <w:p w14:paraId="3D03BE00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5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539CC829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40B7B5A5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8CBAD" w:fill="F8CBAD"/>
          </w:tcPr>
          <w:p w14:paraId="62C0523B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F8CBAD" w:fill="F8CBAD"/>
            <w:noWrap/>
            <w:hideMark/>
          </w:tcPr>
          <w:p w14:paraId="071F92BB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</w:p>
        </w:tc>
      </w:tr>
      <w:tr w:rsidR="00F85683" w:rsidRPr="009722AF" w14:paraId="17C5522C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FCE4D6" w:fill="FCE4D6"/>
            <w:noWrap/>
            <w:vAlign w:val="center"/>
            <w:hideMark/>
          </w:tcPr>
          <w:p w14:paraId="56E07C9C" w14:textId="77777777" w:rsidR="00F85683" w:rsidRPr="00F85683" w:rsidRDefault="00F85683" w:rsidP="00F85683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ii.skupina(&gt;1 000mil.kč)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FCE4D6" w:fill="FCE4D6"/>
            <w:noWrap/>
            <w:hideMark/>
          </w:tcPr>
          <w:p w14:paraId="7D19636E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48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FCE4D6" w:fill="FCE4D6"/>
            <w:noWrap/>
            <w:hideMark/>
          </w:tcPr>
          <w:p w14:paraId="52086F57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20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CE4D6" w:fill="FCE4D6"/>
            <w:noWrap/>
            <w:hideMark/>
          </w:tcPr>
          <w:p w14:paraId="28A44A87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26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CE4D6" w:fill="FCE4D6"/>
          </w:tcPr>
          <w:p w14:paraId="41CBE26D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FCE4D6" w:fill="FCE4D6"/>
            <w:noWrap/>
            <w:hideMark/>
          </w:tcPr>
          <w:p w14:paraId="45BA5114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2</w:t>
            </w:r>
          </w:p>
        </w:tc>
      </w:tr>
      <w:tr w:rsidR="00F85683" w:rsidRPr="009722AF" w14:paraId="431FE31C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F8CBAD" w:fill="F8CBAD"/>
            <w:noWrap/>
            <w:vAlign w:val="center"/>
            <w:hideMark/>
          </w:tcPr>
          <w:p w14:paraId="07EE16AA" w14:textId="77777777" w:rsidR="00F85683" w:rsidRPr="00F85683" w:rsidRDefault="00F85683" w:rsidP="00F85683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iii.skupina(&gt;100mil.kč)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F8CBAD" w:fill="F8CBAD"/>
            <w:noWrap/>
            <w:hideMark/>
          </w:tcPr>
          <w:p w14:paraId="53E81F78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299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0B0C22C7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40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6B9EDA26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178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8CBAD" w:fill="F8CBAD"/>
          </w:tcPr>
          <w:p w14:paraId="4823C3F0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9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F8CBAD" w:fill="F8CBAD"/>
            <w:noWrap/>
            <w:hideMark/>
          </w:tcPr>
          <w:p w14:paraId="1F20A9D4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72</w:t>
            </w:r>
          </w:p>
        </w:tc>
      </w:tr>
      <w:tr w:rsidR="00F85683" w:rsidRPr="009722AF" w14:paraId="780E97A0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FCE4D6" w:fill="FCE4D6"/>
            <w:noWrap/>
            <w:vAlign w:val="center"/>
            <w:hideMark/>
          </w:tcPr>
          <w:p w14:paraId="395892BF" w14:textId="77777777" w:rsidR="00F85683" w:rsidRPr="00F85683" w:rsidRDefault="00F85683" w:rsidP="00F85683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iv.skupina(&gt;10mil.kč)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FCE4D6" w:fill="FCE4D6"/>
            <w:noWrap/>
            <w:hideMark/>
          </w:tcPr>
          <w:p w14:paraId="1602809B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1652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FCE4D6" w:fill="FCE4D6"/>
            <w:noWrap/>
            <w:hideMark/>
          </w:tcPr>
          <w:p w14:paraId="790C7E44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18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CE4D6" w:fill="FCE4D6"/>
            <w:noWrap/>
            <w:hideMark/>
          </w:tcPr>
          <w:p w14:paraId="6F54ED3D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465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CE4D6" w:fill="FCE4D6"/>
          </w:tcPr>
          <w:p w14:paraId="281E24CA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120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FCE4D6" w:fill="FCE4D6"/>
            <w:noWrap/>
            <w:hideMark/>
          </w:tcPr>
          <w:p w14:paraId="277614F4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1049</w:t>
            </w:r>
          </w:p>
        </w:tc>
      </w:tr>
      <w:tr w:rsidR="00F85683" w:rsidRPr="009722AF" w14:paraId="0635AFDC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F8CBAD" w:fill="F8CBAD"/>
            <w:noWrap/>
            <w:vAlign w:val="center"/>
            <w:hideMark/>
          </w:tcPr>
          <w:p w14:paraId="62DBBDCC" w14:textId="77777777" w:rsidR="00F85683" w:rsidRPr="00F85683" w:rsidRDefault="00F85683" w:rsidP="00F85683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v.skupina(&gt;1mil.kč)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F8CBAD" w:fill="F8CBAD"/>
            <w:noWrap/>
            <w:hideMark/>
          </w:tcPr>
          <w:p w14:paraId="230D31DF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419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4C3F0E07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2A0A1077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32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8CBAD" w:fill="F8CBAD"/>
          </w:tcPr>
          <w:p w14:paraId="5F266A9D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F8CBAD" w:fill="F8CBAD"/>
            <w:noWrap/>
            <w:hideMark/>
          </w:tcPr>
          <w:p w14:paraId="5FD4EA84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338</w:t>
            </w:r>
          </w:p>
        </w:tc>
      </w:tr>
      <w:tr w:rsidR="00F85683" w:rsidRPr="009722AF" w14:paraId="073E02AE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nil"/>
              <w:right w:val="single" w:sz="12" w:space="0" w:color="F79646"/>
            </w:tcBorders>
            <w:shd w:val="clear" w:color="FCE4D6" w:fill="FCE4D6"/>
            <w:noWrap/>
            <w:vAlign w:val="center"/>
            <w:hideMark/>
          </w:tcPr>
          <w:p w14:paraId="54A83F98" w14:textId="77777777" w:rsidR="00F85683" w:rsidRPr="00F85683" w:rsidRDefault="00F85683" w:rsidP="00F85683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smallCaps/>
                <w:noProof/>
                <w:color w:val="000000"/>
                <w:sz w:val="22"/>
                <w:szCs w:val="20"/>
                <w:lang w:eastAsia="cs-CZ"/>
              </w:rPr>
              <w:t>vi.skupina(&lt;1mil.kč)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nil"/>
              <w:right w:val="single" w:sz="12" w:space="0" w:color="F79646"/>
            </w:tcBorders>
            <w:shd w:val="clear" w:color="FCE4D6" w:fill="FCE4D6"/>
            <w:noWrap/>
            <w:hideMark/>
          </w:tcPr>
          <w:p w14:paraId="559C9EA8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20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nil"/>
              <w:right w:val="single" w:sz="6" w:space="0" w:color="F2F2F2" w:themeColor="background1" w:themeShade="F2"/>
            </w:tcBorders>
            <w:shd w:val="clear" w:color="FCE4D6" w:fill="FCE4D6"/>
            <w:noWrap/>
            <w:hideMark/>
          </w:tcPr>
          <w:p w14:paraId="747F7735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CE4D6" w:fill="FCE4D6"/>
            <w:noWrap/>
            <w:hideMark/>
          </w:tcPr>
          <w:p w14:paraId="590D26D6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shd w:val="clear" w:color="FCE4D6" w:fill="FCE4D6"/>
          </w:tcPr>
          <w:p w14:paraId="6897BFDF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nil"/>
            </w:tcBorders>
            <w:shd w:val="clear" w:color="FCE4D6" w:fill="FCE4D6"/>
            <w:noWrap/>
            <w:hideMark/>
          </w:tcPr>
          <w:p w14:paraId="20A8CFF1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smallCaps/>
                <w:color w:val="000000"/>
                <w:sz w:val="22"/>
              </w:rPr>
            </w:pPr>
            <w:r w:rsidRPr="00F85683">
              <w:rPr>
                <w:rFonts w:asciiTheme="majorHAnsi" w:hAnsiTheme="majorHAnsi" w:cstheme="majorHAnsi"/>
                <w:smallCaps/>
                <w:color w:val="000000"/>
                <w:sz w:val="22"/>
              </w:rPr>
              <w:t>19</w:t>
            </w:r>
          </w:p>
        </w:tc>
      </w:tr>
      <w:tr w:rsidR="00F85683" w:rsidRPr="009722AF" w14:paraId="774B59BB" w14:textId="77777777" w:rsidTr="00C24122">
        <w:trPr>
          <w:trHeight w:val="302"/>
          <w:jc w:val="center"/>
        </w:trPr>
        <w:tc>
          <w:tcPr>
            <w:tcW w:w="2672" w:type="dxa"/>
            <w:tcBorders>
              <w:top w:val="nil"/>
              <w:bottom w:val="single" w:sz="12" w:space="0" w:color="F79646"/>
              <w:right w:val="single" w:sz="12" w:space="0" w:color="F79646"/>
            </w:tcBorders>
            <w:shd w:val="clear" w:color="F8CBAD" w:fill="F8CBAD"/>
            <w:noWrap/>
            <w:vAlign w:val="center"/>
            <w:hideMark/>
          </w:tcPr>
          <w:p w14:paraId="70F9948A" w14:textId="77777777" w:rsidR="00F85683" w:rsidRPr="00F85683" w:rsidRDefault="00F85683" w:rsidP="00F85683">
            <w:pPr>
              <w:spacing w:before="0" w:after="0"/>
              <w:contextualSpacing w:val="0"/>
              <w:jc w:val="right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  <w:t>celkový součet</w:t>
            </w:r>
          </w:p>
        </w:tc>
        <w:tc>
          <w:tcPr>
            <w:tcW w:w="1429" w:type="dxa"/>
            <w:tcBorders>
              <w:top w:val="nil"/>
              <w:left w:val="single" w:sz="12" w:space="0" w:color="F79646"/>
              <w:bottom w:val="single" w:sz="12" w:space="0" w:color="F79646"/>
              <w:right w:val="single" w:sz="12" w:space="0" w:color="F79646"/>
            </w:tcBorders>
            <w:shd w:val="clear" w:color="F8CBAD" w:fill="F8CBAD"/>
            <w:noWrap/>
            <w:hideMark/>
          </w:tcPr>
          <w:p w14:paraId="31C46F57" w14:textId="77777777" w:rsidR="00F85683" w:rsidRDefault="00F85683" w:rsidP="00F85683">
            <w:pPr>
              <w:spacing w:before="0" w:after="0"/>
              <w:contextualSpacing w:val="0"/>
              <w:jc w:val="center"/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  <w:t>2443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F79646"/>
              <w:bottom w:val="single" w:sz="12" w:space="0" w:color="F79646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57F02429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  <w:t>82</w:t>
            </w:r>
          </w:p>
        </w:tc>
        <w:tc>
          <w:tcPr>
            <w:tcW w:w="1189" w:type="dxa"/>
            <w:tcBorders>
              <w:top w:val="nil"/>
              <w:left w:val="single" w:sz="6" w:space="0" w:color="F2F2F2" w:themeColor="background1" w:themeShade="F2"/>
              <w:bottom w:val="single" w:sz="12" w:space="0" w:color="F79646"/>
              <w:right w:val="single" w:sz="6" w:space="0" w:color="F2F2F2" w:themeColor="background1" w:themeShade="F2"/>
            </w:tcBorders>
            <w:shd w:val="clear" w:color="F8CBAD" w:fill="F8CBAD"/>
            <w:noWrap/>
            <w:hideMark/>
          </w:tcPr>
          <w:p w14:paraId="32A824A4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  <w:t>703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single" w:sz="12" w:space="0" w:color="F79646"/>
              <w:right w:val="single" w:sz="6" w:space="0" w:color="F2F2F2" w:themeColor="background1" w:themeShade="F2"/>
            </w:tcBorders>
            <w:shd w:val="clear" w:color="F8CBAD" w:fill="F8CBAD"/>
          </w:tcPr>
          <w:p w14:paraId="7792890F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  <w:t>178</w:t>
            </w:r>
          </w:p>
        </w:tc>
        <w:tc>
          <w:tcPr>
            <w:tcW w:w="1077" w:type="dxa"/>
            <w:tcBorders>
              <w:top w:val="nil"/>
              <w:left w:val="single" w:sz="6" w:space="0" w:color="F2F2F2" w:themeColor="background1" w:themeShade="F2"/>
              <w:bottom w:val="single" w:sz="12" w:space="0" w:color="F79646"/>
            </w:tcBorders>
            <w:shd w:val="clear" w:color="F8CBAD" w:fill="F8CBAD"/>
            <w:noWrap/>
            <w:hideMark/>
          </w:tcPr>
          <w:p w14:paraId="4BA0EA5A" w14:textId="77777777" w:rsidR="00F85683" w:rsidRPr="00F85683" w:rsidRDefault="00F85683" w:rsidP="00F85683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</w:pPr>
            <w:r w:rsidRPr="00F85683">
              <w:rPr>
                <w:rFonts w:asciiTheme="majorHAnsi" w:eastAsia="Times New Roman" w:hAnsiTheme="majorHAnsi" w:cstheme="majorHAnsi"/>
                <w:b/>
                <w:bCs/>
                <w:smallCaps/>
                <w:noProof/>
                <w:color w:val="000000"/>
                <w:sz w:val="22"/>
                <w:szCs w:val="20"/>
                <w:lang w:eastAsia="cs-CZ"/>
              </w:rPr>
              <w:t>1480</w:t>
            </w:r>
          </w:p>
        </w:tc>
      </w:tr>
    </w:tbl>
    <w:p w14:paraId="20BE4F60" w14:textId="77777777" w:rsidR="008931B7" w:rsidRDefault="008931B7" w:rsidP="008931B7">
      <w:pPr>
        <w:pStyle w:val="Normlnzprva"/>
        <w:rPr>
          <w:rFonts w:asciiTheme="minorHAnsi" w:hAnsiTheme="minorHAnsi"/>
          <w:noProof/>
        </w:rPr>
      </w:pPr>
    </w:p>
    <w:p w14:paraId="3FF7D3D7" w14:textId="0320A35C" w:rsidR="007124D0" w:rsidRDefault="007124D0">
      <w:pPr>
        <w:spacing w:before="0" w:after="160" w:line="259" w:lineRule="auto"/>
        <w:contextualSpacing w:val="0"/>
        <w:jc w:val="left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br w:type="page"/>
      </w:r>
    </w:p>
    <w:p w14:paraId="2186C144" w14:textId="30FD2AF6" w:rsidR="008931B7" w:rsidRPr="00C62639" w:rsidRDefault="008931B7" w:rsidP="008931B7">
      <w:pPr>
        <w:pStyle w:val="Nadpis3"/>
        <w:rPr>
          <w:rFonts w:asciiTheme="minorHAnsi" w:eastAsia="Calibri" w:hAnsiTheme="minorHAnsi"/>
          <w:noProof/>
        </w:rPr>
      </w:pPr>
      <w:bookmarkStart w:id="37" w:name="_Toc963477"/>
      <w:bookmarkStart w:id="38" w:name="_Toc34210381"/>
      <w:r w:rsidRPr="00C62639">
        <w:rPr>
          <w:rFonts w:asciiTheme="minorHAnsi" w:eastAsia="Calibri" w:hAnsiTheme="minorHAnsi"/>
          <w:noProof/>
        </w:rPr>
        <w:lastRenderedPageBreak/>
        <w:t>Skupiny provozovatelskéh</w:t>
      </w:r>
      <w:r w:rsidR="00962A95">
        <w:rPr>
          <w:rFonts w:asciiTheme="minorHAnsi" w:eastAsia="Calibri" w:hAnsiTheme="minorHAnsi"/>
          <w:noProof/>
        </w:rPr>
        <w:t>o </w:t>
      </w:r>
      <w:r w:rsidRPr="00C62639">
        <w:rPr>
          <w:rFonts w:asciiTheme="minorHAnsi" w:eastAsia="Calibri" w:hAnsiTheme="minorHAnsi"/>
          <w:noProof/>
        </w:rPr>
        <w:t>benchmarkingu</w:t>
      </w:r>
      <w:bookmarkEnd w:id="37"/>
      <w:bookmarkEnd w:id="38"/>
    </w:p>
    <w:p w14:paraId="49B0FF3B" w14:textId="218E5E5D" w:rsidR="008931B7" w:rsidRPr="00C62639" w:rsidRDefault="008931B7" w:rsidP="008931B7">
      <w:pPr>
        <w:pStyle w:val="NORMLN0"/>
        <w:rPr>
          <w:rFonts w:asciiTheme="minorHAnsi" w:hAnsiTheme="minorHAnsi" w:cs="Calibri"/>
        </w:rPr>
      </w:pPr>
      <w:r>
        <w:t xml:space="preserve">Provozovatelský </w:t>
      </w:r>
      <w:r w:rsidRPr="00934258">
        <w:t>benchmarking</w:t>
      </w:r>
      <w:r>
        <w:t xml:space="preserve"> dělí Porovnání podle </w:t>
      </w:r>
      <w:r w:rsidRPr="00934258">
        <w:t xml:space="preserve">počtu </w:t>
      </w:r>
      <w:r w:rsidR="00194A43">
        <w:t xml:space="preserve">zásobených, resp. </w:t>
      </w:r>
      <w:r w:rsidRPr="00934258">
        <w:t xml:space="preserve">připojených obyvatel. </w:t>
      </w:r>
      <w:r w:rsidR="00194A43">
        <w:t>Jelikož jednotkou ana</w:t>
      </w:r>
      <w:r w:rsidR="00876703">
        <w:t>lý</w:t>
      </w:r>
      <w:r w:rsidR="00962A95">
        <w:t>z </w:t>
      </w:r>
      <w:r w:rsidR="00194A43">
        <w:t>je Porovnání</w:t>
      </w:r>
      <w:r w:rsidR="00002E4D">
        <w:t xml:space="preserve"> a s ním související VÚME a VÚPE, mohou se provozovatelé vyskytnout </w:t>
      </w:r>
      <w:r w:rsidR="00962A95">
        <w:t>ve </w:t>
      </w:r>
      <w:r w:rsidR="00002E4D">
        <w:t>více skupinách, a t</w:t>
      </w:r>
      <w:r w:rsidR="00962A95">
        <w:t>o </w:t>
      </w:r>
      <w:r w:rsidR="00002E4D">
        <w:t xml:space="preserve">i několikrát. </w:t>
      </w:r>
    </w:p>
    <w:p w14:paraId="263C56BF" w14:textId="77777777" w:rsidR="008931B7" w:rsidRPr="00C62639" w:rsidRDefault="008931B7" w:rsidP="008931B7">
      <w:pPr>
        <w:pStyle w:val="Normlnzprva"/>
        <w:rPr>
          <w:rFonts w:asciiTheme="minorHAnsi" w:hAnsiTheme="minorHAnsi"/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1669"/>
        <w:gridCol w:w="1470"/>
        <w:gridCol w:w="968"/>
        <w:gridCol w:w="956"/>
        <w:gridCol w:w="956"/>
      </w:tblGrid>
      <w:tr w:rsidR="008931B7" w:rsidRPr="009722AF" w14:paraId="61B9E7CF" w14:textId="77777777" w:rsidTr="00007A20">
        <w:trPr>
          <w:trHeight w:val="576"/>
          <w:jc w:val="center"/>
        </w:trPr>
        <w:tc>
          <w:tcPr>
            <w:tcW w:w="1675" w:type="pct"/>
            <w:tcBorders>
              <w:top w:val="single" w:sz="8" w:space="0" w:color="2F75B5"/>
              <w:left w:val="single" w:sz="8" w:space="0" w:color="2F75B5"/>
              <w:bottom w:val="nil"/>
              <w:right w:val="single" w:sz="8" w:space="0" w:color="2F75B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8AED5" w14:textId="1BB8C63F" w:rsidR="008931B7" w:rsidRPr="00511D86" w:rsidRDefault="00511D86" w:rsidP="00007A20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b/>
                <w:smallCaps/>
                <w:noProof/>
                <w:color w:val="000000"/>
                <w:sz w:val="22"/>
              </w:rPr>
              <w:t>pitná voda</w:t>
            </w: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 xml:space="preserve"> </w:t>
            </w: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br/>
              <w:t>rozdělení porovnání d</w:t>
            </w:r>
            <w:r w:rsidR="00962A95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o </w:t>
            </w: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skupin</w:t>
            </w:r>
          </w:p>
        </w:tc>
        <w:tc>
          <w:tcPr>
            <w:tcW w:w="3325" w:type="pct"/>
            <w:gridSpan w:val="5"/>
            <w:tcBorders>
              <w:top w:val="single" w:sz="8" w:space="0" w:color="2F75B5"/>
              <w:left w:val="nil"/>
              <w:bottom w:val="nil"/>
              <w:right w:val="single" w:sz="8" w:space="0" w:color="2F75B5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80C3A" w14:textId="77777777" w:rsidR="008931B7" w:rsidRPr="00511D86" w:rsidRDefault="00511D86" w:rsidP="00007A20">
            <w:pPr>
              <w:spacing w:before="0" w:after="0" w:line="240" w:lineRule="atLeast"/>
              <w:jc w:val="righ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zastoupení podle modelu provozování</w:t>
            </w:r>
          </w:p>
        </w:tc>
      </w:tr>
      <w:tr w:rsidR="008931B7" w:rsidRPr="009722AF" w14:paraId="06AE209A" w14:textId="77777777" w:rsidTr="00007A20">
        <w:trPr>
          <w:trHeight w:val="288"/>
          <w:jc w:val="center"/>
        </w:trPr>
        <w:tc>
          <w:tcPr>
            <w:tcW w:w="1675" w:type="pct"/>
            <w:tcBorders>
              <w:top w:val="nil"/>
              <w:left w:val="single" w:sz="8" w:space="0" w:color="2F75B5"/>
              <w:bottom w:val="single" w:sz="12" w:space="0" w:color="FFFFFF"/>
              <w:right w:val="single" w:sz="8" w:space="0" w:color="2F75B5"/>
            </w:tcBorders>
            <w:shd w:val="clear" w:color="5B9BD5" w:fill="5B9B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C8C4" w14:textId="69AC244F" w:rsidR="008931B7" w:rsidRPr="00511D86" w:rsidRDefault="00511D86" w:rsidP="00007A20">
            <w:pPr>
              <w:spacing w:before="0" w:after="0" w:line="240" w:lineRule="atLeast"/>
              <w:jc w:val="center"/>
              <w:rPr>
                <w:rFonts w:asciiTheme="majorHAnsi" w:hAnsiTheme="majorHAnsi"/>
                <w:b/>
                <w:bCs/>
                <w:smallCaps/>
                <w:noProof/>
                <w:color w:val="FFFFFF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2"/>
              </w:rPr>
              <w:t>skupi</w:t>
            </w:r>
            <w:r w:rsidR="00962A95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2"/>
              </w:rPr>
              <w:t>na </w:t>
            </w: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2"/>
              </w:rPr>
              <w:t>/ model provozování</w:t>
            </w:r>
          </w:p>
        </w:tc>
        <w:tc>
          <w:tcPr>
            <w:tcW w:w="922" w:type="pct"/>
            <w:tcBorders>
              <w:top w:val="nil"/>
              <w:left w:val="single" w:sz="8" w:space="0" w:color="2F75B5"/>
              <w:bottom w:val="single" w:sz="12" w:space="0" w:color="FFFFFF"/>
              <w:right w:val="single" w:sz="8" w:space="0" w:color="2F75B5"/>
            </w:tcBorders>
            <w:shd w:val="clear" w:color="5B9BD5" w:fill="5B9B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8D581" w14:textId="7E9C9B94" w:rsidR="008931B7" w:rsidRPr="00511D86" w:rsidRDefault="00511D86" w:rsidP="00007A20">
            <w:pPr>
              <w:spacing w:before="0" w:after="0" w:line="240" w:lineRule="atLeast"/>
              <w:jc w:val="center"/>
              <w:rPr>
                <w:rFonts w:asciiTheme="majorHAnsi" w:hAnsiTheme="majorHAnsi"/>
                <w:b/>
                <w:bCs/>
                <w:smallCaps/>
                <w:noProof/>
                <w:color w:val="FFFFFF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2"/>
              </w:rPr>
              <w:t xml:space="preserve">počet porovnání </w:t>
            </w:r>
            <w:r w:rsidR="00962A95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2"/>
              </w:rPr>
              <w:t>ve </w:t>
            </w: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2"/>
              </w:rPr>
              <w:t>skupině</w:t>
            </w:r>
          </w:p>
        </w:tc>
        <w:tc>
          <w:tcPr>
            <w:tcW w:w="81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8895" w14:textId="77777777" w:rsidR="008931B7" w:rsidRPr="00511D86" w:rsidRDefault="00511D86" w:rsidP="00007A20">
            <w:pPr>
              <w:spacing w:before="0" w:after="0" w:line="240" w:lineRule="atLeast"/>
              <w:jc w:val="center"/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0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0"/>
              </w:rPr>
              <w:t>kombinovaný</w:t>
            </w:r>
          </w:p>
        </w:tc>
        <w:tc>
          <w:tcPr>
            <w:tcW w:w="535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BAA5A" w14:textId="77777777" w:rsidR="008931B7" w:rsidRPr="00511D86" w:rsidRDefault="00511D86" w:rsidP="00007A20">
            <w:pPr>
              <w:spacing w:before="0" w:after="0" w:line="240" w:lineRule="atLeast"/>
              <w:jc w:val="center"/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0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0"/>
              </w:rPr>
              <w:t>oddílný</w:t>
            </w:r>
          </w:p>
        </w:tc>
        <w:tc>
          <w:tcPr>
            <w:tcW w:w="52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</w:tcPr>
          <w:p w14:paraId="5C32F996" w14:textId="77777777" w:rsidR="008931B7" w:rsidRPr="00511D86" w:rsidRDefault="00511D86" w:rsidP="00007A20">
            <w:pPr>
              <w:spacing w:before="0" w:after="0"/>
              <w:contextualSpacing w:val="0"/>
              <w:jc w:val="center"/>
              <w:rPr>
                <w:rFonts w:asciiTheme="majorHAnsi" w:hAnsiTheme="majorHAnsi"/>
                <w:b/>
                <w:bCs/>
                <w:smallCaps/>
                <w:color w:val="FFFFFF"/>
                <w:sz w:val="20"/>
                <w:lang w:eastAsia="cs-CZ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color w:val="FFFFFF"/>
                <w:sz w:val="20"/>
              </w:rPr>
              <w:t>oddílný servisní smlouva</w:t>
            </w:r>
          </w:p>
        </w:tc>
        <w:tc>
          <w:tcPr>
            <w:tcW w:w="52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2F75B5"/>
            </w:tcBorders>
            <w:shd w:val="clear" w:color="5B9BD5" w:fill="5B9B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E6DB" w14:textId="77777777" w:rsidR="008931B7" w:rsidRPr="00511D86" w:rsidRDefault="00511D86" w:rsidP="00007A20">
            <w:pPr>
              <w:spacing w:before="0" w:after="0" w:line="240" w:lineRule="atLeast"/>
              <w:jc w:val="center"/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0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FFFFFF"/>
                <w:sz w:val="20"/>
              </w:rPr>
              <w:t>smíšený</w:t>
            </w:r>
          </w:p>
        </w:tc>
      </w:tr>
      <w:tr w:rsidR="00511D86" w:rsidRPr="009722AF" w14:paraId="28F9176E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5A88" w14:textId="77777777" w:rsidR="00511D86" w:rsidRPr="00511D86" w:rsidRDefault="00511D86" w:rsidP="00511D86">
            <w:pPr>
              <w:spacing w:before="0" w:after="0" w:line="240" w:lineRule="atLeas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i.skupina(&gt;500 000př.ob.)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F0226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25779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2BDEA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2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</w:tcPr>
          <w:p w14:paraId="4BEC5E46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979F9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</w:tr>
      <w:tr w:rsidR="00511D86" w:rsidRPr="009722AF" w14:paraId="1F9A45B7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A5DB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ii.skupina(&gt;200 000př.ob.)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BCD08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552CB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61A00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</w:tcPr>
          <w:p w14:paraId="1EB04D31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E0672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</w:tr>
      <w:tr w:rsidR="00511D86" w:rsidRPr="009722AF" w14:paraId="6782D41B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5285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iii.skupina(&gt;100 000př.ob.)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7BEBD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10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D2D67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8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3B2F7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2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</w:tcPr>
          <w:p w14:paraId="4A9592CF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DEA4F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</w:tr>
      <w:tr w:rsidR="00511D86" w:rsidRPr="009722AF" w14:paraId="67300646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EFDE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iv.skupina(&gt;50 000př.ob.)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1EC3D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21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0E322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8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67CAC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13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</w:tcPr>
          <w:p w14:paraId="4339ACD9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8DCEC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</w:p>
        </w:tc>
      </w:tr>
      <w:tr w:rsidR="00511D86" w:rsidRPr="009722AF" w14:paraId="5B6C5888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A2A4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v.skupina(&gt;10 000př.ob.)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5470A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49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34631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11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88D6F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32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</w:tcPr>
          <w:p w14:paraId="2BC6A7AD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7534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</w:t>
            </w:r>
          </w:p>
        </w:tc>
      </w:tr>
      <w:tr w:rsidR="00511D86" w:rsidRPr="009722AF" w14:paraId="508F94A2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30FF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vi.skupina(&gt;1 000př.ob.)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D8D70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378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7E39F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15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40DBF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255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</w:tcPr>
          <w:p w14:paraId="51C04110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18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CD336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90</w:t>
            </w:r>
          </w:p>
        </w:tc>
      </w:tr>
      <w:tr w:rsidR="00511D86" w:rsidRPr="009722AF" w14:paraId="492456ED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F8C6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vii.skupina(&gt;300př.ob.)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58951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680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1A38C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4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BF167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289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</w:tcPr>
          <w:p w14:paraId="4E68B118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66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EB3CC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321</w:t>
            </w:r>
          </w:p>
        </w:tc>
      </w:tr>
      <w:tr w:rsidR="00511D86" w:rsidRPr="009722AF" w14:paraId="54FFF719" w14:textId="77777777" w:rsidTr="00C24122">
        <w:trPr>
          <w:trHeight w:val="288"/>
          <w:jc w:val="center"/>
        </w:trPr>
        <w:tc>
          <w:tcPr>
            <w:tcW w:w="1675" w:type="pct"/>
            <w:tcBorders>
              <w:top w:val="single" w:sz="4" w:space="0" w:color="FFFFFF"/>
              <w:left w:val="single" w:sz="8" w:space="0" w:color="2F75B5"/>
              <w:bottom w:val="single" w:sz="4" w:space="0" w:color="548DD4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9652" w14:textId="77777777" w:rsidR="00511D86" w:rsidRPr="00511D86" w:rsidRDefault="00511D86" w:rsidP="00511D86">
            <w:pPr>
              <w:spacing w:before="0" w:after="0" w:line="240" w:lineRule="atLeast"/>
              <w:jc w:val="left"/>
              <w:rPr>
                <w:rFonts w:asciiTheme="majorHAnsi" w:hAnsiTheme="majorHAnsi"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viii.skupina(&lt;300př.ob.)</w:t>
            </w:r>
          </w:p>
        </w:tc>
        <w:tc>
          <w:tcPr>
            <w:tcW w:w="922" w:type="pct"/>
            <w:tcBorders>
              <w:top w:val="single" w:sz="4" w:space="0" w:color="FFFFFF"/>
              <w:left w:val="single" w:sz="8" w:space="0" w:color="2F75B5"/>
              <w:bottom w:val="single" w:sz="4" w:space="0" w:color="548DD4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E8190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887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548DD4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D2684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8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548DD4"/>
              <w:right w:val="single" w:sz="4" w:space="0" w:color="FFFFFF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B4814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214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548DD4"/>
              <w:right w:val="single" w:sz="4" w:space="0" w:color="FFFFFF"/>
            </w:tcBorders>
            <w:shd w:val="clear" w:color="DDEBF7" w:fill="DDEBF7"/>
          </w:tcPr>
          <w:p w14:paraId="674914F5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134</w:t>
            </w:r>
          </w:p>
        </w:tc>
        <w:tc>
          <w:tcPr>
            <w:tcW w:w="528" w:type="pct"/>
            <w:tcBorders>
              <w:top w:val="single" w:sz="4" w:space="0" w:color="FFFFFF"/>
              <w:left w:val="single" w:sz="4" w:space="0" w:color="FFFFFF"/>
              <w:bottom w:val="single" w:sz="4" w:space="0" w:color="548DD4"/>
              <w:right w:val="single" w:sz="8" w:space="0" w:color="2F75B5"/>
            </w:tcBorders>
            <w:shd w:val="clear" w:color="DDEBF7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5F835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rFonts w:asciiTheme="majorHAnsi" w:hAnsiTheme="majorHAnsi"/>
                <w:smallCaps/>
                <w:noProof/>
                <w:color w:val="000000"/>
                <w:sz w:val="22"/>
              </w:rPr>
            </w:pPr>
            <w:r w:rsidRPr="00511D86">
              <w:rPr>
                <w:rFonts w:asciiTheme="majorHAnsi" w:hAnsiTheme="majorHAnsi"/>
                <w:smallCaps/>
                <w:noProof/>
                <w:color w:val="000000"/>
                <w:sz w:val="22"/>
              </w:rPr>
              <w:t>531</w:t>
            </w:r>
          </w:p>
        </w:tc>
      </w:tr>
      <w:tr w:rsidR="00511D86" w:rsidRPr="009722AF" w14:paraId="7E39382F" w14:textId="77777777" w:rsidTr="00C24122">
        <w:trPr>
          <w:trHeight w:val="302"/>
          <w:jc w:val="center"/>
        </w:trPr>
        <w:tc>
          <w:tcPr>
            <w:tcW w:w="1675" w:type="pct"/>
            <w:tcBorders>
              <w:top w:val="single" w:sz="4" w:space="0" w:color="548DD4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5F02" w14:textId="77777777" w:rsidR="00511D86" w:rsidRPr="00511D86" w:rsidRDefault="00511D86" w:rsidP="00511D86">
            <w:pPr>
              <w:spacing w:before="0" w:after="0" w:line="240" w:lineRule="atLeast"/>
              <w:jc w:val="right"/>
              <w:rPr>
                <w:rFonts w:asciiTheme="majorHAnsi" w:hAnsiTheme="majorHAnsi"/>
                <w:b/>
                <w:bCs/>
                <w:smallCaps/>
                <w:noProof/>
                <w:color w:val="000000"/>
              </w:rPr>
            </w:pPr>
            <w:r w:rsidRPr="00511D86">
              <w:rPr>
                <w:rFonts w:asciiTheme="majorHAnsi" w:hAnsiTheme="majorHAnsi"/>
                <w:b/>
                <w:bCs/>
                <w:smallCaps/>
                <w:noProof/>
                <w:color w:val="000000"/>
                <w:sz w:val="22"/>
              </w:rPr>
              <w:t>celkový součet</w:t>
            </w:r>
          </w:p>
        </w:tc>
        <w:tc>
          <w:tcPr>
            <w:tcW w:w="922" w:type="pct"/>
            <w:tcBorders>
              <w:top w:val="single" w:sz="4" w:space="0" w:color="548DD4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4C344" w14:textId="77777777" w:rsidR="00511D86" w:rsidRDefault="00511D86" w:rsidP="00511D86">
            <w:pPr>
              <w:spacing w:before="0" w:after="0" w:line="240" w:lineRule="atLeast"/>
              <w:jc w:val="center"/>
            </w:pPr>
            <w:r w:rsidRPr="00511D86">
              <w:rPr>
                <w:b/>
                <w:bCs/>
                <w:smallCaps/>
                <w:color w:val="000000"/>
                <w:sz w:val="22"/>
              </w:rPr>
              <w:t>2031</w:t>
            </w:r>
          </w:p>
        </w:tc>
        <w:tc>
          <w:tcPr>
            <w:tcW w:w="812" w:type="pct"/>
            <w:tcBorders>
              <w:top w:val="single" w:sz="4" w:space="0" w:color="548DD4"/>
              <w:left w:val="single" w:sz="4" w:space="0" w:color="FFFFFF"/>
              <w:bottom w:val="single" w:sz="8" w:space="0" w:color="2F75B5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3E525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b/>
                <w:bCs/>
                <w:smallCaps/>
                <w:color w:val="000000"/>
                <w:sz w:val="22"/>
              </w:rPr>
            </w:pPr>
            <w:r w:rsidRPr="00511D86">
              <w:rPr>
                <w:b/>
                <w:bCs/>
                <w:smallCaps/>
                <w:color w:val="000000"/>
                <w:sz w:val="22"/>
              </w:rPr>
              <w:t>55</w:t>
            </w:r>
          </w:p>
        </w:tc>
        <w:tc>
          <w:tcPr>
            <w:tcW w:w="535" w:type="pct"/>
            <w:tcBorders>
              <w:top w:val="single" w:sz="4" w:space="0" w:color="548DD4"/>
              <w:left w:val="single" w:sz="4" w:space="0" w:color="FFFFFF"/>
              <w:bottom w:val="single" w:sz="8" w:space="0" w:color="2F75B5"/>
              <w:right w:val="single" w:sz="4" w:space="0" w:color="FFFFFF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A5CF7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b/>
                <w:bCs/>
                <w:smallCaps/>
                <w:color w:val="000000"/>
                <w:sz w:val="22"/>
              </w:rPr>
            </w:pPr>
            <w:r w:rsidRPr="00511D86">
              <w:rPr>
                <w:b/>
                <w:bCs/>
                <w:smallCaps/>
                <w:color w:val="000000"/>
                <w:sz w:val="22"/>
              </w:rPr>
              <w:t>810</w:t>
            </w:r>
          </w:p>
        </w:tc>
        <w:tc>
          <w:tcPr>
            <w:tcW w:w="528" w:type="pct"/>
            <w:tcBorders>
              <w:top w:val="single" w:sz="4" w:space="0" w:color="548DD4"/>
              <w:left w:val="single" w:sz="4" w:space="0" w:color="FFFFFF"/>
              <w:bottom w:val="single" w:sz="8" w:space="0" w:color="2F75B5"/>
              <w:right w:val="single" w:sz="4" w:space="0" w:color="FFFFFF"/>
            </w:tcBorders>
            <w:shd w:val="clear" w:color="BDD7EE" w:fill="BDD7EE"/>
          </w:tcPr>
          <w:p w14:paraId="57CD1CC3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b/>
                <w:bCs/>
                <w:smallCaps/>
                <w:color w:val="000000"/>
                <w:sz w:val="22"/>
              </w:rPr>
            </w:pPr>
            <w:r w:rsidRPr="00511D86">
              <w:rPr>
                <w:b/>
                <w:bCs/>
                <w:smallCaps/>
                <w:color w:val="000000"/>
                <w:sz w:val="22"/>
              </w:rPr>
              <w:t>221</w:t>
            </w:r>
          </w:p>
        </w:tc>
        <w:tc>
          <w:tcPr>
            <w:tcW w:w="528" w:type="pct"/>
            <w:tcBorders>
              <w:top w:val="single" w:sz="4" w:space="0" w:color="548DD4"/>
              <w:left w:val="single" w:sz="4" w:space="0" w:color="FFFFFF"/>
              <w:bottom w:val="single" w:sz="8" w:space="0" w:color="2F75B5"/>
              <w:right w:val="single" w:sz="8" w:space="0" w:color="2F75B5"/>
            </w:tcBorders>
            <w:shd w:val="clear" w:color="BDD7EE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55C0C" w14:textId="77777777" w:rsidR="00511D86" w:rsidRPr="00511D86" w:rsidRDefault="00511D86" w:rsidP="00511D86">
            <w:pPr>
              <w:spacing w:before="0" w:after="0" w:line="240" w:lineRule="atLeast"/>
              <w:jc w:val="center"/>
              <w:rPr>
                <w:b/>
                <w:bCs/>
                <w:smallCaps/>
                <w:color w:val="000000"/>
                <w:sz w:val="22"/>
              </w:rPr>
            </w:pPr>
            <w:r w:rsidRPr="00511D86">
              <w:rPr>
                <w:b/>
                <w:bCs/>
                <w:smallCaps/>
                <w:color w:val="000000"/>
                <w:sz w:val="22"/>
              </w:rPr>
              <w:t>945</w:t>
            </w:r>
          </w:p>
        </w:tc>
      </w:tr>
    </w:tbl>
    <w:p w14:paraId="742D5EC7" w14:textId="214967DD" w:rsidR="008931B7" w:rsidRDefault="008931B7" w:rsidP="008931B7">
      <w:pPr>
        <w:spacing w:before="0" w:after="200" w:line="276" w:lineRule="auto"/>
        <w:contextualSpacing w:val="0"/>
        <w:jc w:val="left"/>
        <w:rPr>
          <w:rFonts w:asciiTheme="minorHAnsi" w:hAnsiTheme="minorHAnsi"/>
          <w:noProof/>
        </w:rPr>
      </w:pPr>
      <w:r w:rsidRPr="00C62639">
        <w:rPr>
          <w:rFonts w:asciiTheme="minorHAnsi" w:hAnsiTheme="minorHAnsi"/>
          <w:noProof/>
        </w:rPr>
        <w:t xml:space="preserve"> </w:t>
      </w:r>
    </w:p>
    <w:p w14:paraId="18224A1A" w14:textId="77777777" w:rsidR="000D0294" w:rsidRDefault="000D0294" w:rsidP="008931B7">
      <w:pPr>
        <w:spacing w:before="0" w:after="200" w:line="276" w:lineRule="auto"/>
        <w:contextualSpacing w:val="0"/>
        <w:jc w:val="left"/>
        <w:rPr>
          <w:rFonts w:asciiTheme="minorHAnsi" w:hAnsiTheme="minorHAnsi"/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1645"/>
        <w:gridCol w:w="1414"/>
        <w:gridCol w:w="968"/>
        <w:gridCol w:w="999"/>
        <w:gridCol w:w="997"/>
      </w:tblGrid>
      <w:tr w:rsidR="008931B7" w:rsidRPr="007C618D" w14:paraId="53807AEB" w14:textId="77777777" w:rsidTr="00007A20">
        <w:trPr>
          <w:trHeight w:val="600"/>
          <w:jc w:val="center"/>
        </w:trPr>
        <w:tc>
          <w:tcPr>
            <w:tcW w:w="1672" w:type="pct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B2195" w14:textId="5AD11FEA" w:rsidR="008931B7" w:rsidRPr="007C618D" w:rsidRDefault="00A407BC" w:rsidP="00007A20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000000"/>
                <w:sz w:val="22"/>
              </w:rPr>
              <w:t>KANALIZACE</w:t>
            </w: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br/>
              <w:t>ROZDĚLENÍ POROVNÁNÍ DO SKUPIN</w:t>
            </w:r>
          </w:p>
        </w:tc>
        <w:tc>
          <w:tcPr>
            <w:tcW w:w="3328" w:type="pct"/>
            <w:gridSpan w:val="5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42C9E" w14:textId="6C852292" w:rsidR="008931B7" w:rsidRPr="007C618D" w:rsidRDefault="00A407BC" w:rsidP="00007A20">
            <w:pPr>
              <w:spacing w:before="0" w:after="0" w:line="240" w:lineRule="atLeast"/>
              <w:jc w:val="righ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 xml:space="preserve">ZASTOUPENÍ PODLE MODELU PROVOZOVÁNÍ </w:t>
            </w:r>
          </w:p>
        </w:tc>
      </w:tr>
      <w:tr w:rsidR="008931B7" w:rsidRPr="007C618D" w14:paraId="16796217" w14:textId="77777777" w:rsidTr="00007A20">
        <w:trPr>
          <w:trHeight w:val="600"/>
          <w:jc w:val="center"/>
        </w:trPr>
        <w:tc>
          <w:tcPr>
            <w:tcW w:w="1672" w:type="pct"/>
            <w:tcBorders>
              <w:top w:val="nil"/>
              <w:left w:val="single" w:sz="8" w:space="0" w:color="ED7D31"/>
              <w:bottom w:val="single" w:sz="12" w:space="0" w:color="FFFFFF"/>
              <w:right w:val="single" w:sz="8" w:space="0" w:color="ED7D31"/>
            </w:tcBorders>
            <w:shd w:val="clear" w:color="ED7D31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87B31" w14:textId="3B444AE3" w:rsidR="008931B7" w:rsidRPr="007C618D" w:rsidRDefault="00A407BC" w:rsidP="00007A20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bCs/>
                <w:noProof/>
                <w:color w:val="FFFFFF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FFFFFF"/>
                <w:sz w:val="22"/>
              </w:rPr>
              <w:t>SKUPINA / MODEL PROVOZOVÁNÍ</w:t>
            </w:r>
          </w:p>
        </w:tc>
        <w:tc>
          <w:tcPr>
            <w:tcW w:w="909" w:type="pct"/>
            <w:tcBorders>
              <w:top w:val="nil"/>
              <w:left w:val="single" w:sz="8" w:space="0" w:color="ED7D31"/>
              <w:bottom w:val="single" w:sz="12" w:space="0" w:color="FFFFFF"/>
              <w:right w:val="single" w:sz="8" w:space="0" w:color="ED7D31"/>
            </w:tcBorders>
            <w:shd w:val="clear" w:color="ED7D31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B6E8" w14:textId="70AB59D9" w:rsidR="008931B7" w:rsidRPr="007C618D" w:rsidRDefault="00A407BC" w:rsidP="00007A20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bCs/>
                <w:noProof/>
                <w:color w:val="FFFFFF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FFFFFF"/>
                <w:sz w:val="22"/>
              </w:rPr>
              <w:t>POČET POROVNÁNÍ VE SKUPINĚ</w:t>
            </w:r>
          </w:p>
        </w:tc>
        <w:tc>
          <w:tcPr>
            <w:tcW w:w="78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7AD49" w14:textId="1B7672E1" w:rsidR="008931B7" w:rsidRPr="007C618D" w:rsidRDefault="00A407BC" w:rsidP="00007A20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  <w:t>KOMBINOVANÝ</w:t>
            </w:r>
          </w:p>
        </w:tc>
        <w:tc>
          <w:tcPr>
            <w:tcW w:w="535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FB38B" w14:textId="6E39F972" w:rsidR="008931B7" w:rsidRPr="007C618D" w:rsidRDefault="00A407BC" w:rsidP="00007A20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  <w:t>ODDÍLNÝ</w:t>
            </w:r>
          </w:p>
        </w:tc>
        <w:tc>
          <w:tcPr>
            <w:tcW w:w="55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</w:tcPr>
          <w:p w14:paraId="5B47B63C" w14:textId="07790FF7" w:rsidR="008931B7" w:rsidRPr="007C618D" w:rsidRDefault="00A407BC" w:rsidP="00007A20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  <w:t>ODDÍLNÝ SERVISNÍ SMLOUVA</w:t>
            </w:r>
          </w:p>
        </w:tc>
        <w:tc>
          <w:tcPr>
            <w:tcW w:w="55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ED7D31"/>
            </w:tcBorders>
            <w:shd w:val="clear" w:color="ED7D31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6F45C" w14:textId="4CC1612D" w:rsidR="008931B7" w:rsidRPr="007C618D" w:rsidRDefault="00A407BC" w:rsidP="00007A20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FFFFFF"/>
                <w:sz w:val="20"/>
              </w:rPr>
              <w:t>SMÍŠENÝ</w:t>
            </w:r>
          </w:p>
        </w:tc>
      </w:tr>
      <w:tr w:rsidR="00F85683" w:rsidRPr="007C618D" w14:paraId="76BEFDD1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B8B6" w14:textId="40798C84" w:rsidR="00F85683" w:rsidRPr="007C618D" w:rsidRDefault="00A407BC" w:rsidP="00F85683">
            <w:pPr>
              <w:spacing w:before="0" w:after="0" w:line="240" w:lineRule="atLeas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I.SKUPINA(&gt;500 000PŘ.OB.)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F0C56" w14:textId="1D8B885C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92081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09F7F" w14:textId="139E9587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</w:tcPr>
          <w:p w14:paraId="6D83B28A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53C16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F85683" w:rsidRPr="007C618D" w14:paraId="3901D5A3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C3570" w14:textId="7FFD9257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II.SKUPINA(&gt;200 000PŘ.OB.)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ABC91" w14:textId="6EB1025C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0C6F7" w14:textId="0081219A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DC5BA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</w:tcPr>
          <w:p w14:paraId="43573BCC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DE90A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F85683" w:rsidRPr="007C618D" w14:paraId="75C2413D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DA01D" w14:textId="1F4F6174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III.SKUPINA(&gt;100 000PŘ.OB.)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44078" w14:textId="7F3699FE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8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9FD74" w14:textId="68385291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5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D3E61" w14:textId="31BAE4FC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</w:tcPr>
          <w:p w14:paraId="289EF704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71DE1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F85683" w:rsidRPr="007C618D" w14:paraId="762396ED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DAEC8" w14:textId="210EBDF3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IV.SKUPINA(&gt;50 000PŘ.OB.)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6FE9C" w14:textId="23923BF0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19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252E1" w14:textId="1ED3D065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8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26206" w14:textId="5EA96510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11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</w:tcPr>
          <w:p w14:paraId="0A374352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E4AAE" w14:textId="77777777" w:rsidR="00F85683" w:rsidRPr="007C618D" w:rsidRDefault="00F85683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F85683" w:rsidRPr="007C618D" w14:paraId="5ECE7FF9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1F842" w14:textId="720AF7C9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V.SKUPINA(&gt;10 000PŘ.OB.)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DE70D" w14:textId="47EF80E4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52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5A6DA" w14:textId="42BD4186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15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EDDD3" w14:textId="7A8CC1A1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32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</w:tcPr>
          <w:p w14:paraId="4080BF52" w14:textId="1A1FDB2D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87433" w14:textId="3FF3D8FD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</w:t>
            </w:r>
          </w:p>
        </w:tc>
      </w:tr>
      <w:tr w:rsidR="00F85683" w:rsidRPr="007C618D" w14:paraId="0CE3756A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05D2F" w14:textId="6B8A1A22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VI.SKUPINA(&gt;1 000PŘ.OB.)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392DE" w14:textId="69A6299C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507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60A5D" w14:textId="13DF19DF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31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88913" w14:textId="48EE7FDA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257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</w:tcPr>
          <w:p w14:paraId="4C6F57F9" w14:textId="53014276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18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EBC87" w14:textId="5473FEE8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201</w:t>
            </w:r>
          </w:p>
        </w:tc>
      </w:tr>
      <w:tr w:rsidR="00F85683" w:rsidRPr="007C618D" w14:paraId="0D43F2E1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2C57" w14:textId="02F3EDB6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VII.SKUPINA(&gt;300PŘ.OB.)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DCE5D" w14:textId="2073C188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945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28793" w14:textId="5264706A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17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7D84F" w14:textId="20D03A91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261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</w:tcPr>
          <w:p w14:paraId="00123A9A" w14:textId="5812A003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62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EC8A3" w14:textId="2E0FC384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605</w:t>
            </w:r>
          </w:p>
        </w:tc>
      </w:tr>
      <w:tr w:rsidR="00F85683" w:rsidRPr="007C618D" w14:paraId="18CA6021" w14:textId="77777777" w:rsidTr="00007A20">
        <w:trPr>
          <w:trHeight w:val="300"/>
          <w:jc w:val="center"/>
        </w:trPr>
        <w:tc>
          <w:tcPr>
            <w:tcW w:w="1672" w:type="pct"/>
            <w:tcBorders>
              <w:top w:val="single" w:sz="4" w:space="0" w:color="FFFFFF"/>
              <w:left w:val="single" w:sz="8" w:space="0" w:color="ED7D31"/>
              <w:bottom w:val="single" w:sz="4" w:space="0" w:color="F79646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64CE" w14:textId="150CBA68" w:rsidR="00F85683" w:rsidRPr="007C618D" w:rsidRDefault="00A407BC" w:rsidP="00F85683">
            <w:pPr>
              <w:spacing w:before="0" w:after="0" w:line="240" w:lineRule="atLeast"/>
              <w:jc w:val="left"/>
              <w:rPr>
                <w:rFonts w:asciiTheme="majorHAnsi" w:hAnsiTheme="majorHAnsi" w:cstheme="majorHAnsi"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noProof/>
                <w:color w:val="000000"/>
                <w:sz w:val="22"/>
              </w:rPr>
              <w:t>VIII.SKUPINA(&lt;300PŘ.OB.)</w:t>
            </w:r>
          </w:p>
        </w:tc>
        <w:tc>
          <w:tcPr>
            <w:tcW w:w="909" w:type="pct"/>
            <w:tcBorders>
              <w:top w:val="single" w:sz="4" w:space="0" w:color="FFFFFF"/>
              <w:left w:val="single" w:sz="8" w:space="0" w:color="ED7D31"/>
              <w:bottom w:val="single" w:sz="4" w:space="0" w:color="F79646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CD5C2" w14:textId="5D999593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907</w:t>
            </w:r>
          </w:p>
        </w:tc>
        <w:tc>
          <w:tcPr>
            <w:tcW w:w="781" w:type="pct"/>
            <w:tcBorders>
              <w:top w:val="single" w:sz="4" w:space="0" w:color="FFFFFF"/>
              <w:left w:val="single" w:sz="4" w:space="0" w:color="FFFFFF"/>
              <w:bottom w:val="single" w:sz="4" w:space="0" w:color="F79646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11951" w14:textId="2F181DB3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535" w:type="pct"/>
            <w:tcBorders>
              <w:top w:val="single" w:sz="4" w:space="0" w:color="FFFFFF"/>
              <w:left w:val="single" w:sz="4" w:space="0" w:color="FFFFFF"/>
              <w:bottom w:val="single" w:sz="4" w:space="0" w:color="F79646"/>
              <w:right w:val="single" w:sz="4" w:space="0" w:color="FFFFFF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51ED9" w14:textId="41F98B0D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137</w:t>
            </w:r>
          </w:p>
        </w:tc>
        <w:tc>
          <w:tcPr>
            <w:tcW w:w="552" w:type="pct"/>
            <w:tcBorders>
              <w:top w:val="single" w:sz="4" w:space="0" w:color="FFFFFF"/>
              <w:left w:val="single" w:sz="4" w:space="0" w:color="FFFFFF"/>
              <w:bottom w:val="single" w:sz="4" w:space="0" w:color="F79646"/>
              <w:right w:val="single" w:sz="4" w:space="0" w:color="FFFFFF"/>
            </w:tcBorders>
            <w:shd w:val="clear" w:color="FCE4D6" w:fill="FCE4D6"/>
          </w:tcPr>
          <w:p w14:paraId="387D48A5" w14:textId="5F1867D4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96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79646"/>
              <w:right w:val="single" w:sz="8" w:space="0" w:color="ED7D31"/>
            </w:tcBorders>
            <w:shd w:val="clear" w:color="FCE4D6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8A54D" w14:textId="231050F4" w:rsidR="00F85683" w:rsidRPr="007C618D" w:rsidRDefault="00A407BC" w:rsidP="00F856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7C618D">
              <w:rPr>
                <w:rFonts w:asciiTheme="majorHAnsi" w:hAnsiTheme="majorHAnsi" w:cstheme="majorHAnsi"/>
                <w:sz w:val="22"/>
              </w:rPr>
              <w:t>671</w:t>
            </w:r>
          </w:p>
        </w:tc>
      </w:tr>
      <w:tr w:rsidR="00F85683" w:rsidRPr="007C618D" w14:paraId="2D8125A4" w14:textId="77777777" w:rsidTr="00007A20">
        <w:trPr>
          <w:trHeight w:val="315"/>
          <w:jc w:val="center"/>
        </w:trPr>
        <w:tc>
          <w:tcPr>
            <w:tcW w:w="1672" w:type="pct"/>
            <w:tcBorders>
              <w:top w:val="single" w:sz="4" w:space="0" w:color="F79646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68DB5" w14:textId="12ADE961" w:rsidR="00F85683" w:rsidRPr="007C618D" w:rsidRDefault="00A407BC" w:rsidP="00F85683">
            <w:pPr>
              <w:spacing w:before="0" w:after="0" w:line="240" w:lineRule="atLeast"/>
              <w:jc w:val="right"/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7C618D">
              <w:rPr>
                <w:rFonts w:asciiTheme="majorHAnsi" w:hAnsiTheme="majorHAnsi" w:cstheme="majorHAnsi"/>
                <w:b/>
                <w:bCs/>
                <w:noProof/>
                <w:color w:val="000000"/>
                <w:sz w:val="22"/>
              </w:rPr>
              <w:t>CELKOVÝ SOUČET</w:t>
            </w:r>
          </w:p>
        </w:tc>
        <w:tc>
          <w:tcPr>
            <w:tcW w:w="909" w:type="pct"/>
            <w:tcBorders>
              <w:top w:val="single" w:sz="4" w:space="0" w:color="F79646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729AE" w14:textId="6626F3E8" w:rsidR="00F85683" w:rsidRPr="007C618D" w:rsidRDefault="00A407BC" w:rsidP="00F85683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</w:rPr>
            </w:pPr>
            <w:r w:rsidRPr="007C618D">
              <w:rPr>
                <w:rFonts w:asciiTheme="majorHAnsi" w:hAnsiTheme="majorHAnsi" w:cstheme="majorHAnsi"/>
                <w:b/>
                <w:sz w:val="22"/>
              </w:rPr>
              <w:t>2443</w:t>
            </w:r>
          </w:p>
        </w:tc>
        <w:tc>
          <w:tcPr>
            <w:tcW w:w="781" w:type="pct"/>
            <w:tcBorders>
              <w:top w:val="single" w:sz="4" w:space="0" w:color="F79646"/>
              <w:left w:val="single" w:sz="4" w:space="0" w:color="FFFFFF"/>
              <w:bottom w:val="single" w:sz="8" w:space="0" w:color="ED7D31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6B247" w14:textId="55652787" w:rsidR="00F85683" w:rsidRPr="007C618D" w:rsidRDefault="00A407BC" w:rsidP="00F85683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C618D">
              <w:rPr>
                <w:rFonts w:asciiTheme="majorHAnsi" w:hAnsiTheme="majorHAnsi" w:cstheme="majorHAnsi"/>
                <w:b/>
                <w:sz w:val="22"/>
              </w:rPr>
              <w:t>82</w:t>
            </w:r>
          </w:p>
        </w:tc>
        <w:tc>
          <w:tcPr>
            <w:tcW w:w="535" w:type="pct"/>
            <w:tcBorders>
              <w:top w:val="single" w:sz="4" w:space="0" w:color="F79646"/>
              <w:left w:val="single" w:sz="4" w:space="0" w:color="FFFFFF"/>
              <w:bottom w:val="single" w:sz="8" w:space="0" w:color="ED7D31"/>
              <w:right w:val="single" w:sz="4" w:space="0" w:color="FFFFFF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2453B" w14:textId="3535F22F" w:rsidR="00F85683" w:rsidRPr="007C618D" w:rsidRDefault="00A407BC" w:rsidP="00F85683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C618D">
              <w:rPr>
                <w:rFonts w:asciiTheme="majorHAnsi" w:hAnsiTheme="majorHAnsi" w:cstheme="majorHAnsi"/>
                <w:b/>
                <w:sz w:val="22"/>
              </w:rPr>
              <w:t>703</w:t>
            </w:r>
          </w:p>
        </w:tc>
        <w:tc>
          <w:tcPr>
            <w:tcW w:w="552" w:type="pct"/>
            <w:tcBorders>
              <w:top w:val="single" w:sz="4" w:space="0" w:color="F79646"/>
              <w:left w:val="single" w:sz="4" w:space="0" w:color="FFFFFF"/>
              <w:bottom w:val="single" w:sz="8" w:space="0" w:color="ED7D31"/>
              <w:right w:val="single" w:sz="4" w:space="0" w:color="FFFFFF"/>
            </w:tcBorders>
            <w:shd w:val="clear" w:color="F8CBAD" w:fill="F8CBAD"/>
          </w:tcPr>
          <w:p w14:paraId="10A6B098" w14:textId="0DCDFE1D" w:rsidR="00F85683" w:rsidRPr="007C618D" w:rsidRDefault="00A407BC" w:rsidP="00F85683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C618D">
              <w:rPr>
                <w:rFonts w:asciiTheme="majorHAnsi" w:hAnsiTheme="majorHAnsi" w:cstheme="majorHAnsi"/>
                <w:b/>
                <w:sz w:val="22"/>
              </w:rPr>
              <w:t>178</w:t>
            </w:r>
          </w:p>
        </w:tc>
        <w:tc>
          <w:tcPr>
            <w:tcW w:w="551" w:type="pct"/>
            <w:tcBorders>
              <w:top w:val="single" w:sz="4" w:space="0" w:color="F79646"/>
              <w:left w:val="single" w:sz="4" w:space="0" w:color="FFFFFF"/>
              <w:bottom w:val="single" w:sz="8" w:space="0" w:color="ED7D31"/>
              <w:right w:val="single" w:sz="8" w:space="0" w:color="ED7D31"/>
            </w:tcBorders>
            <w:shd w:val="clear" w:color="F8CBAD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1679F" w14:textId="6828EDA7" w:rsidR="00F85683" w:rsidRPr="007C618D" w:rsidRDefault="00A407BC" w:rsidP="00F85683">
            <w:pPr>
              <w:spacing w:before="0" w:after="0" w:line="240" w:lineRule="atLeast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C618D">
              <w:rPr>
                <w:rFonts w:asciiTheme="majorHAnsi" w:hAnsiTheme="majorHAnsi" w:cstheme="majorHAnsi"/>
                <w:b/>
                <w:sz w:val="22"/>
              </w:rPr>
              <w:t>1480</w:t>
            </w:r>
          </w:p>
        </w:tc>
      </w:tr>
    </w:tbl>
    <w:p w14:paraId="4E8DC71D" w14:textId="71951E12" w:rsidR="00BE54E2" w:rsidRDefault="008931B7" w:rsidP="00BE54E2">
      <w:pPr>
        <w:spacing w:before="0" w:after="200" w:line="276" w:lineRule="auto"/>
        <w:contextualSpacing w:val="0"/>
        <w:jc w:val="left"/>
        <w:rPr>
          <w:rFonts w:asciiTheme="minorHAnsi" w:hAnsiTheme="minorHAnsi"/>
          <w:noProof/>
        </w:rPr>
      </w:pPr>
      <w:r w:rsidRPr="00C62639">
        <w:rPr>
          <w:rFonts w:asciiTheme="minorHAnsi" w:hAnsiTheme="minorHAnsi"/>
          <w:noProof/>
        </w:rPr>
        <w:t xml:space="preserve"> </w:t>
      </w:r>
      <w:bookmarkStart w:id="39" w:name="_Toc963459"/>
    </w:p>
    <w:p w14:paraId="00AF79E0" w14:textId="2848B6EE" w:rsidR="000D0294" w:rsidRDefault="000D0294" w:rsidP="00BE54E2">
      <w:pPr>
        <w:spacing w:before="0" w:after="200" w:line="276" w:lineRule="auto"/>
        <w:contextualSpacing w:val="0"/>
        <w:jc w:val="left"/>
        <w:rPr>
          <w:rFonts w:asciiTheme="minorHAnsi" w:hAnsiTheme="minorHAnsi"/>
          <w:noProof/>
        </w:rPr>
      </w:pPr>
    </w:p>
    <w:p w14:paraId="089E9976" w14:textId="77777777" w:rsidR="000D0294" w:rsidRDefault="000D0294" w:rsidP="00BE54E2">
      <w:pPr>
        <w:spacing w:before="0" w:after="200" w:line="276" w:lineRule="auto"/>
        <w:contextualSpacing w:val="0"/>
        <w:jc w:val="left"/>
        <w:rPr>
          <w:rFonts w:asciiTheme="minorHAnsi" w:hAnsiTheme="minorHAnsi"/>
          <w:noProof/>
        </w:rPr>
      </w:pPr>
    </w:p>
    <w:p w14:paraId="301C88C4" w14:textId="77777777" w:rsidR="008931B7" w:rsidRDefault="008931B7" w:rsidP="003D6281">
      <w:pPr>
        <w:pStyle w:val="Nadpis2"/>
        <w:rPr>
          <w:noProof/>
        </w:rPr>
      </w:pPr>
      <w:bookmarkStart w:id="40" w:name="_Toc34210382"/>
      <w:r>
        <w:rPr>
          <w:noProof/>
        </w:rPr>
        <w:lastRenderedPageBreak/>
        <w:t>Seznam a způsob identifikace hodnocených anomálií</w:t>
      </w:r>
      <w:bookmarkEnd w:id="40"/>
      <w:r>
        <w:rPr>
          <w:noProof/>
        </w:rPr>
        <w:t xml:space="preserve"> </w:t>
      </w:r>
      <w:bookmarkEnd w:id="39"/>
    </w:p>
    <w:p w14:paraId="51B789E3" w14:textId="0F555AE6" w:rsidR="00A054B8" w:rsidRDefault="00A054B8" w:rsidP="00A054B8">
      <w:pPr>
        <w:pStyle w:val="NORMLN0"/>
      </w:pPr>
      <w:r>
        <w:t>Aby byl</w:t>
      </w:r>
      <w:r w:rsidR="00962A95">
        <w:t>o </w:t>
      </w:r>
      <w:r>
        <w:t xml:space="preserve">možné </w:t>
      </w:r>
      <w:r w:rsidR="00962A95">
        <w:t>na </w:t>
      </w:r>
      <w:r>
        <w:t>základě provedených analý</w:t>
      </w:r>
      <w:r w:rsidR="00962A95">
        <w:t>z </w:t>
      </w:r>
      <w:r>
        <w:t>přijmout relevantní závěry, byl</w:t>
      </w:r>
      <w:r w:rsidR="00962A95">
        <w:t>o </w:t>
      </w:r>
      <w:r>
        <w:t xml:space="preserve">třeba stanovit mezní hodnoty </w:t>
      </w:r>
      <w:r w:rsidRPr="00BF56FA">
        <w:t>ukazatelů</w:t>
      </w:r>
      <w:r>
        <w:t xml:space="preserve"> použitých </w:t>
      </w:r>
      <w:r w:rsidR="00962A95">
        <w:t>k </w:t>
      </w:r>
      <w:r>
        <w:t xml:space="preserve">identifikaci některých anomálií. Seznamy </w:t>
      </w:r>
      <w:r w:rsidR="0067301C">
        <w:t>anomálií a mezní</w:t>
      </w:r>
      <w:r>
        <w:t xml:space="preserve"> hodnoty jsou uvedeny </w:t>
      </w:r>
      <w:r w:rsidR="00962A95">
        <w:t>v </w:t>
      </w:r>
      <w:r>
        <w:t>tabulce níže.</w:t>
      </w:r>
    </w:p>
    <w:p w14:paraId="0931BCA2" w14:textId="77777777" w:rsidR="00A054B8" w:rsidRPr="0067301C" w:rsidRDefault="00A054B8" w:rsidP="0067301C">
      <w:pPr>
        <w:pStyle w:val="Nadpis3"/>
      </w:pPr>
      <w:bookmarkStart w:id="41" w:name="_Toc34210383"/>
      <w:r>
        <w:t>B</w:t>
      </w:r>
      <w:r w:rsidRPr="00A054B8">
        <w:t>enchmarking vlastnických subjektů</w:t>
      </w:r>
      <w:bookmarkEnd w:id="41"/>
    </w:p>
    <w:p w14:paraId="541E4D4B" w14:textId="77777777" w:rsidR="008931B7" w:rsidRDefault="008931B7" w:rsidP="008931B7"/>
    <w:p w14:paraId="29882A29" w14:textId="77777777" w:rsidR="008931B7" w:rsidRPr="0067301C" w:rsidRDefault="008931B7" w:rsidP="008931B7">
      <w:r w:rsidRPr="0067301C">
        <w:t>Vodovod</w:t>
      </w: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1267"/>
        <w:gridCol w:w="2064"/>
        <w:gridCol w:w="1653"/>
        <w:gridCol w:w="1427"/>
        <w:gridCol w:w="977"/>
      </w:tblGrid>
      <w:tr w:rsidR="008931B7" w:rsidRPr="00001200" w14:paraId="595F5A73" w14:textId="77777777" w:rsidTr="00F60E69">
        <w:trPr>
          <w:trHeight w:val="1988"/>
        </w:trPr>
        <w:tc>
          <w:tcPr>
            <w:tcW w:w="223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BACC6" w:fill="4BACC6"/>
            <w:vAlign w:val="center"/>
            <w:hideMark/>
          </w:tcPr>
          <w:p w14:paraId="67C640A8" w14:textId="77777777" w:rsidR="008931B7" w:rsidRPr="00001200" w:rsidRDefault="008931B7" w:rsidP="00007A2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VLASTNICKÝ</w:t>
            </w:r>
          </w:p>
        </w:tc>
        <w:tc>
          <w:tcPr>
            <w:tcW w:w="126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BACC6" w:fill="4BACC6"/>
            <w:textDirection w:val="btLr"/>
            <w:vAlign w:val="bottom"/>
            <w:hideMark/>
          </w:tcPr>
          <w:p w14:paraId="3BAB5E19" w14:textId="2221DA99" w:rsidR="008931B7" w:rsidRPr="00001200" w:rsidRDefault="008931B7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NÍZKÁ CE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PRO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VODNÉ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 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(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ÚROVNI 10% PERCENTILU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CELÉH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O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SOUBORU DAT)</w:t>
            </w:r>
          </w:p>
        </w:tc>
        <w:tc>
          <w:tcPr>
            <w:tcW w:w="206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BACC6" w:fill="4BACC6"/>
            <w:textDirection w:val="btLr"/>
            <w:vAlign w:val="bottom"/>
            <w:hideMark/>
          </w:tcPr>
          <w:p w14:paraId="3845C298" w14:textId="7AFDAD78" w:rsidR="008931B7" w:rsidRPr="00001200" w:rsidRDefault="008931B7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PODÍL KALKULAČNÍH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O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ZISKU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K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ROZDĚLENÍ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ÚVN (BE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ČÁSTI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OBNOVU A ROZVOJ) (HODNOTA VÍCE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NEŽ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K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MEDIÁNU SKUPINY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POROVNÁNÍ S KLADNÝM KALKULAČNÍM ZISKEM)</w:t>
            </w:r>
          </w:p>
        </w:tc>
        <w:tc>
          <w:tcPr>
            <w:tcW w:w="165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BACC6" w:fill="4BACC6"/>
            <w:textDirection w:val="btLr"/>
            <w:vAlign w:val="bottom"/>
            <w:hideMark/>
          </w:tcPr>
          <w:p w14:paraId="67470F11" w14:textId="2E8CB324" w:rsidR="008931B7" w:rsidRPr="00001200" w:rsidRDefault="008931B7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VYSOKÉ ZTRÁTY VODY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1 KM PŘEPOČTENÉ DÉLKY VODOVODNÍH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O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ŘADU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DEN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V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M3/KM/DEN (PŘEVYŠUJE 1,5 NÁSOBE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K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MEDIÁNU SKUPINY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POROVNÁNÍ VYKAZUJÍCÍCH ZTRÁTY VODY NAD 4 M3/KM/DEN)</w:t>
            </w:r>
          </w:p>
        </w:tc>
        <w:tc>
          <w:tcPr>
            <w:tcW w:w="142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BACC6" w:fill="4BACC6"/>
            <w:textDirection w:val="btLr"/>
            <w:vAlign w:val="bottom"/>
            <w:hideMark/>
          </w:tcPr>
          <w:p w14:paraId="2C19F4D1" w14:textId="1D62540A" w:rsidR="008931B7" w:rsidRPr="00001200" w:rsidRDefault="008931B7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NEFAKTUROVANÉ VODY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KM PŘEPOČTENÉ DÉLKY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V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M3/KM/DEN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 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- VV07(PŘEVYŠUJE 1,5 NÁSOBE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K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MEDIÁNU SKUPINY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POROVNÁNÍ VYKAZUJÍCÍCH ZTRÁTY VODY NAD 4 M3/KM/DEN - VV10)</w:t>
            </w:r>
          </w:p>
        </w:tc>
        <w:tc>
          <w:tcPr>
            <w:tcW w:w="97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BACC6" w:fill="4BACC6"/>
            <w:textDirection w:val="btLr"/>
            <w:vAlign w:val="bottom"/>
            <w:hideMark/>
          </w:tcPr>
          <w:p w14:paraId="7AD1B024" w14:textId="06658B27" w:rsidR="008931B7" w:rsidRPr="00001200" w:rsidRDefault="008931B7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POČET PORUCH/KM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 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- 1,5NÁS MEDIÁNU SKUPINY 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00120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POROVNÁNÍ S NULOVÝM POČTEM PORUCH</w:t>
            </w:r>
          </w:p>
        </w:tc>
      </w:tr>
      <w:tr w:rsidR="0067301C" w:rsidRPr="00001200" w14:paraId="014D0003" w14:textId="77777777" w:rsidTr="0067301C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7DEE8" w:fill="B7DEE8"/>
            <w:vAlign w:val="center"/>
            <w:hideMark/>
          </w:tcPr>
          <w:p w14:paraId="3A1DD3E8" w14:textId="10C2987C" w:rsidR="0067301C" w:rsidRPr="00001200" w:rsidRDefault="0067301C" w:rsidP="006730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(&gt;10 000 MIL.KČ)</w:t>
            </w:r>
          </w:p>
        </w:tc>
        <w:tc>
          <w:tcPr>
            <w:tcW w:w="1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vAlign w:val="center"/>
            <w:hideMark/>
          </w:tcPr>
          <w:p w14:paraId="255734DD" w14:textId="77777777" w:rsidR="0067301C" w:rsidRPr="00001200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14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1D93C400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16,27</w:t>
            </w:r>
          </w:p>
        </w:tc>
        <w:tc>
          <w:tcPr>
            <w:tcW w:w="16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48D2F2F1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6,96</w:t>
            </w:r>
          </w:p>
        </w:tc>
        <w:tc>
          <w:tcPr>
            <w:tcW w:w="1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5FBED134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8,24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7DEE8" w:fill="B7DEE8"/>
            <w:hideMark/>
          </w:tcPr>
          <w:p w14:paraId="366CA6EF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1,12</w:t>
            </w:r>
          </w:p>
        </w:tc>
      </w:tr>
      <w:tr w:rsidR="0067301C" w:rsidRPr="00001200" w14:paraId="479058CF" w14:textId="77777777" w:rsidTr="0067301C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AEEF3" w:fill="DAEEF3"/>
            <w:vAlign w:val="center"/>
            <w:hideMark/>
          </w:tcPr>
          <w:p w14:paraId="020616C3" w14:textId="552F665A" w:rsidR="0067301C" w:rsidRPr="00001200" w:rsidRDefault="0067301C" w:rsidP="006730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(&gt;1 000 MIL.KČ)</w:t>
            </w:r>
          </w:p>
        </w:tc>
        <w:tc>
          <w:tcPr>
            <w:tcW w:w="1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vAlign w:val="center"/>
            <w:hideMark/>
          </w:tcPr>
          <w:p w14:paraId="3EA3D5A3" w14:textId="77777777" w:rsidR="0067301C" w:rsidRPr="00001200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14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hideMark/>
          </w:tcPr>
          <w:p w14:paraId="2E47A64B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7,63</w:t>
            </w:r>
          </w:p>
        </w:tc>
        <w:tc>
          <w:tcPr>
            <w:tcW w:w="16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hideMark/>
          </w:tcPr>
          <w:p w14:paraId="0DC34ED6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8,69</w:t>
            </w:r>
          </w:p>
        </w:tc>
        <w:tc>
          <w:tcPr>
            <w:tcW w:w="1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hideMark/>
          </w:tcPr>
          <w:p w14:paraId="18B41514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9,80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AEEF3" w:fill="DAEEF3"/>
            <w:hideMark/>
          </w:tcPr>
          <w:p w14:paraId="4F994F9F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0,54</w:t>
            </w:r>
          </w:p>
        </w:tc>
      </w:tr>
      <w:tr w:rsidR="0067301C" w:rsidRPr="00001200" w14:paraId="3F39601C" w14:textId="77777777" w:rsidTr="0067301C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7DEE8" w:fill="B7DEE8"/>
            <w:vAlign w:val="center"/>
            <w:hideMark/>
          </w:tcPr>
          <w:p w14:paraId="07ABD312" w14:textId="56EA6E37" w:rsidR="0067301C" w:rsidRPr="00001200" w:rsidRDefault="0067301C" w:rsidP="006730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(&gt;100 MIL.KČ)</w:t>
            </w:r>
          </w:p>
        </w:tc>
        <w:tc>
          <w:tcPr>
            <w:tcW w:w="1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vAlign w:val="center"/>
            <w:hideMark/>
          </w:tcPr>
          <w:p w14:paraId="65CD1328" w14:textId="77777777" w:rsidR="0067301C" w:rsidRPr="00001200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14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0764D986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9,07</w:t>
            </w:r>
          </w:p>
        </w:tc>
        <w:tc>
          <w:tcPr>
            <w:tcW w:w="16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42F9A40D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15,66</w:t>
            </w:r>
          </w:p>
        </w:tc>
        <w:tc>
          <w:tcPr>
            <w:tcW w:w="1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7E174D4D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9,61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7DEE8" w:fill="B7DEE8"/>
            <w:hideMark/>
          </w:tcPr>
          <w:p w14:paraId="5EFD8738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0,43</w:t>
            </w:r>
          </w:p>
        </w:tc>
      </w:tr>
      <w:tr w:rsidR="0067301C" w:rsidRPr="00001200" w14:paraId="0E7561BC" w14:textId="77777777" w:rsidTr="0067301C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AEEF3" w:fill="DAEEF3"/>
            <w:vAlign w:val="center"/>
            <w:hideMark/>
          </w:tcPr>
          <w:p w14:paraId="1728FA2D" w14:textId="7A29590E" w:rsidR="0067301C" w:rsidRPr="00001200" w:rsidRDefault="0067301C" w:rsidP="006730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(&gt;10 MIL.KČ)</w:t>
            </w:r>
          </w:p>
        </w:tc>
        <w:tc>
          <w:tcPr>
            <w:tcW w:w="1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vAlign w:val="center"/>
            <w:hideMark/>
          </w:tcPr>
          <w:p w14:paraId="1A124852" w14:textId="77777777" w:rsidR="0067301C" w:rsidRPr="00001200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14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hideMark/>
          </w:tcPr>
          <w:p w14:paraId="4A6D3F90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11,78</w:t>
            </w:r>
          </w:p>
        </w:tc>
        <w:tc>
          <w:tcPr>
            <w:tcW w:w="16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hideMark/>
          </w:tcPr>
          <w:p w14:paraId="5C2C65FB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8,99</w:t>
            </w:r>
          </w:p>
        </w:tc>
        <w:tc>
          <w:tcPr>
            <w:tcW w:w="1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AEEF3" w:fill="DAEEF3"/>
            <w:hideMark/>
          </w:tcPr>
          <w:p w14:paraId="2E5132E3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9,91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AEEF3" w:fill="DAEEF3"/>
            <w:hideMark/>
          </w:tcPr>
          <w:p w14:paraId="7C1A0D19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0,51</w:t>
            </w:r>
          </w:p>
        </w:tc>
      </w:tr>
      <w:tr w:rsidR="0067301C" w:rsidRPr="00001200" w14:paraId="45825AD0" w14:textId="77777777" w:rsidTr="0067301C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7DEE8" w:fill="B7DEE8"/>
            <w:vAlign w:val="center"/>
            <w:hideMark/>
          </w:tcPr>
          <w:p w14:paraId="48332145" w14:textId="0689D238" w:rsidR="0067301C" w:rsidRPr="00001200" w:rsidRDefault="0067301C" w:rsidP="006730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 MIL.KČ)</w:t>
            </w:r>
          </w:p>
        </w:tc>
        <w:tc>
          <w:tcPr>
            <w:tcW w:w="1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vAlign w:val="center"/>
            <w:hideMark/>
          </w:tcPr>
          <w:p w14:paraId="6C9021D7" w14:textId="77777777" w:rsidR="0067301C" w:rsidRPr="00001200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14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706F23C6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9,88</w:t>
            </w:r>
          </w:p>
        </w:tc>
        <w:tc>
          <w:tcPr>
            <w:tcW w:w="16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72BC47B5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10,35</w:t>
            </w:r>
          </w:p>
        </w:tc>
        <w:tc>
          <w:tcPr>
            <w:tcW w:w="1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7DEE8" w:fill="B7DEE8"/>
            <w:hideMark/>
          </w:tcPr>
          <w:p w14:paraId="3C17D06F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11,62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7DEE8" w:fill="B7DEE8"/>
            <w:hideMark/>
          </w:tcPr>
          <w:p w14:paraId="78A3F887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0,93</w:t>
            </w:r>
          </w:p>
        </w:tc>
      </w:tr>
      <w:tr w:rsidR="0067301C" w:rsidRPr="00001200" w14:paraId="1C4CFC03" w14:textId="77777777" w:rsidTr="0067301C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AEEF3" w:fill="DAEEF3"/>
            <w:vAlign w:val="center"/>
            <w:hideMark/>
          </w:tcPr>
          <w:p w14:paraId="34E2BC7F" w14:textId="22ADB067" w:rsidR="0067301C" w:rsidRPr="00001200" w:rsidRDefault="0067301C" w:rsidP="006730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VI.SKUPI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(&lt;1 MIL.KČ)</w:t>
            </w:r>
          </w:p>
        </w:tc>
        <w:tc>
          <w:tcPr>
            <w:tcW w:w="12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AEEF3" w:fill="DAEEF3"/>
            <w:vAlign w:val="center"/>
            <w:hideMark/>
          </w:tcPr>
          <w:p w14:paraId="7966334B" w14:textId="77777777" w:rsidR="0067301C" w:rsidRPr="00001200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001200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14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AEEF3" w:fill="DAEEF3"/>
            <w:hideMark/>
          </w:tcPr>
          <w:p w14:paraId="60CAB84F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4,73</w:t>
            </w:r>
          </w:p>
        </w:tc>
        <w:tc>
          <w:tcPr>
            <w:tcW w:w="165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AEEF3" w:fill="DAEEF3"/>
            <w:hideMark/>
          </w:tcPr>
          <w:p w14:paraId="5C0D9679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14,74</w:t>
            </w:r>
          </w:p>
        </w:tc>
        <w:tc>
          <w:tcPr>
            <w:tcW w:w="142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AEEF3" w:fill="DAEEF3"/>
            <w:hideMark/>
          </w:tcPr>
          <w:p w14:paraId="10528FC1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14,74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AEEF3" w:fill="DAEEF3"/>
            <w:hideMark/>
          </w:tcPr>
          <w:p w14:paraId="4A6192E3" w14:textId="77777777" w:rsidR="0067301C" w:rsidRPr="0067301C" w:rsidRDefault="0067301C" w:rsidP="0067301C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18"/>
              </w:rPr>
            </w:pPr>
            <w:r w:rsidRPr="0067301C">
              <w:rPr>
                <w:rFonts w:ascii="Calibri Light" w:hAnsi="Calibri Light" w:cs="Calibri Light"/>
                <w:color w:val="000000"/>
                <w:sz w:val="18"/>
              </w:rPr>
              <w:t>1,78</w:t>
            </w:r>
          </w:p>
        </w:tc>
      </w:tr>
    </w:tbl>
    <w:p w14:paraId="506CC7FF" w14:textId="77777777" w:rsidR="008931B7" w:rsidRDefault="008931B7" w:rsidP="008931B7"/>
    <w:p w14:paraId="7841515B" w14:textId="77777777" w:rsidR="008931B7" w:rsidRDefault="008931B7" w:rsidP="008931B7"/>
    <w:p w14:paraId="7C929A7F" w14:textId="18497FC3" w:rsidR="008931B7" w:rsidRDefault="008931B7" w:rsidP="000D0294">
      <w:pPr>
        <w:spacing w:before="0" w:after="160" w:line="259" w:lineRule="auto"/>
        <w:contextualSpacing w:val="0"/>
        <w:jc w:val="left"/>
      </w:pPr>
      <w:r>
        <w:t>Kanalizace</w:t>
      </w:r>
    </w:p>
    <w:tbl>
      <w:tblPr>
        <w:tblW w:w="7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1168"/>
        <w:gridCol w:w="1872"/>
        <w:gridCol w:w="1916"/>
      </w:tblGrid>
      <w:tr w:rsidR="009D5C66" w:rsidRPr="00B554EC" w14:paraId="38DCE7E0" w14:textId="77777777" w:rsidTr="009D5C66">
        <w:trPr>
          <w:trHeight w:val="2328"/>
        </w:trPr>
        <w:tc>
          <w:tcPr>
            <w:tcW w:w="223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vAlign w:val="center"/>
            <w:hideMark/>
          </w:tcPr>
          <w:p w14:paraId="1F3DE98F" w14:textId="77777777" w:rsidR="009D5C66" w:rsidRPr="00B554EC" w:rsidRDefault="009D5C66" w:rsidP="00007A2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>
              <w:t xml:space="preserve"> 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VLASTNICKÝ</w:t>
            </w:r>
          </w:p>
        </w:tc>
        <w:tc>
          <w:tcPr>
            <w:tcW w:w="116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79646" w:fill="F79646"/>
            <w:textDirection w:val="btLr"/>
          </w:tcPr>
          <w:p w14:paraId="2535CA53" w14:textId="587A8329" w:rsidR="009D5C66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</w:pPr>
            <w:r w:rsidRPr="009D5C66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nízká ce</w:t>
            </w:r>
            <w:r w:rsidR="00962A95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na pro </w:t>
            </w:r>
            <w:r w:rsidRPr="009D5C66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stočné</w:t>
            </w:r>
            <w:r w:rsidR="00371EFB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 xml:space="preserve"> </w:t>
            </w:r>
            <w:r w:rsidRPr="009D5C66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(</w:t>
            </w:r>
            <w:r w:rsidR="00962A95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na </w:t>
            </w:r>
            <w:r w:rsidRPr="009D5C66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 xml:space="preserve">úrovni 10% percentilu ceny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pro </w:t>
            </w:r>
            <w:r w:rsidRPr="009D5C66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 xml:space="preserve">stočné </w:t>
            </w:r>
            <w:r w:rsidR="00962A95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ze </w:t>
            </w:r>
            <w:r w:rsidRPr="009D5C66"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souboru dat</w:t>
            </w:r>
            <w:r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  <w:t>)</w:t>
            </w:r>
          </w:p>
          <w:p w14:paraId="1B9F8E8C" w14:textId="77777777" w:rsidR="009D5C66" w:rsidRPr="009D5C66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smallCaps/>
                <w:color w:val="FFFFFF"/>
                <w:sz w:val="20"/>
                <w:lang w:eastAsia="cs-CZ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79646" w:fill="F79646"/>
            <w:textDirection w:val="btLr"/>
            <w:vAlign w:val="center"/>
            <w:hideMark/>
          </w:tcPr>
          <w:p w14:paraId="532C53C5" w14:textId="618468A4" w:rsidR="009D5C66" w:rsidRPr="00B554EC" w:rsidRDefault="009D5C66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POČET PORUCH/KM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 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- 1,5NÁS MEDIÁNU SKUPINY 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POROVNÁNÍ S NULOVÝM POČTEM PORUCH</w:t>
            </w:r>
          </w:p>
        </w:tc>
        <w:tc>
          <w:tcPr>
            <w:tcW w:w="191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79646" w:fill="F79646"/>
            <w:textDirection w:val="btLr"/>
            <w:vAlign w:val="center"/>
            <w:hideMark/>
          </w:tcPr>
          <w:p w14:paraId="66968E45" w14:textId="7A18F8ED" w:rsidR="009D5C66" w:rsidRPr="00B554EC" w:rsidRDefault="009D5C66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PODÍL KALKULAČNÍH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O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ZISKU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K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ROZDĚLENÍ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ÚVN (BE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ČÁSTI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OBNOVU A ROZVOJ) (HODNOTA VÍCE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NEŽ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K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 xml:space="preserve">MEDIÁNU SKUPINY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Z </w:t>
            </w:r>
            <w:r w:rsidRPr="00B554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lang w:eastAsia="cs-CZ"/>
              </w:rPr>
              <w:t>POROVNÁNÍ S KLADNÝM KALKULAČNÍM ZISKEM)</w:t>
            </w:r>
          </w:p>
        </w:tc>
      </w:tr>
      <w:tr w:rsidR="009D5C66" w:rsidRPr="00B554EC" w14:paraId="2D45789F" w14:textId="77777777" w:rsidTr="009D5C66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0DB84B0E" w14:textId="064E892D" w:rsidR="009D5C66" w:rsidRPr="00B554EC" w:rsidRDefault="009D5C66" w:rsidP="00007A2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(&gt;10 000 MIL.KČ)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</w:tcPr>
          <w:p w14:paraId="722400EB" w14:textId="77777777" w:rsidR="009D5C66" w:rsidRPr="00B554EC" w:rsidRDefault="009D5C66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5,00</w:t>
            </w:r>
          </w:p>
        </w:tc>
        <w:tc>
          <w:tcPr>
            <w:tcW w:w="18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6A443759" w14:textId="77777777" w:rsidR="009D5C66" w:rsidRPr="00B554EC" w:rsidRDefault="009D5C66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0,17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560C3476" w14:textId="77777777" w:rsidR="009D5C66" w:rsidRPr="00B554EC" w:rsidRDefault="009D5C66" w:rsidP="00007A20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16,22</w:t>
            </w:r>
          </w:p>
        </w:tc>
      </w:tr>
      <w:tr w:rsidR="009D5C66" w:rsidRPr="00B554EC" w14:paraId="120012B3" w14:textId="77777777" w:rsidTr="009D5C66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5D3138DD" w14:textId="7949F466" w:rsidR="009D5C66" w:rsidRPr="00B554EC" w:rsidRDefault="009D5C66" w:rsidP="009D5C66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(&gt;1 000 MIL.KČ)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</w:tcPr>
          <w:p w14:paraId="445F4C9A" w14:textId="77777777" w:rsidR="009D5C66" w:rsidRDefault="009D5C66" w:rsidP="009D5C66">
            <w:pPr>
              <w:jc w:val="center"/>
            </w:pPr>
            <w:r w:rsidRPr="00580C9B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5,00</w:t>
            </w:r>
          </w:p>
        </w:tc>
        <w:tc>
          <w:tcPr>
            <w:tcW w:w="18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170A9361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0,22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0BC4A524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10,03</w:t>
            </w:r>
          </w:p>
        </w:tc>
      </w:tr>
      <w:tr w:rsidR="009D5C66" w:rsidRPr="00B554EC" w14:paraId="1BAEB7CC" w14:textId="77777777" w:rsidTr="009D5C66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27DA0E7B" w14:textId="079E6C58" w:rsidR="009D5C66" w:rsidRPr="00B554EC" w:rsidRDefault="009D5C66" w:rsidP="009D5C66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(&gt;100 MIL.KČ)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</w:tcPr>
          <w:p w14:paraId="736A5A06" w14:textId="77777777" w:rsidR="009D5C66" w:rsidRDefault="009D5C66" w:rsidP="009D5C66">
            <w:pPr>
              <w:jc w:val="center"/>
            </w:pPr>
            <w:r w:rsidRPr="00580C9B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5,00</w:t>
            </w:r>
          </w:p>
        </w:tc>
        <w:tc>
          <w:tcPr>
            <w:tcW w:w="18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520C941C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0,23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479AE0CB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9,31</w:t>
            </w:r>
          </w:p>
        </w:tc>
      </w:tr>
      <w:tr w:rsidR="009D5C66" w:rsidRPr="00B554EC" w14:paraId="1AAAEB4A" w14:textId="77777777" w:rsidTr="009D5C66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18CDBDBE" w14:textId="521F3586" w:rsidR="009D5C66" w:rsidRPr="00B554EC" w:rsidRDefault="009D5C66" w:rsidP="009D5C66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IV.SKUPI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(&gt;10 MIL.KČ)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</w:tcPr>
          <w:p w14:paraId="27F4D115" w14:textId="77777777" w:rsidR="009D5C66" w:rsidRDefault="009D5C66" w:rsidP="009D5C66">
            <w:pPr>
              <w:jc w:val="center"/>
            </w:pPr>
            <w:r w:rsidRPr="00580C9B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5,00</w:t>
            </w:r>
          </w:p>
        </w:tc>
        <w:tc>
          <w:tcPr>
            <w:tcW w:w="18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7605C8CD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0,45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56F546D3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9,93</w:t>
            </w:r>
          </w:p>
        </w:tc>
      </w:tr>
      <w:tr w:rsidR="009D5C66" w:rsidRPr="00B554EC" w14:paraId="500C99AA" w14:textId="77777777" w:rsidTr="009D5C66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2A11392C" w14:textId="6885B910" w:rsidR="009D5C66" w:rsidRPr="00B554EC" w:rsidRDefault="009D5C66" w:rsidP="009D5C66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(&gt;1 MIL.KČ)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</w:tcPr>
          <w:p w14:paraId="71CB04CE" w14:textId="77777777" w:rsidR="009D5C66" w:rsidRDefault="009D5C66" w:rsidP="009D5C66">
            <w:pPr>
              <w:jc w:val="center"/>
            </w:pPr>
            <w:r w:rsidRPr="00580C9B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5,00</w:t>
            </w:r>
          </w:p>
        </w:tc>
        <w:tc>
          <w:tcPr>
            <w:tcW w:w="18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1484390B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1,29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D5B4" w:fill="FCD5B4"/>
            <w:vAlign w:val="center"/>
            <w:hideMark/>
          </w:tcPr>
          <w:p w14:paraId="2F8D052F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11,01</w:t>
            </w:r>
          </w:p>
        </w:tc>
      </w:tr>
      <w:tr w:rsidR="009D5C66" w:rsidRPr="00B554EC" w14:paraId="3F2E8EC8" w14:textId="77777777" w:rsidTr="009D5C66">
        <w:trPr>
          <w:trHeight w:val="300"/>
        </w:trPr>
        <w:tc>
          <w:tcPr>
            <w:tcW w:w="22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0E6FF470" w14:textId="0A9357AC" w:rsidR="009D5C66" w:rsidRPr="00B554EC" w:rsidRDefault="009D5C66" w:rsidP="009D5C66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VI.SKUPI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NA </w:t>
            </w: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(&lt;1 MIL.KČ)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DE9D9" w:fill="FDE9D9"/>
          </w:tcPr>
          <w:p w14:paraId="780132D1" w14:textId="77777777" w:rsidR="009D5C66" w:rsidRDefault="009D5C66" w:rsidP="009D5C66">
            <w:pPr>
              <w:jc w:val="center"/>
            </w:pPr>
            <w:r w:rsidRPr="00580C9B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5,00</w:t>
            </w:r>
          </w:p>
        </w:tc>
        <w:tc>
          <w:tcPr>
            <w:tcW w:w="187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61077CBA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0,57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DE9D9" w:fill="FDE9D9"/>
            <w:vAlign w:val="center"/>
            <w:hideMark/>
          </w:tcPr>
          <w:p w14:paraId="7748CEB3" w14:textId="77777777" w:rsidR="009D5C66" w:rsidRPr="00B554EC" w:rsidRDefault="009D5C66" w:rsidP="009D5C66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</w:pPr>
            <w:r w:rsidRPr="00B554EC">
              <w:rPr>
                <w:rFonts w:ascii="Calibri Light" w:eastAsia="Times New Roman" w:hAnsi="Calibri Light" w:cs="Calibri Light"/>
                <w:color w:val="000000"/>
                <w:sz w:val="18"/>
                <w:lang w:eastAsia="cs-CZ"/>
              </w:rPr>
              <w:t>59,58</w:t>
            </w:r>
          </w:p>
        </w:tc>
      </w:tr>
    </w:tbl>
    <w:p w14:paraId="78285BE7" w14:textId="77777777" w:rsidR="008931B7" w:rsidRDefault="008931B7" w:rsidP="008931B7"/>
    <w:p w14:paraId="3F5AB789" w14:textId="77777777" w:rsidR="008931B7" w:rsidRDefault="008931B7" w:rsidP="008931B7">
      <w:pPr>
        <w:pStyle w:val="NORMLN0"/>
      </w:pPr>
      <w:r>
        <w:t xml:space="preserve">Dále je uveden seznam </w:t>
      </w:r>
      <w:r w:rsidR="00A054B8">
        <w:t xml:space="preserve">anomálií </w:t>
      </w:r>
      <w:r>
        <w:t>(způsob jejich stanovení a zdůvodnění)</w:t>
      </w:r>
      <w:r w:rsidR="00876703">
        <w:t>.</w:t>
      </w:r>
      <w:r>
        <w:t xml:space="preserve"> </w:t>
      </w:r>
    </w:p>
    <w:p w14:paraId="163FDE1C" w14:textId="77777777" w:rsidR="008931B7" w:rsidRDefault="008931B7" w:rsidP="008931B7"/>
    <w:tbl>
      <w:tblPr>
        <w:tblStyle w:val="Tabulkasmkou4zvraznn111"/>
        <w:tblW w:w="5082" w:type="pct"/>
        <w:tblLayout w:type="fixed"/>
        <w:tblLook w:val="04A0" w:firstRow="1" w:lastRow="0" w:firstColumn="1" w:lastColumn="0" w:noHBand="0" w:noVBand="1"/>
      </w:tblPr>
      <w:tblGrid>
        <w:gridCol w:w="420"/>
        <w:gridCol w:w="4536"/>
        <w:gridCol w:w="4253"/>
      </w:tblGrid>
      <w:tr w:rsidR="00B62F38" w:rsidRPr="00D445BC" w14:paraId="35BC352C" w14:textId="77777777" w:rsidTr="00D44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B389BC2" w14:textId="77777777" w:rsidR="00B62F38" w:rsidRPr="00D445BC" w:rsidRDefault="00B62F38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Cs w:val="0"/>
                <w:smallCaps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Cs w:val="0"/>
                <w:smallCaps/>
                <w:sz w:val="20"/>
              </w:rPr>
              <w:lastRenderedPageBreak/>
              <w:t>Benchmarking vlastnických subjektů:</w:t>
            </w:r>
          </w:p>
        </w:tc>
      </w:tr>
      <w:tr w:rsidR="00B62F38" w:rsidRPr="00D445BC" w14:paraId="45F95692" w14:textId="77777777" w:rsidTr="00D44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1050AEB5" w14:textId="77777777" w:rsidR="00B62F38" w:rsidRPr="00D445BC" w:rsidRDefault="00B62F38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bCs w:val="0"/>
                <w:sz w:val="20"/>
              </w:rPr>
            </w:pPr>
          </w:p>
        </w:tc>
        <w:tc>
          <w:tcPr>
            <w:tcW w:w="2463" w:type="pct"/>
            <w:vAlign w:val="center"/>
            <w:hideMark/>
          </w:tcPr>
          <w:p w14:paraId="024B0171" w14:textId="77777777" w:rsidR="00B62F38" w:rsidRPr="00D445BC" w:rsidRDefault="00B62F38" w:rsidP="00007A20">
            <w:pPr>
              <w:spacing w:before="0" w:after="0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smallCaps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Cs w:val="0"/>
                <w:smallCaps/>
                <w:sz w:val="20"/>
              </w:rPr>
              <w:t>VODOVOD</w:t>
            </w:r>
          </w:p>
        </w:tc>
        <w:tc>
          <w:tcPr>
            <w:tcW w:w="2309" w:type="pct"/>
            <w:vAlign w:val="center"/>
          </w:tcPr>
          <w:p w14:paraId="1282FB8F" w14:textId="77777777" w:rsidR="00B62F38" w:rsidRPr="00D445BC" w:rsidRDefault="00B62F38" w:rsidP="00007A20">
            <w:pPr>
              <w:spacing w:before="0" w:after="0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 w:val="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Cs w:val="0"/>
                <w:sz w:val="20"/>
              </w:rPr>
              <w:t>ZDŮVODNĚNÍ</w:t>
            </w:r>
          </w:p>
        </w:tc>
      </w:tr>
      <w:tr w:rsidR="00BE54E2" w:rsidRPr="00D445BC" w14:paraId="2063FD32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097B03AC" w14:textId="77777777" w:rsidR="00BE54E2" w:rsidRPr="00D445BC" w:rsidRDefault="00BE54E2" w:rsidP="00BE54E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</w:t>
            </w:r>
          </w:p>
        </w:tc>
        <w:tc>
          <w:tcPr>
            <w:tcW w:w="2463" w:type="pct"/>
            <w:vAlign w:val="center"/>
          </w:tcPr>
          <w:p w14:paraId="4F488EC9" w14:textId="0048B2A9" w:rsidR="00BE54E2" w:rsidRPr="00D445BC" w:rsidRDefault="00BE54E2" w:rsidP="00BE54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Nájem je větší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než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nula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ve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smíšeném modelu neb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oddílném se servisní smlouvou</w:t>
            </w:r>
          </w:p>
        </w:tc>
        <w:tc>
          <w:tcPr>
            <w:tcW w:w="2309" w:type="pct"/>
            <w:vAlign w:val="center"/>
          </w:tcPr>
          <w:p w14:paraId="2D9AA2CA" w14:textId="77777777" w:rsidR="00BE54E2" w:rsidRPr="00D445BC" w:rsidRDefault="00BE54E2" w:rsidP="00BE54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chybné vykazování dat</w:t>
            </w:r>
          </w:p>
        </w:tc>
      </w:tr>
      <w:tr w:rsidR="00B62F38" w:rsidRPr="00D445BC" w14:paraId="46254BDD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tcBorders>
              <w:bottom w:val="single" w:sz="4" w:space="0" w:color="9CC2E5"/>
            </w:tcBorders>
            <w:vAlign w:val="center"/>
          </w:tcPr>
          <w:p w14:paraId="36F52A87" w14:textId="77777777" w:rsidR="00B62F38" w:rsidRPr="00D445BC" w:rsidRDefault="00B62F38" w:rsidP="00B62F3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sz w:val="20"/>
              </w:rPr>
              <w:t>2</w:t>
            </w:r>
          </w:p>
        </w:tc>
        <w:tc>
          <w:tcPr>
            <w:tcW w:w="2463" w:type="pct"/>
            <w:tcBorders>
              <w:bottom w:val="single" w:sz="4" w:space="0" w:color="9CC2E5"/>
            </w:tcBorders>
            <w:vAlign w:val="center"/>
          </w:tcPr>
          <w:p w14:paraId="766D3BD4" w14:textId="2BC13667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mallCaps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Cs/>
                <w:smallCaps/>
                <w:sz w:val="20"/>
              </w:rPr>
              <w:t xml:space="preserve">Nenulový počet poruch a nulové náklady </w:t>
            </w:r>
            <w:r w:rsidR="00962A95">
              <w:rPr>
                <w:rFonts w:asciiTheme="majorHAnsi" w:eastAsia="Times New Roman" w:hAnsiTheme="majorHAnsi" w:cstheme="majorHAnsi"/>
                <w:bCs/>
                <w:smallCaps/>
                <w:sz w:val="20"/>
              </w:rPr>
              <w:t>na </w:t>
            </w:r>
            <w:r w:rsidRPr="00D445BC">
              <w:rPr>
                <w:rFonts w:asciiTheme="majorHAnsi" w:eastAsia="Times New Roman" w:hAnsiTheme="majorHAnsi" w:cstheme="majorHAnsi"/>
                <w:bCs/>
                <w:smallCaps/>
                <w:sz w:val="20"/>
              </w:rPr>
              <w:t>opravy</w:t>
            </w:r>
          </w:p>
        </w:tc>
        <w:tc>
          <w:tcPr>
            <w:tcW w:w="2309" w:type="pct"/>
            <w:tcBorders>
              <w:bottom w:val="single" w:sz="4" w:space="0" w:color="9CC2E5"/>
            </w:tcBorders>
            <w:vAlign w:val="center"/>
          </w:tcPr>
          <w:p w14:paraId="579D3C75" w14:textId="77777777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mallCaps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Cs/>
                <w:smallCaps/>
                <w:sz w:val="20"/>
              </w:rPr>
              <w:t>chybné vykazování dat</w:t>
            </w:r>
          </w:p>
        </w:tc>
      </w:tr>
      <w:tr w:rsidR="00B62F38" w:rsidRPr="00D445BC" w14:paraId="44E003ED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tcBorders>
              <w:top w:val="double" w:sz="4" w:space="0" w:color="9CC2E5"/>
            </w:tcBorders>
            <w:vAlign w:val="center"/>
          </w:tcPr>
          <w:p w14:paraId="1FDC44B0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3</w:t>
            </w:r>
          </w:p>
        </w:tc>
        <w:tc>
          <w:tcPr>
            <w:tcW w:w="2463" w:type="pct"/>
            <w:tcBorders>
              <w:top w:val="double" w:sz="4" w:space="0" w:color="9CC2E5"/>
            </w:tcBorders>
            <w:noWrap/>
            <w:vAlign w:val="center"/>
          </w:tcPr>
          <w:p w14:paraId="6043E0E3" w14:textId="6F82AF21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Nedostatečná tvorba prostředků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obnovu VIM</w:t>
            </w:r>
          </w:p>
        </w:tc>
        <w:tc>
          <w:tcPr>
            <w:tcW w:w="2309" w:type="pct"/>
            <w:tcBorders>
              <w:top w:val="double" w:sz="4" w:space="0" w:color="9CC2E5"/>
            </w:tcBorders>
            <w:vAlign w:val="center"/>
          </w:tcPr>
          <w:p w14:paraId="27175336" w14:textId="77777777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neplněn záměr udržitelnosti VIM</w:t>
            </w:r>
          </w:p>
        </w:tc>
      </w:tr>
      <w:tr w:rsidR="00B62F38" w:rsidRPr="00D445BC" w14:paraId="2E18D61D" w14:textId="77777777" w:rsidTr="00D445B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6103759C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4</w:t>
            </w:r>
          </w:p>
        </w:tc>
        <w:tc>
          <w:tcPr>
            <w:tcW w:w="2463" w:type="pct"/>
            <w:vAlign w:val="center"/>
          </w:tcPr>
          <w:p w14:paraId="5CC3CBB2" w14:textId="636820EE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Nulový celý řáde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20</w:t>
            </w:r>
          </w:p>
        </w:tc>
        <w:tc>
          <w:tcPr>
            <w:tcW w:w="2309" w:type="pct"/>
            <w:vAlign w:val="center"/>
          </w:tcPr>
          <w:p w14:paraId="5E6A4653" w14:textId="34703941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nevykazování tvorby a čerpání prostředků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obnovu</w:t>
            </w:r>
          </w:p>
        </w:tc>
      </w:tr>
      <w:tr w:rsidR="00B62F38" w:rsidRPr="00D445BC" w14:paraId="6BDBE966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09DAE8F6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5</w:t>
            </w:r>
          </w:p>
        </w:tc>
        <w:tc>
          <w:tcPr>
            <w:tcW w:w="2463" w:type="pct"/>
            <w:noWrap/>
            <w:vAlign w:val="center"/>
          </w:tcPr>
          <w:p w14:paraId="2E27D15A" w14:textId="670D930A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Nulové odpisy + nulové opravy + nulový 4.4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ve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smíšeném neb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kombinovaném modelu</w:t>
            </w:r>
          </w:p>
        </w:tc>
        <w:tc>
          <w:tcPr>
            <w:tcW w:w="2309" w:type="pct"/>
            <w:vAlign w:val="center"/>
          </w:tcPr>
          <w:p w14:paraId="48973513" w14:textId="6D282140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nezapočtení prostředků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obnovu d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ceny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pro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vodné</w:t>
            </w:r>
          </w:p>
        </w:tc>
      </w:tr>
      <w:tr w:rsidR="00B62F38" w:rsidRPr="00D445BC" w14:paraId="420685C4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6E95E38A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hAnsiTheme="majorHAnsi" w:cstheme="majorHAnsi"/>
                <w:b w:val="0"/>
                <w:color w:val="000000"/>
                <w:sz w:val="20"/>
              </w:rPr>
              <w:t>6</w:t>
            </w:r>
          </w:p>
        </w:tc>
        <w:tc>
          <w:tcPr>
            <w:tcW w:w="2463" w:type="pct"/>
            <w:vAlign w:val="center"/>
          </w:tcPr>
          <w:p w14:paraId="07471E25" w14:textId="2DCCFABF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Nízká ce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pro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vodné (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úrovni 10% percentilu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celéh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souboru dat)</w:t>
            </w:r>
          </w:p>
        </w:tc>
        <w:tc>
          <w:tcPr>
            <w:tcW w:w="2309" w:type="pct"/>
            <w:vAlign w:val="center"/>
          </w:tcPr>
          <w:p w14:paraId="4E5C3267" w14:textId="70E9A9E3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vědomě dotovaný provo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a obnova VIM</w:t>
            </w:r>
          </w:p>
        </w:tc>
      </w:tr>
      <w:tr w:rsidR="00B62F38" w:rsidRPr="00D445BC" w14:paraId="3E67C1B9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0F467CB5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hAnsiTheme="majorHAnsi" w:cstheme="majorHAnsi"/>
                <w:b w:val="0"/>
                <w:color w:val="000000"/>
                <w:sz w:val="20"/>
              </w:rPr>
              <w:t>7</w:t>
            </w:r>
          </w:p>
        </w:tc>
        <w:tc>
          <w:tcPr>
            <w:tcW w:w="2463" w:type="pct"/>
            <w:vAlign w:val="center"/>
          </w:tcPr>
          <w:p w14:paraId="1E2AF0B1" w14:textId="3CF5FAA5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Nulová ce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pro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vodné</w:t>
            </w:r>
          </w:p>
        </w:tc>
        <w:tc>
          <w:tcPr>
            <w:tcW w:w="2309" w:type="pct"/>
            <w:vAlign w:val="center"/>
          </w:tcPr>
          <w:p w14:paraId="70606DF8" w14:textId="34A6471C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vědomě dotovaný provo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a obnova VIM</w:t>
            </w:r>
          </w:p>
        </w:tc>
      </w:tr>
      <w:tr w:rsidR="00D445BC" w:rsidRPr="00D445BC" w14:paraId="7D854966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2D7FAF26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hAnsiTheme="majorHAnsi" w:cstheme="majorHAnsi"/>
                <w:b w:val="0"/>
                <w:color w:val="000000"/>
                <w:sz w:val="20"/>
              </w:rPr>
              <w:t>8</w:t>
            </w:r>
          </w:p>
        </w:tc>
        <w:tc>
          <w:tcPr>
            <w:tcW w:w="2463" w:type="pct"/>
            <w:vAlign w:val="center"/>
          </w:tcPr>
          <w:p w14:paraId="166F0F96" w14:textId="77777777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Záporný kalkulační zisk</w:t>
            </w:r>
          </w:p>
        </w:tc>
        <w:tc>
          <w:tcPr>
            <w:tcW w:w="2309" w:type="pct"/>
            <w:vAlign w:val="center"/>
          </w:tcPr>
          <w:p w14:paraId="3DB5AB9C" w14:textId="77777777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dotace ceny, ztrátové hospodaření</w:t>
            </w:r>
          </w:p>
        </w:tc>
      </w:tr>
      <w:tr w:rsidR="00D445BC" w:rsidRPr="00D445BC" w14:paraId="584A8113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7D5DC410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9</w:t>
            </w:r>
          </w:p>
        </w:tc>
        <w:tc>
          <w:tcPr>
            <w:tcW w:w="2463" w:type="pct"/>
            <w:vAlign w:val="center"/>
          </w:tcPr>
          <w:p w14:paraId="11379D51" w14:textId="0037DB88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Kalkulován kladný neb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nulový zis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a dosažen záporný</w:t>
            </w:r>
          </w:p>
        </w:tc>
        <w:tc>
          <w:tcPr>
            <w:tcW w:w="2309" w:type="pct"/>
            <w:vAlign w:val="center"/>
          </w:tcPr>
          <w:p w14:paraId="1D9AD783" w14:textId="6459386F" w:rsidR="00B62F38" w:rsidRPr="00D445BC" w:rsidRDefault="00B62F38" w:rsidP="00B62F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neziskové hospodaření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daném roce vlivem nepředvídaných okolností</w:t>
            </w:r>
          </w:p>
        </w:tc>
      </w:tr>
      <w:tr w:rsidR="00D445BC" w:rsidRPr="00D445BC" w14:paraId="2B6F9C57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3D46907E" w14:textId="77777777" w:rsidR="00B62F38" w:rsidRPr="00D445BC" w:rsidRDefault="0003063C" w:rsidP="00B62F3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10</w:t>
            </w:r>
          </w:p>
        </w:tc>
        <w:tc>
          <w:tcPr>
            <w:tcW w:w="2463" w:type="pct"/>
            <w:noWrap/>
            <w:vAlign w:val="center"/>
          </w:tcPr>
          <w:p w14:paraId="5721FC67" w14:textId="0E1636A1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Záporný zis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kalkulován a záporný zis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dosažen</w:t>
            </w:r>
          </w:p>
        </w:tc>
        <w:tc>
          <w:tcPr>
            <w:tcW w:w="2309" w:type="pct"/>
            <w:vAlign w:val="center"/>
          </w:tcPr>
          <w:p w14:paraId="4DDCD1F6" w14:textId="08BA8E61" w:rsidR="00B62F38" w:rsidRPr="00D445BC" w:rsidRDefault="00B62F38" w:rsidP="00B62F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vědomě dotovaný provo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a obnova VIM</w:t>
            </w:r>
          </w:p>
        </w:tc>
      </w:tr>
      <w:tr w:rsidR="0003063C" w:rsidRPr="00D445BC" w14:paraId="62B25B39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73CD8481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11</w:t>
            </w:r>
          </w:p>
        </w:tc>
        <w:tc>
          <w:tcPr>
            <w:tcW w:w="2463" w:type="pct"/>
            <w:vAlign w:val="center"/>
          </w:tcPr>
          <w:p w14:paraId="2E612CF8" w14:textId="4611BB5E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Nájem je menší neb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roven nul</w:t>
            </w:r>
            <w:r w:rsidR="00BE6740">
              <w:rPr>
                <w:rFonts w:asciiTheme="majorHAnsi" w:hAnsiTheme="majorHAnsi" w:cstheme="majorHAnsi"/>
                <w:smallCaps/>
                <w:sz w:val="20"/>
              </w:rPr>
              <w:t>e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oddílném (be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servisních smluv) neb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kombinovaném modelu</w:t>
            </w:r>
          </w:p>
        </w:tc>
        <w:tc>
          <w:tcPr>
            <w:tcW w:w="2309" w:type="pct"/>
            <w:vAlign w:val="center"/>
          </w:tcPr>
          <w:p w14:paraId="6106F358" w14:textId="5ABDE967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chybné vykazování dat neb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nevyvážené nastavení smluvních vztahů</w:t>
            </w:r>
          </w:p>
        </w:tc>
      </w:tr>
      <w:tr w:rsidR="00D445BC" w:rsidRPr="00D445BC" w14:paraId="752080FB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6F6274E4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12</w:t>
            </w:r>
          </w:p>
        </w:tc>
        <w:tc>
          <w:tcPr>
            <w:tcW w:w="2463" w:type="pct"/>
            <w:vAlign w:val="center"/>
          </w:tcPr>
          <w:p w14:paraId="2F2B5134" w14:textId="4E6BD7AD" w:rsidR="0003063C" w:rsidRPr="00D445BC" w:rsidRDefault="0003063C" w:rsidP="000306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Vysoký podíl kalkulačníh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zisku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rozdělení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ÚVN (porovnání s podílem zisku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rozdělení vyšším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než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1,5nás. hodnoty mediánu skupiny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porovnání s kladným ziskem a podíl zisku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rozdělení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ÚVN &gt;0)</w:t>
            </w:r>
          </w:p>
        </w:tc>
        <w:tc>
          <w:tcPr>
            <w:tcW w:w="2309" w:type="pct"/>
            <w:vAlign w:val="center"/>
          </w:tcPr>
          <w:p w14:paraId="2BD713D4" w14:textId="158FA924" w:rsidR="0003063C" w:rsidRPr="00D445BC" w:rsidRDefault="0003063C" w:rsidP="000306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příliš vysoká ziskovost a odli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prostředků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ze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sektoru</w:t>
            </w:r>
          </w:p>
        </w:tc>
      </w:tr>
      <w:tr w:rsidR="00D445BC" w:rsidRPr="00D445BC" w14:paraId="460F4E58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7B011CA2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13</w:t>
            </w:r>
          </w:p>
        </w:tc>
        <w:tc>
          <w:tcPr>
            <w:tcW w:w="2463" w:type="pct"/>
            <w:vAlign w:val="center"/>
          </w:tcPr>
          <w:p w14:paraId="74B47201" w14:textId="77777777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Nulové ztráty vody</w:t>
            </w:r>
          </w:p>
        </w:tc>
        <w:tc>
          <w:tcPr>
            <w:tcW w:w="2309" w:type="pct"/>
            <w:vAlign w:val="center"/>
          </w:tcPr>
          <w:p w14:paraId="498673A5" w14:textId="63E6983C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nesledování ztrát (naznačují problém se systematickou péčí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VIM)</w:t>
            </w:r>
          </w:p>
        </w:tc>
      </w:tr>
      <w:tr w:rsidR="00D445BC" w:rsidRPr="00D445BC" w14:paraId="31183CBA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543D51CC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14</w:t>
            </w:r>
          </w:p>
        </w:tc>
        <w:tc>
          <w:tcPr>
            <w:tcW w:w="2463" w:type="pct"/>
            <w:vAlign w:val="center"/>
          </w:tcPr>
          <w:p w14:paraId="4F77D20E" w14:textId="38C674DD" w:rsidR="0003063C" w:rsidRPr="00D445BC" w:rsidRDefault="0003063C" w:rsidP="000306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Vysoké ztráty vody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1 km přepočtené délky vodovodníh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řadu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den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m3/km/den (převyšuje 1,5 násobe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porovnání vykazujících ztráty vody nad 4 m3/km/den)</w:t>
            </w:r>
          </w:p>
        </w:tc>
        <w:tc>
          <w:tcPr>
            <w:tcW w:w="2309" w:type="pct"/>
            <w:vAlign w:val="center"/>
          </w:tcPr>
          <w:p w14:paraId="42C23FD9" w14:textId="761D7E30" w:rsidR="0003063C" w:rsidRPr="00D445BC" w:rsidRDefault="0003063C" w:rsidP="000306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nedostatečná péče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VIM</w:t>
            </w:r>
          </w:p>
        </w:tc>
      </w:tr>
      <w:tr w:rsidR="00D445BC" w:rsidRPr="00D445BC" w14:paraId="6D9699C3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09DE7DB2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15</w:t>
            </w:r>
          </w:p>
        </w:tc>
        <w:tc>
          <w:tcPr>
            <w:tcW w:w="2463" w:type="pct"/>
            <w:noWrap/>
            <w:vAlign w:val="center"/>
          </w:tcPr>
          <w:p w14:paraId="3788CC23" w14:textId="72AA968B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vysoká hodnota nefakturované vody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na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km přepočtené délky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m3/km/den (převyšuje 1,5 násobe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porovnání vykazujících ztráty vody nad 4 m3/km/den)</w:t>
            </w:r>
          </w:p>
        </w:tc>
        <w:tc>
          <w:tcPr>
            <w:tcW w:w="2309" w:type="pct"/>
            <w:vAlign w:val="center"/>
          </w:tcPr>
          <w:p w14:paraId="160C3694" w14:textId="3DF08AC7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voda nepřinášející výnosy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k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pokrytí souvisejících nákladů (zkreslen např. tzv. areálovými vodovody), doplňuje údaje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ztrátách vody</w:t>
            </w:r>
          </w:p>
        </w:tc>
      </w:tr>
      <w:tr w:rsidR="00D445BC" w:rsidRPr="00D445BC" w14:paraId="268DF2F1" w14:textId="77777777" w:rsidTr="00D445B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4595D16A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16</w:t>
            </w:r>
          </w:p>
        </w:tc>
        <w:tc>
          <w:tcPr>
            <w:tcW w:w="2463" w:type="pct"/>
            <w:vAlign w:val="center"/>
          </w:tcPr>
          <w:p w14:paraId="1F8FA7DA" w14:textId="55E20DC2" w:rsidR="0003063C" w:rsidRPr="00D445BC" w:rsidRDefault="0003063C" w:rsidP="000306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Vysoká poruchovost (porovnání, kde je počet poruch/km vyšší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než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1,5nás. mediánu skupiny be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z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porovnání s nulovým počtem poruch)</w:t>
            </w:r>
          </w:p>
        </w:tc>
        <w:tc>
          <w:tcPr>
            <w:tcW w:w="2309" w:type="pct"/>
            <w:vAlign w:val="center"/>
          </w:tcPr>
          <w:p w14:paraId="65270F97" w14:textId="0C0184DF" w:rsidR="0003063C" w:rsidRPr="00D445BC" w:rsidRDefault="0003063C" w:rsidP="000306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nedostatečná péče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o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>VIM</w:t>
            </w:r>
          </w:p>
        </w:tc>
      </w:tr>
      <w:tr w:rsidR="00D445BC" w:rsidRPr="00D445BC" w14:paraId="4410DED9" w14:textId="77777777" w:rsidTr="00D44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2EADCE49" w14:textId="77777777" w:rsidR="0003063C" w:rsidRPr="00D445BC" w:rsidRDefault="0003063C" w:rsidP="0003063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</w:pPr>
            <w:r w:rsidRPr="00D445BC">
              <w:rPr>
                <w:rFonts w:asciiTheme="majorHAnsi" w:eastAsia="Times New Roman" w:hAnsiTheme="majorHAnsi" w:cstheme="majorHAnsi"/>
                <w:b w:val="0"/>
                <w:color w:val="000000"/>
                <w:sz w:val="20"/>
              </w:rPr>
              <w:t>17</w:t>
            </w:r>
          </w:p>
        </w:tc>
        <w:tc>
          <w:tcPr>
            <w:tcW w:w="2463" w:type="pct"/>
            <w:vAlign w:val="center"/>
          </w:tcPr>
          <w:p w14:paraId="5CCF8BFA" w14:textId="77777777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>OKF &gt; 1 a neplní obnovu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ab/>
            </w:r>
          </w:p>
        </w:tc>
        <w:tc>
          <w:tcPr>
            <w:tcW w:w="2309" w:type="pct"/>
            <w:vAlign w:val="center"/>
          </w:tcPr>
          <w:p w14:paraId="2139DE46" w14:textId="5B3635C6" w:rsidR="0003063C" w:rsidRPr="00D445BC" w:rsidRDefault="0003063C" w:rsidP="000306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mallCaps/>
                <w:sz w:val="20"/>
              </w:rPr>
            </w:pP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ceny obsahuje zisk, ale prostředky obnovy </w:t>
            </w:r>
            <w:r w:rsidR="00D445BC" w:rsidRPr="00D445BC">
              <w:rPr>
                <w:rFonts w:asciiTheme="majorHAnsi" w:hAnsiTheme="majorHAnsi" w:cstheme="majorHAnsi"/>
                <w:smallCaps/>
                <w:sz w:val="20"/>
              </w:rPr>
              <w:t>VIM nejsou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 generovány </w:t>
            </w:r>
            <w:r w:rsidR="00962A95">
              <w:rPr>
                <w:rFonts w:asciiTheme="majorHAnsi" w:hAnsiTheme="majorHAnsi" w:cstheme="majorHAnsi"/>
                <w:smallCaps/>
                <w:sz w:val="20"/>
              </w:rPr>
              <w:t>v </w:t>
            </w:r>
            <w:r w:rsidRPr="00D445BC">
              <w:rPr>
                <w:rFonts w:asciiTheme="majorHAnsi" w:hAnsiTheme="majorHAnsi" w:cstheme="majorHAnsi"/>
                <w:smallCaps/>
                <w:sz w:val="20"/>
              </w:rPr>
              <w:t xml:space="preserve">dostatečné výši </w:t>
            </w:r>
          </w:p>
        </w:tc>
      </w:tr>
    </w:tbl>
    <w:p w14:paraId="5642063E" w14:textId="77777777" w:rsidR="008931B7" w:rsidRDefault="008931B7" w:rsidP="008931B7">
      <w:pPr>
        <w:rPr>
          <w:sz w:val="20"/>
          <w:szCs w:val="20"/>
        </w:rPr>
      </w:pPr>
    </w:p>
    <w:p w14:paraId="3DF66971" w14:textId="3B417FE0" w:rsidR="008931B7" w:rsidRDefault="008931B7" w:rsidP="008931B7">
      <w:pPr>
        <w:rPr>
          <w:sz w:val="20"/>
          <w:szCs w:val="20"/>
        </w:rPr>
      </w:pPr>
    </w:p>
    <w:p w14:paraId="5AD39A5A" w14:textId="31BB7513" w:rsidR="007124D0" w:rsidRDefault="007124D0" w:rsidP="008931B7">
      <w:pPr>
        <w:rPr>
          <w:sz w:val="20"/>
          <w:szCs w:val="20"/>
        </w:rPr>
      </w:pPr>
    </w:p>
    <w:p w14:paraId="7F872640" w14:textId="77777777" w:rsidR="007124D0" w:rsidRPr="00837030" w:rsidRDefault="007124D0" w:rsidP="008931B7">
      <w:pPr>
        <w:rPr>
          <w:sz w:val="20"/>
          <w:szCs w:val="20"/>
        </w:rPr>
      </w:pPr>
    </w:p>
    <w:tbl>
      <w:tblPr>
        <w:tblStyle w:val="Tabulkasmkou4zvraznn21"/>
        <w:tblW w:w="5081" w:type="pct"/>
        <w:tblLayout w:type="fixed"/>
        <w:tblLook w:val="04A0" w:firstRow="1" w:lastRow="0" w:firstColumn="1" w:lastColumn="0" w:noHBand="0" w:noVBand="1"/>
      </w:tblPr>
      <w:tblGrid>
        <w:gridCol w:w="488"/>
        <w:gridCol w:w="4467"/>
        <w:gridCol w:w="4252"/>
      </w:tblGrid>
      <w:tr w:rsidR="008931B7" w:rsidRPr="00CB5E46" w14:paraId="48244738" w14:textId="77777777" w:rsidTr="00007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137E3A0" w14:textId="77777777" w:rsidR="008931B7" w:rsidRPr="001657BD" w:rsidRDefault="008931B7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Cs w:val="0"/>
                <w:sz w:val="20"/>
              </w:rPr>
            </w:pPr>
            <w:r w:rsidRPr="00235CAC">
              <w:rPr>
                <w:rFonts w:asciiTheme="majorHAnsi" w:eastAsia="Times New Roman" w:hAnsiTheme="majorHAnsi"/>
                <w:bCs w:val="0"/>
                <w:smallCaps/>
              </w:rPr>
              <w:t>Benchmarking vlastnických subjektů:</w:t>
            </w:r>
          </w:p>
        </w:tc>
      </w:tr>
      <w:tr w:rsidR="008931B7" w:rsidRPr="00CB5E46" w14:paraId="5714D30D" w14:textId="77777777" w:rsidTr="00007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32CCFDDF" w14:textId="77777777" w:rsidR="008931B7" w:rsidRPr="00DB4EE8" w:rsidRDefault="008931B7" w:rsidP="00007A2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bCs w:val="0"/>
                <w:color w:val="FFFFFF"/>
                <w:sz w:val="20"/>
              </w:rPr>
            </w:pPr>
          </w:p>
        </w:tc>
        <w:tc>
          <w:tcPr>
            <w:tcW w:w="2426" w:type="pct"/>
            <w:vAlign w:val="center"/>
            <w:hideMark/>
          </w:tcPr>
          <w:p w14:paraId="7D341545" w14:textId="77777777" w:rsidR="008931B7" w:rsidRPr="001657BD" w:rsidRDefault="008931B7" w:rsidP="00007A20">
            <w:pPr>
              <w:spacing w:before="0" w:after="0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Cs w:val="0"/>
                <w:smallCaps/>
                <w:color w:val="FFFFFF"/>
                <w:sz w:val="20"/>
              </w:rPr>
            </w:pPr>
            <w:r w:rsidRPr="001657BD">
              <w:rPr>
                <w:rFonts w:asciiTheme="majorHAnsi" w:eastAsia="Times New Roman" w:hAnsiTheme="majorHAnsi"/>
                <w:bCs w:val="0"/>
                <w:smallCaps/>
                <w:color w:val="FFFFFF"/>
                <w:sz w:val="20"/>
              </w:rPr>
              <w:t>KANALIZACE</w:t>
            </w:r>
          </w:p>
        </w:tc>
        <w:tc>
          <w:tcPr>
            <w:tcW w:w="2309" w:type="pct"/>
            <w:vAlign w:val="center"/>
          </w:tcPr>
          <w:p w14:paraId="52210049" w14:textId="77777777" w:rsidR="008931B7" w:rsidRPr="001657BD" w:rsidRDefault="008931B7" w:rsidP="00007A20">
            <w:pPr>
              <w:spacing w:before="0" w:after="0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Cs w:val="0"/>
                <w:color w:val="FFFFFF"/>
                <w:sz w:val="20"/>
              </w:rPr>
            </w:pPr>
            <w:r w:rsidRPr="001657BD">
              <w:rPr>
                <w:rFonts w:asciiTheme="majorHAnsi" w:eastAsia="Times New Roman" w:hAnsiTheme="majorHAnsi"/>
                <w:bCs w:val="0"/>
                <w:sz w:val="20"/>
              </w:rPr>
              <w:t>ZDŮVODNĚNÍ</w:t>
            </w:r>
          </w:p>
        </w:tc>
      </w:tr>
      <w:tr w:rsidR="009D5C66" w:rsidRPr="00CB5E46" w14:paraId="301A1E9D" w14:textId="77777777" w:rsidTr="000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54F16E17" w14:textId="77777777" w:rsidR="009D5C66" w:rsidRPr="00DB4EE8" w:rsidRDefault="009D5C66" w:rsidP="009D5C6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</w:t>
            </w:r>
          </w:p>
        </w:tc>
        <w:tc>
          <w:tcPr>
            <w:tcW w:w="2426" w:type="pct"/>
            <w:noWrap/>
            <w:vAlign w:val="center"/>
          </w:tcPr>
          <w:p w14:paraId="4D19566D" w14:textId="3B7BB78A" w:rsidR="009D5C66" w:rsidRPr="002673AF" w:rsidRDefault="009D5C66" w:rsidP="009D5C66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Nájem je větší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nula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ve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smíšeném modelu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oddílném se servisní smlouvou</w:t>
            </w:r>
          </w:p>
        </w:tc>
        <w:tc>
          <w:tcPr>
            <w:tcW w:w="2309" w:type="pct"/>
            <w:vAlign w:val="center"/>
          </w:tcPr>
          <w:p w14:paraId="601566EB" w14:textId="77777777" w:rsidR="009D5C66" w:rsidRPr="002673AF" w:rsidRDefault="009D5C66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9D5C66" w:rsidRPr="00CB5E46" w14:paraId="44F2A8B4" w14:textId="77777777" w:rsidTr="002673A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tcBorders>
              <w:bottom w:val="double" w:sz="4" w:space="0" w:color="ED7D31" w:themeColor="accent2"/>
            </w:tcBorders>
            <w:vAlign w:val="center"/>
          </w:tcPr>
          <w:p w14:paraId="75152D52" w14:textId="77777777" w:rsidR="009D5C66" w:rsidRPr="00DB4EE8" w:rsidRDefault="009D5C66" w:rsidP="009D5C6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2</w:t>
            </w:r>
          </w:p>
        </w:tc>
        <w:tc>
          <w:tcPr>
            <w:tcW w:w="2426" w:type="pct"/>
            <w:tcBorders>
              <w:bottom w:val="double" w:sz="4" w:space="0" w:color="ED7D31" w:themeColor="accent2"/>
            </w:tcBorders>
            <w:noWrap/>
            <w:vAlign w:val="center"/>
          </w:tcPr>
          <w:p w14:paraId="48789D26" w14:textId="019FE7B1" w:rsidR="009D5C66" w:rsidRPr="002673AF" w:rsidRDefault="009D5C66" w:rsidP="009D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Nenulový počet poruch a nulové náklady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opravy</w:t>
            </w:r>
          </w:p>
        </w:tc>
        <w:tc>
          <w:tcPr>
            <w:tcW w:w="2309" w:type="pct"/>
            <w:tcBorders>
              <w:bottom w:val="double" w:sz="4" w:space="0" w:color="ED7D31" w:themeColor="accent2"/>
            </w:tcBorders>
            <w:vAlign w:val="center"/>
          </w:tcPr>
          <w:p w14:paraId="5631861B" w14:textId="77777777" w:rsidR="009D5C66" w:rsidRPr="002673AF" w:rsidRDefault="009D5C66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2673AF" w:rsidRPr="00CB5E46" w14:paraId="221309EA" w14:textId="77777777" w:rsidTr="0026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tcBorders>
              <w:top w:val="double" w:sz="4" w:space="0" w:color="ED7D31" w:themeColor="accent2"/>
            </w:tcBorders>
            <w:vAlign w:val="center"/>
          </w:tcPr>
          <w:p w14:paraId="2C3ED4A3" w14:textId="77777777" w:rsidR="002673AF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3</w:t>
            </w:r>
          </w:p>
        </w:tc>
        <w:tc>
          <w:tcPr>
            <w:tcW w:w="2426" w:type="pct"/>
            <w:tcBorders>
              <w:top w:val="double" w:sz="4" w:space="0" w:color="ED7D31" w:themeColor="accent2"/>
            </w:tcBorders>
            <w:noWrap/>
            <w:vAlign w:val="center"/>
          </w:tcPr>
          <w:p w14:paraId="0170437E" w14:textId="7AFC37D7" w:rsidR="002673AF" w:rsidRPr="002673AF" w:rsidRDefault="002673AF" w:rsidP="002673AF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Nájem je menší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roven nul</w:t>
            </w:r>
            <w:r w:rsidR="00BE6740">
              <w:rPr>
                <w:rFonts w:ascii="Calibri Light" w:hAnsi="Calibri Light" w:cs="Calibri Light"/>
                <w:smallCaps/>
                <w:color w:val="000000"/>
                <w:sz w:val="20"/>
              </w:rPr>
              <w:t>e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oddílném (be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servisních smluv)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kombinovaném modelu</w:t>
            </w:r>
          </w:p>
        </w:tc>
        <w:tc>
          <w:tcPr>
            <w:tcW w:w="2309" w:type="pct"/>
            <w:tcBorders>
              <w:top w:val="double" w:sz="4" w:space="0" w:color="ED7D31" w:themeColor="accent2"/>
            </w:tcBorders>
            <w:vAlign w:val="center"/>
          </w:tcPr>
          <w:p w14:paraId="4AD9D6D2" w14:textId="1D511A26" w:rsidR="002673AF" w:rsidRPr="002673AF" w:rsidRDefault="002673AF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chybné vykazování dat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nevyvážené nastavení smluvních vztahů</w:t>
            </w:r>
          </w:p>
        </w:tc>
      </w:tr>
      <w:tr w:rsidR="002673AF" w:rsidRPr="00CB5E46" w14:paraId="1C77DC0A" w14:textId="77777777" w:rsidTr="00007A2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4F7009DC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4</w:t>
            </w:r>
          </w:p>
        </w:tc>
        <w:tc>
          <w:tcPr>
            <w:tcW w:w="2426" w:type="pct"/>
            <w:noWrap/>
            <w:vAlign w:val="center"/>
          </w:tcPr>
          <w:p w14:paraId="18370B13" w14:textId="755CD5F7" w:rsidR="002673AF" w:rsidRPr="002673AF" w:rsidRDefault="002673AF" w:rsidP="002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Nedostatečná tvorba 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obnovu VIM</w:t>
            </w:r>
          </w:p>
        </w:tc>
        <w:tc>
          <w:tcPr>
            <w:tcW w:w="2309" w:type="pct"/>
            <w:vAlign w:val="center"/>
          </w:tcPr>
          <w:p w14:paraId="12B09CB1" w14:textId="77777777" w:rsidR="002673AF" w:rsidRPr="002673AF" w:rsidRDefault="002673AF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neplněn záměr udržitelnosti VIM</w:t>
            </w:r>
          </w:p>
        </w:tc>
      </w:tr>
      <w:tr w:rsidR="002673AF" w:rsidRPr="00CB5E46" w14:paraId="025C9933" w14:textId="77777777" w:rsidTr="000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3D4125C7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5</w:t>
            </w:r>
          </w:p>
        </w:tc>
        <w:tc>
          <w:tcPr>
            <w:tcW w:w="2426" w:type="pct"/>
            <w:noWrap/>
            <w:vAlign w:val="center"/>
          </w:tcPr>
          <w:p w14:paraId="07531B56" w14:textId="7EB30AAE" w:rsidR="002673AF" w:rsidRPr="002673AF" w:rsidRDefault="002673AF" w:rsidP="002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Nulový celý řáde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20</w:t>
            </w:r>
          </w:p>
        </w:tc>
        <w:tc>
          <w:tcPr>
            <w:tcW w:w="2309" w:type="pct"/>
            <w:vAlign w:val="center"/>
          </w:tcPr>
          <w:p w14:paraId="1A4C7621" w14:textId="0428689C" w:rsidR="002673AF" w:rsidRPr="002673AF" w:rsidRDefault="002673AF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nevykazování tvorby a čerpání 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obnovu </w:t>
            </w:r>
          </w:p>
        </w:tc>
      </w:tr>
      <w:tr w:rsidR="002673AF" w:rsidRPr="00CB5E46" w14:paraId="1EC6F529" w14:textId="77777777" w:rsidTr="00007A2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356DD866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26" w:type="pct"/>
            <w:vAlign w:val="center"/>
          </w:tcPr>
          <w:p w14:paraId="5213949A" w14:textId="28DE7029" w:rsidR="002673AF" w:rsidRPr="002673AF" w:rsidRDefault="002673AF" w:rsidP="002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Nulové odpisy + nulové opravy +4.4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ve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smíšeném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kombinovaném modelu</w:t>
            </w:r>
          </w:p>
        </w:tc>
        <w:tc>
          <w:tcPr>
            <w:tcW w:w="2309" w:type="pct"/>
            <w:vAlign w:val="center"/>
          </w:tcPr>
          <w:p w14:paraId="5438B6BB" w14:textId="53185E5E" w:rsidR="002673AF" w:rsidRPr="002673AF" w:rsidRDefault="002673AF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nezapočtení 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obnovu d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ceny</w:t>
            </w:r>
          </w:p>
        </w:tc>
      </w:tr>
      <w:tr w:rsidR="002673AF" w:rsidRPr="00CB5E46" w14:paraId="026367EA" w14:textId="77777777" w:rsidTr="000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51B7D579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7</w:t>
            </w:r>
          </w:p>
        </w:tc>
        <w:tc>
          <w:tcPr>
            <w:tcW w:w="2426" w:type="pct"/>
            <w:noWrap/>
            <w:vAlign w:val="center"/>
          </w:tcPr>
          <w:p w14:paraId="148569E9" w14:textId="118BFABF" w:rsidR="002673AF" w:rsidRPr="002673AF" w:rsidRDefault="002673AF" w:rsidP="002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nízká ce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pro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stočné (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úrovni 10% percentilu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celéh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souboru dat)</w:t>
            </w:r>
          </w:p>
        </w:tc>
        <w:tc>
          <w:tcPr>
            <w:tcW w:w="2309" w:type="pct"/>
            <w:vAlign w:val="center"/>
          </w:tcPr>
          <w:p w14:paraId="5D3CD926" w14:textId="68FDB551" w:rsidR="002673AF" w:rsidRPr="002673AF" w:rsidRDefault="002673AF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dotování ceny a problémy s tvorbou 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obnovu</w:t>
            </w:r>
          </w:p>
        </w:tc>
      </w:tr>
      <w:tr w:rsidR="002673AF" w:rsidRPr="00CB5E46" w14:paraId="74DCAB7E" w14:textId="77777777" w:rsidTr="00007A2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3A963F12" w14:textId="77777777" w:rsidR="002673AF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8</w:t>
            </w:r>
          </w:p>
        </w:tc>
        <w:tc>
          <w:tcPr>
            <w:tcW w:w="2426" w:type="pct"/>
            <w:noWrap/>
            <w:vAlign w:val="center"/>
          </w:tcPr>
          <w:p w14:paraId="30FE5ED3" w14:textId="77777777" w:rsidR="002673AF" w:rsidRPr="002673AF" w:rsidRDefault="002673AF" w:rsidP="002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nulové stočné celkem</w:t>
            </w:r>
          </w:p>
        </w:tc>
        <w:tc>
          <w:tcPr>
            <w:tcW w:w="2309" w:type="pct"/>
            <w:vAlign w:val="center"/>
          </w:tcPr>
          <w:p w14:paraId="2988817F" w14:textId="755E5C67" w:rsidR="002673AF" w:rsidRPr="002673AF" w:rsidRDefault="002673AF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dotování ceny a problémy s tvorbou 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obnovu</w:t>
            </w:r>
          </w:p>
        </w:tc>
      </w:tr>
      <w:tr w:rsidR="002673AF" w:rsidRPr="00CB5E46" w14:paraId="46D4E6CB" w14:textId="77777777" w:rsidTr="000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50ABF01E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9</w:t>
            </w:r>
          </w:p>
        </w:tc>
        <w:tc>
          <w:tcPr>
            <w:tcW w:w="2426" w:type="pct"/>
            <w:vAlign w:val="center"/>
          </w:tcPr>
          <w:p w14:paraId="6F2785BD" w14:textId="659983DE" w:rsidR="002673AF" w:rsidRPr="002673AF" w:rsidRDefault="002673AF" w:rsidP="002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Vysoký počet poruch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1 km stokové sítě / ro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(hodnota 1,5 násobku mediánu skupiny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porovnání 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nulové hodnoty ukazatele)</w:t>
            </w:r>
          </w:p>
        </w:tc>
        <w:tc>
          <w:tcPr>
            <w:tcW w:w="2309" w:type="pct"/>
            <w:vAlign w:val="center"/>
          </w:tcPr>
          <w:p w14:paraId="5A429181" w14:textId="715DB5F9" w:rsidR="002673AF" w:rsidRPr="002673AF" w:rsidRDefault="002673AF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nedostatečná péče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VIM</w:t>
            </w:r>
          </w:p>
        </w:tc>
      </w:tr>
      <w:tr w:rsidR="002673AF" w:rsidRPr="00CB5E46" w14:paraId="1E007B23" w14:textId="77777777" w:rsidTr="00007A2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70A6C6EB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 w:rsidRPr="00DB4EE8"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</w:t>
            </w: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0</w:t>
            </w:r>
          </w:p>
        </w:tc>
        <w:tc>
          <w:tcPr>
            <w:tcW w:w="2426" w:type="pct"/>
            <w:vAlign w:val="center"/>
          </w:tcPr>
          <w:p w14:paraId="492A2905" w14:textId="77777777" w:rsidR="002673AF" w:rsidRPr="002673AF" w:rsidRDefault="002673AF" w:rsidP="002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Záporný kalkulační zisk</w:t>
            </w:r>
          </w:p>
        </w:tc>
        <w:tc>
          <w:tcPr>
            <w:tcW w:w="2309" w:type="pct"/>
            <w:vAlign w:val="center"/>
          </w:tcPr>
          <w:p w14:paraId="71748433" w14:textId="77777777" w:rsidR="002673AF" w:rsidRPr="002673AF" w:rsidRDefault="002673AF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dotace ceny, ztrátové hospodaření</w:t>
            </w:r>
          </w:p>
        </w:tc>
      </w:tr>
      <w:tr w:rsidR="002673AF" w:rsidRPr="00CB5E46" w14:paraId="1EF7ED9D" w14:textId="77777777" w:rsidTr="000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1380A2B1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 w:rsidRPr="00DB4EE8"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</w:t>
            </w: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</w:t>
            </w:r>
          </w:p>
        </w:tc>
        <w:tc>
          <w:tcPr>
            <w:tcW w:w="2426" w:type="pct"/>
            <w:vAlign w:val="center"/>
          </w:tcPr>
          <w:p w14:paraId="48EE23E3" w14:textId="3075B5D4" w:rsidR="002673AF" w:rsidRPr="002673AF" w:rsidRDefault="002673AF" w:rsidP="002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Kalkulován kladný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nulový zis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a dosažen záporný</w:t>
            </w:r>
          </w:p>
        </w:tc>
        <w:tc>
          <w:tcPr>
            <w:tcW w:w="2309" w:type="pct"/>
            <w:vAlign w:val="center"/>
          </w:tcPr>
          <w:p w14:paraId="72E38F28" w14:textId="0018FC9F" w:rsidR="002673AF" w:rsidRPr="002673AF" w:rsidRDefault="002673AF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neziskové hospodaření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daném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 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roce vlivem nepředvídaný</w:t>
            </w:r>
            <w:r w:rsidR="00BE6740">
              <w:rPr>
                <w:rFonts w:ascii="Calibri Light" w:hAnsi="Calibri Light" w:cs="Calibri Light"/>
                <w:smallCaps/>
                <w:color w:val="000000"/>
                <w:sz w:val="20"/>
              </w:rPr>
              <w:t>ch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 okolností</w:t>
            </w:r>
          </w:p>
        </w:tc>
      </w:tr>
      <w:tr w:rsidR="002673AF" w:rsidRPr="00CB5E46" w14:paraId="73F507E2" w14:textId="77777777" w:rsidTr="00007A2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28637215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 w:rsidRPr="00DB4EE8"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</w:t>
            </w: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2</w:t>
            </w:r>
          </w:p>
        </w:tc>
        <w:tc>
          <w:tcPr>
            <w:tcW w:w="2426" w:type="pct"/>
            <w:noWrap/>
            <w:vAlign w:val="center"/>
          </w:tcPr>
          <w:p w14:paraId="0A1C6580" w14:textId="16997608" w:rsidR="002673AF" w:rsidRPr="002673AF" w:rsidRDefault="002673AF" w:rsidP="002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Záporný zis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kalkulován a záporný zis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dosažen</w:t>
            </w:r>
          </w:p>
        </w:tc>
        <w:tc>
          <w:tcPr>
            <w:tcW w:w="2309" w:type="pct"/>
            <w:vAlign w:val="center"/>
          </w:tcPr>
          <w:p w14:paraId="7E6E991E" w14:textId="198CF846" w:rsidR="002673AF" w:rsidRPr="002673AF" w:rsidRDefault="002673AF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vědomě dotovaný provo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a obnova VIM</w:t>
            </w:r>
          </w:p>
        </w:tc>
      </w:tr>
      <w:tr w:rsidR="002673AF" w:rsidRPr="00CB5E46" w14:paraId="1C9D76AC" w14:textId="77777777" w:rsidTr="000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1A3C7033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 w:rsidRPr="00DB4EE8"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</w:t>
            </w: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3</w:t>
            </w:r>
          </w:p>
        </w:tc>
        <w:tc>
          <w:tcPr>
            <w:tcW w:w="2426" w:type="pct"/>
            <w:vAlign w:val="center"/>
          </w:tcPr>
          <w:p w14:paraId="1BA91B30" w14:textId="0579872F" w:rsidR="002673AF" w:rsidRPr="002673AF" w:rsidRDefault="002673AF" w:rsidP="002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Vysoký podíl kalkulačníh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zisku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rozdělení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ÚVN (hodnota více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1,5 násobe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mediánu skupiny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porovnání s kladným kalkulačním ziskem)</w:t>
            </w:r>
          </w:p>
        </w:tc>
        <w:tc>
          <w:tcPr>
            <w:tcW w:w="2309" w:type="pct"/>
            <w:vAlign w:val="center"/>
          </w:tcPr>
          <w:p w14:paraId="4184BEEE" w14:textId="6F6D618B" w:rsidR="002673AF" w:rsidRPr="002673AF" w:rsidRDefault="002673AF" w:rsidP="002673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příliš vysoká ziskovost a odli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ze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sektoru</w:t>
            </w:r>
          </w:p>
        </w:tc>
      </w:tr>
      <w:tr w:rsidR="002673AF" w:rsidRPr="00CB5E46" w14:paraId="3F1AC809" w14:textId="77777777" w:rsidTr="00007A2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Align w:val="center"/>
          </w:tcPr>
          <w:p w14:paraId="5FDE5F87" w14:textId="77777777" w:rsidR="002673AF" w:rsidRPr="00DB4EE8" w:rsidRDefault="002673AF" w:rsidP="002673A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 w:val="0"/>
                <w:color w:val="000000"/>
                <w:sz w:val="20"/>
              </w:rPr>
            </w:pPr>
            <w:r>
              <w:rPr>
                <w:rFonts w:asciiTheme="majorHAnsi" w:eastAsia="Times New Roman" w:hAnsiTheme="majorHAnsi"/>
                <w:b w:val="0"/>
                <w:color w:val="000000"/>
                <w:sz w:val="20"/>
              </w:rPr>
              <w:t>14</w:t>
            </w:r>
          </w:p>
        </w:tc>
        <w:tc>
          <w:tcPr>
            <w:tcW w:w="2426" w:type="pct"/>
            <w:noWrap/>
            <w:vAlign w:val="center"/>
          </w:tcPr>
          <w:p w14:paraId="71039CF9" w14:textId="77777777" w:rsidR="002673AF" w:rsidRPr="002673AF" w:rsidRDefault="002673AF" w:rsidP="002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OKF &gt; 1 a neplní obnovu </w:t>
            </w:r>
          </w:p>
        </w:tc>
        <w:tc>
          <w:tcPr>
            <w:tcW w:w="2309" w:type="pct"/>
            <w:vAlign w:val="center"/>
          </w:tcPr>
          <w:p w14:paraId="32AA01FB" w14:textId="168D8731" w:rsidR="002673AF" w:rsidRPr="002673AF" w:rsidRDefault="002673AF" w:rsidP="002673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ce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obsahuje zisk, ale prostředky obnovy VIM nejsou generovány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2673AF">
              <w:rPr>
                <w:rFonts w:ascii="Calibri Light" w:hAnsi="Calibri Light" w:cs="Calibri Light"/>
                <w:smallCaps/>
                <w:color w:val="000000"/>
                <w:sz w:val="20"/>
              </w:rPr>
              <w:t>dostatečné výši</w:t>
            </w:r>
          </w:p>
        </w:tc>
      </w:tr>
    </w:tbl>
    <w:p w14:paraId="23CF6888" w14:textId="77777777" w:rsidR="007124D0" w:rsidRDefault="007124D0" w:rsidP="000E44C0">
      <w:pPr>
        <w:pStyle w:val="NORMLN0"/>
        <w:rPr>
          <w:noProof/>
        </w:rPr>
      </w:pPr>
      <w:bookmarkStart w:id="42" w:name="_Toc963460"/>
    </w:p>
    <w:p w14:paraId="0097EF48" w14:textId="2C8BCBBC" w:rsidR="008931B7" w:rsidRDefault="00A054B8" w:rsidP="008931B7">
      <w:pPr>
        <w:pStyle w:val="Nadpis3"/>
        <w:rPr>
          <w:noProof/>
        </w:rPr>
      </w:pPr>
      <w:bookmarkStart w:id="43" w:name="_Toc34210384"/>
      <w:r>
        <w:rPr>
          <w:noProof/>
        </w:rPr>
        <w:t>B</w:t>
      </w:r>
      <w:r w:rsidR="008931B7">
        <w:rPr>
          <w:noProof/>
        </w:rPr>
        <w:t>enchmarkingu provozovatelských subjektů</w:t>
      </w:r>
      <w:bookmarkEnd w:id="42"/>
      <w:bookmarkEnd w:id="43"/>
    </w:p>
    <w:p w14:paraId="0A13B900" w14:textId="77777777" w:rsidR="007124D0" w:rsidRPr="007124D0" w:rsidRDefault="007124D0" w:rsidP="007124D0"/>
    <w:p w14:paraId="43150DD6" w14:textId="7A5DD93C" w:rsidR="008931B7" w:rsidRPr="002B20DB" w:rsidRDefault="000D0294" w:rsidP="008931B7">
      <w:pPr>
        <w:rPr>
          <w:b/>
        </w:rPr>
      </w:pPr>
      <w:r>
        <w:rPr>
          <w:b/>
        </w:rPr>
        <w:t>V</w:t>
      </w:r>
      <w:r w:rsidR="008931B7" w:rsidRPr="002B20DB">
        <w:rPr>
          <w:b/>
        </w:rPr>
        <w:t>odovod</w:t>
      </w:r>
    </w:p>
    <w:tbl>
      <w:tblPr>
        <w:tblStyle w:val="Tmavtabulkasmkou5zvraznn13"/>
        <w:tblW w:w="5865" w:type="pct"/>
        <w:jc w:val="center"/>
        <w:tblLayout w:type="fixed"/>
        <w:tblLook w:val="04A0" w:firstRow="1" w:lastRow="0" w:firstColumn="1" w:lastColumn="0" w:noHBand="0" w:noVBand="1"/>
      </w:tblPr>
      <w:tblGrid>
        <w:gridCol w:w="2375"/>
        <w:gridCol w:w="1622"/>
        <w:gridCol w:w="1666"/>
        <w:gridCol w:w="1467"/>
        <w:gridCol w:w="1467"/>
        <w:gridCol w:w="895"/>
        <w:gridCol w:w="1135"/>
      </w:tblGrid>
      <w:tr w:rsidR="004F1AA8" w:rsidRPr="00C54C1D" w14:paraId="2E3A3902" w14:textId="77777777" w:rsidTr="004F1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tcBorders>
              <w:right w:val="single" w:sz="4" w:space="0" w:color="FFFFFF" w:themeColor="background1"/>
            </w:tcBorders>
            <w:vAlign w:val="center"/>
            <w:hideMark/>
          </w:tcPr>
          <w:p w14:paraId="19C0AB7A" w14:textId="6AF1000F" w:rsidR="004F1AA8" w:rsidRPr="00C54C1D" w:rsidRDefault="004F1AA8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sz w:val="20"/>
                <w:szCs w:val="14"/>
              </w:rPr>
            </w:pP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t xml:space="preserve">Benchmarking </w:t>
            </w:r>
            <w:r>
              <w:rPr>
                <w:rFonts w:asciiTheme="majorHAnsi" w:eastAsia="Times New Roman" w:hAnsiTheme="majorHAnsi"/>
                <w:smallCaps/>
                <w:sz w:val="22"/>
                <w:szCs w:val="14"/>
              </w:rPr>
              <w:t>provozovatelských</w:t>
            </w: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t xml:space="preserve"> subjektů:</w:t>
            </w: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br/>
              <w:t>Hodnoty některých ukazatelů</w:t>
            </w:r>
            <w:r w:rsidR="00DE53F8">
              <w:rPr>
                <w:rFonts w:asciiTheme="majorHAnsi" w:eastAsia="Times New Roman" w:hAnsiTheme="majorHAnsi"/>
                <w:smallCaps/>
                <w:sz w:val="22"/>
                <w:szCs w:val="14"/>
              </w:rPr>
              <w:t xml:space="preserve"> u </w:t>
            </w: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t xml:space="preserve">Porovnání splňujících stanovená </w:t>
            </w:r>
            <w:r>
              <w:rPr>
                <w:rFonts w:asciiTheme="majorHAnsi" w:eastAsia="Times New Roman" w:hAnsiTheme="majorHAnsi"/>
                <w:smallCaps/>
                <w:sz w:val="22"/>
                <w:szCs w:val="14"/>
              </w:rPr>
              <w:t>kritéria</w:t>
            </w:r>
          </w:p>
        </w:tc>
        <w:tc>
          <w:tcPr>
            <w:tcW w:w="76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  <w:hideMark/>
          </w:tcPr>
          <w:p w14:paraId="0F7F2DE8" w14:textId="2891726E" w:rsidR="004F1AA8" w:rsidRPr="00B05560" w:rsidRDefault="004F1AA8" w:rsidP="00007A20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z w:val="20"/>
                <w:szCs w:val="17"/>
              </w:rPr>
            </w:pP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Voda nefakturovaná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 km přepočtené délky vodovodníh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o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řadu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den (převyšuje 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skupiny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vykazujících ztráty vody nad 4 m3/km/den)</w:t>
            </w:r>
          </w:p>
        </w:tc>
        <w:tc>
          <w:tcPr>
            <w:tcW w:w="78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  <w:hideMark/>
          </w:tcPr>
          <w:p w14:paraId="1D10D4CE" w14:textId="563B8E6C" w:rsidR="004F1AA8" w:rsidRPr="00B05560" w:rsidRDefault="004F1AA8" w:rsidP="00007A20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z w:val="20"/>
                <w:szCs w:val="17"/>
              </w:rPr>
            </w:pP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Ztráty vody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v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m3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 km přepočtené délky vodovodníh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o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řadu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den (převyšuje 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skupiny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B05560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vykazujících ztráty vody nad 4 m3/km/den)</w:t>
            </w:r>
          </w:p>
        </w:tc>
        <w:tc>
          <w:tcPr>
            <w:tcW w:w="69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  <w:hideMark/>
          </w:tcPr>
          <w:p w14:paraId="29C0AD2B" w14:textId="17922C6B" w:rsidR="004F1AA8" w:rsidRPr="00235CAC" w:rsidRDefault="004F1AA8" w:rsidP="00007A20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</w:pP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Podíl ztrát vody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vodě určené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realizaci (převyšuje 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skupiny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vykazujících ztráty vody nad 4 m3/km/den)</w:t>
            </w:r>
          </w:p>
        </w:tc>
        <w:tc>
          <w:tcPr>
            <w:tcW w:w="69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  <w:vAlign w:val="center"/>
            <w:hideMark/>
          </w:tcPr>
          <w:p w14:paraId="5FC0054A" w14:textId="1B369350" w:rsidR="004F1AA8" w:rsidRPr="005A7198" w:rsidRDefault="004F1AA8" w:rsidP="00007A20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</w:pP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vysoký podíl kalkulačníh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o 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zisku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rozdělení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úvn (hodnota více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než 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skupiny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</w:t>
            </w:r>
            <w:r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ní s kladným kalkulačním ziskem</w:t>
            </w:r>
            <w:r w:rsidRPr="005A719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)</w:t>
            </w:r>
          </w:p>
        </w:tc>
        <w:tc>
          <w:tcPr>
            <w:tcW w:w="42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</w:tcPr>
          <w:p w14:paraId="2254217F" w14:textId="76FAE85D" w:rsidR="004F1AA8" w:rsidRPr="00235CAC" w:rsidRDefault="004F1AA8" w:rsidP="00007A20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</w:pPr>
            <w:r w:rsidRPr="004F1AA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Vysoká rentabilita nákladů (ROC) (více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než </w:t>
            </w:r>
            <w:r w:rsidRPr="004F1AA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4F1AA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4F1AA8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s kladním ziskem)</w:t>
            </w:r>
          </w:p>
        </w:tc>
        <w:tc>
          <w:tcPr>
            <w:tcW w:w="534" w:type="pct"/>
            <w:tcBorders>
              <w:left w:val="single" w:sz="4" w:space="0" w:color="FFFFFF" w:themeColor="background1"/>
            </w:tcBorders>
            <w:textDirection w:val="btLr"/>
          </w:tcPr>
          <w:p w14:paraId="6497CA56" w14:textId="3447B073" w:rsidR="004F1AA8" w:rsidRPr="00235CAC" w:rsidRDefault="004F1AA8" w:rsidP="00007A20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</w:pP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Vysoká ce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pro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vodné (více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než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průměru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splňujících stanovená kritéria)</w:t>
            </w:r>
          </w:p>
        </w:tc>
      </w:tr>
      <w:tr w:rsidR="004F1AA8" w:rsidRPr="00C54C1D" w14:paraId="6EFBEC85" w14:textId="77777777" w:rsidTr="004F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  <w:hideMark/>
          </w:tcPr>
          <w:p w14:paraId="0AA9CD8F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I.skupina(&gt;500 000př.ob.)</w:t>
            </w:r>
          </w:p>
        </w:tc>
        <w:tc>
          <w:tcPr>
            <w:tcW w:w="763" w:type="pct"/>
            <w:noWrap/>
            <w:vAlign w:val="center"/>
            <w:hideMark/>
          </w:tcPr>
          <w:p w14:paraId="2F3F9388" w14:textId="77777777" w:rsidR="004F1AA8" w:rsidRDefault="004F1AA8" w:rsidP="004F1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8,24</w:t>
            </w:r>
          </w:p>
        </w:tc>
        <w:tc>
          <w:tcPr>
            <w:tcW w:w="784" w:type="pct"/>
            <w:noWrap/>
            <w:vAlign w:val="center"/>
            <w:hideMark/>
          </w:tcPr>
          <w:p w14:paraId="350BA52B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6,96</w:t>
            </w:r>
          </w:p>
        </w:tc>
        <w:tc>
          <w:tcPr>
            <w:tcW w:w="690" w:type="pct"/>
            <w:noWrap/>
            <w:vAlign w:val="center"/>
            <w:hideMark/>
          </w:tcPr>
          <w:p w14:paraId="1ACC3784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22,08</w:t>
            </w:r>
          </w:p>
        </w:tc>
        <w:tc>
          <w:tcPr>
            <w:tcW w:w="690" w:type="pct"/>
            <w:noWrap/>
            <w:vAlign w:val="center"/>
            <w:hideMark/>
          </w:tcPr>
          <w:p w14:paraId="277A9514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16,27</w:t>
            </w:r>
          </w:p>
        </w:tc>
        <w:tc>
          <w:tcPr>
            <w:tcW w:w="421" w:type="pct"/>
          </w:tcPr>
          <w:p w14:paraId="5F531D1B" w14:textId="0408BEE5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16,27</w:t>
            </w:r>
          </w:p>
        </w:tc>
        <w:tc>
          <w:tcPr>
            <w:tcW w:w="534" w:type="pct"/>
            <w:vAlign w:val="center"/>
          </w:tcPr>
          <w:p w14:paraId="24B5D6BE" w14:textId="1095D683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61,28</w:t>
            </w:r>
          </w:p>
        </w:tc>
      </w:tr>
      <w:tr w:rsidR="004F1AA8" w:rsidRPr="00C54C1D" w14:paraId="134BD3A1" w14:textId="77777777" w:rsidTr="004F1AA8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  <w:hideMark/>
          </w:tcPr>
          <w:p w14:paraId="51AD9EAE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II.skupina(&gt;200 000př.ob.)</w:t>
            </w:r>
          </w:p>
        </w:tc>
        <w:tc>
          <w:tcPr>
            <w:tcW w:w="763" w:type="pct"/>
            <w:noWrap/>
            <w:vAlign w:val="center"/>
            <w:hideMark/>
          </w:tcPr>
          <w:p w14:paraId="0CAD5680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8,00</w:t>
            </w:r>
          </w:p>
        </w:tc>
        <w:tc>
          <w:tcPr>
            <w:tcW w:w="784" w:type="pct"/>
            <w:noWrap/>
            <w:vAlign w:val="center"/>
            <w:hideMark/>
          </w:tcPr>
          <w:p w14:paraId="70DC2571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7,77</w:t>
            </w:r>
          </w:p>
        </w:tc>
        <w:tc>
          <w:tcPr>
            <w:tcW w:w="690" w:type="pct"/>
            <w:noWrap/>
            <w:vAlign w:val="center"/>
            <w:hideMark/>
          </w:tcPr>
          <w:p w14:paraId="4895620D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17,02</w:t>
            </w:r>
          </w:p>
        </w:tc>
        <w:tc>
          <w:tcPr>
            <w:tcW w:w="690" w:type="pct"/>
            <w:noWrap/>
            <w:vAlign w:val="center"/>
            <w:hideMark/>
          </w:tcPr>
          <w:p w14:paraId="25DF6C42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10,10</w:t>
            </w:r>
          </w:p>
        </w:tc>
        <w:tc>
          <w:tcPr>
            <w:tcW w:w="421" w:type="pct"/>
          </w:tcPr>
          <w:p w14:paraId="4AAC7F92" w14:textId="5E8FFAC8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10,09</w:t>
            </w:r>
          </w:p>
        </w:tc>
        <w:tc>
          <w:tcPr>
            <w:tcW w:w="534" w:type="pct"/>
            <w:vAlign w:val="center"/>
          </w:tcPr>
          <w:p w14:paraId="0748EA29" w14:textId="12907385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55,64</w:t>
            </w:r>
          </w:p>
        </w:tc>
      </w:tr>
      <w:tr w:rsidR="004F1AA8" w:rsidRPr="00C54C1D" w14:paraId="6127FD44" w14:textId="77777777" w:rsidTr="004F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  <w:hideMark/>
          </w:tcPr>
          <w:p w14:paraId="5F028BD2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III.skupina(&gt;100 000př.ob.)</w:t>
            </w:r>
          </w:p>
        </w:tc>
        <w:tc>
          <w:tcPr>
            <w:tcW w:w="763" w:type="pct"/>
            <w:noWrap/>
            <w:vAlign w:val="center"/>
            <w:hideMark/>
          </w:tcPr>
          <w:p w14:paraId="7FBAEA4D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11,04</w:t>
            </w:r>
          </w:p>
        </w:tc>
        <w:tc>
          <w:tcPr>
            <w:tcW w:w="784" w:type="pct"/>
            <w:noWrap/>
            <w:vAlign w:val="center"/>
            <w:hideMark/>
          </w:tcPr>
          <w:p w14:paraId="40BB8535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8,62</w:t>
            </w:r>
          </w:p>
        </w:tc>
        <w:tc>
          <w:tcPr>
            <w:tcW w:w="690" w:type="pct"/>
            <w:noWrap/>
            <w:vAlign w:val="center"/>
            <w:hideMark/>
          </w:tcPr>
          <w:p w14:paraId="74F21832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26,27</w:t>
            </w:r>
          </w:p>
        </w:tc>
        <w:tc>
          <w:tcPr>
            <w:tcW w:w="690" w:type="pct"/>
            <w:noWrap/>
            <w:vAlign w:val="center"/>
            <w:hideMark/>
          </w:tcPr>
          <w:p w14:paraId="06971D1F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4,84</w:t>
            </w:r>
          </w:p>
        </w:tc>
        <w:tc>
          <w:tcPr>
            <w:tcW w:w="421" w:type="pct"/>
          </w:tcPr>
          <w:p w14:paraId="5AA37205" w14:textId="5494AF36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10,35</w:t>
            </w:r>
          </w:p>
        </w:tc>
        <w:tc>
          <w:tcPr>
            <w:tcW w:w="534" w:type="pct"/>
            <w:vAlign w:val="center"/>
          </w:tcPr>
          <w:p w14:paraId="6E44D18D" w14:textId="56A6DE1A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59,48</w:t>
            </w:r>
          </w:p>
        </w:tc>
      </w:tr>
      <w:tr w:rsidR="004F1AA8" w:rsidRPr="00C54C1D" w14:paraId="1CE38A5D" w14:textId="77777777" w:rsidTr="004F1AA8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  <w:hideMark/>
          </w:tcPr>
          <w:p w14:paraId="562BFB09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IV.skupina(&gt;50 000př.ob.)</w:t>
            </w:r>
          </w:p>
        </w:tc>
        <w:tc>
          <w:tcPr>
            <w:tcW w:w="763" w:type="pct"/>
            <w:noWrap/>
            <w:vAlign w:val="center"/>
            <w:hideMark/>
          </w:tcPr>
          <w:p w14:paraId="704A603C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9,83</w:t>
            </w:r>
          </w:p>
        </w:tc>
        <w:tc>
          <w:tcPr>
            <w:tcW w:w="784" w:type="pct"/>
            <w:noWrap/>
            <w:vAlign w:val="center"/>
            <w:hideMark/>
          </w:tcPr>
          <w:p w14:paraId="705AC113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9,04</w:t>
            </w:r>
          </w:p>
        </w:tc>
        <w:tc>
          <w:tcPr>
            <w:tcW w:w="690" w:type="pct"/>
            <w:noWrap/>
            <w:vAlign w:val="center"/>
            <w:hideMark/>
          </w:tcPr>
          <w:p w14:paraId="64ADE9AA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29,36</w:t>
            </w:r>
          </w:p>
        </w:tc>
        <w:tc>
          <w:tcPr>
            <w:tcW w:w="690" w:type="pct"/>
            <w:noWrap/>
            <w:vAlign w:val="center"/>
            <w:hideMark/>
          </w:tcPr>
          <w:p w14:paraId="7EEA1105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7,94</w:t>
            </w:r>
          </w:p>
        </w:tc>
        <w:tc>
          <w:tcPr>
            <w:tcW w:w="421" w:type="pct"/>
          </w:tcPr>
          <w:p w14:paraId="5B1F499A" w14:textId="67127B50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9,96</w:t>
            </w:r>
          </w:p>
        </w:tc>
        <w:tc>
          <w:tcPr>
            <w:tcW w:w="534" w:type="pct"/>
            <w:vAlign w:val="center"/>
          </w:tcPr>
          <w:p w14:paraId="749BED17" w14:textId="4B5A1D35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62,45</w:t>
            </w:r>
          </w:p>
        </w:tc>
      </w:tr>
      <w:tr w:rsidR="004F1AA8" w:rsidRPr="00C54C1D" w14:paraId="69489264" w14:textId="77777777" w:rsidTr="004F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  <w:hideMark/>
          </w:tcPr>
          <w:p w14:paraId="603FC0C3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V.skupina(&gt;10 000př.ob.)</w:t>
            </w:r>
          </w:p>
        </w:tc>
        <w:tc>
          <w:tcPr>
            <w:tcW w:w="763" w:type="pct"/>
            <w:noWrap/>
            <w:vAlign w:val="center"/>
            <w:hideMark/>
          </w:tcPr>
          <w:p w14:paraId="08D2F4C6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11,23</w:t>
            </w:r>
          </w:p>
        </w:tc>
        <w:tc>
          <w:tcPr>
            <w:tcW w:w="784" w:type="pct"/>
            <w:noWrap/>
            <w:vAlign w:val="center"/>
            <w:hideMark/>
          </w:tcPr>
          <w:p w14:paraId="2005140B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9,24</w:t>
            </w:r>
          </w:p>
        </w:tc>
        <w:tc>
          <w:tcPr>
            <w:tcW w:w="690" w:type="pct"/>
            <w:noWrap/>
            <w:vAlign w:val="center"/>
            <w:hideMark/>
          </w:tcPr>
          <w:p w14:paraId="7DDEA1BD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28,47</w:t>
            </w:r>
          </w:p>
        </w:tc>
        <w:tc>
          <w:tcPr>
            <w:tcW w:w="690" w:type="pct"/>
            <w:noWrap/>
            <w:vAlign w:val="center"/>
            <w:hideMark/>
          </w:tcPr>
          <w:p w14:paraId="60EFD541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7,37</w:t>
            </w:r>
          </w:p>
        </w:tc>
        <w:tc>
          <w:tcPr>
            <w:tcW w:w="421" w:type="pct"/>
          </w:tcPr>
          <w:p w14:paraId="69E96306" w14:textId="4B119DF4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9,76</w:t>
            </w:r>
          </w:p>
        </w:tc>
        <w:tc>
          <w:tcPr>
            <w:tcW w:w="534" w:type="pct"/>
            <w:vAlign w:val="center"/>
          </w:tcPr>
          <w:p w14:paraId="6BD519B8" w14:textId="5A57807F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56,72</w:t>
            </w:r>
          </w:p>
        </w:tc>
      </w:tr>
      <w:tr w:rsidR="004F1AA8" w:rsidRPr="00C54C1D" w14:paraId="14390AEE" w14:textId="77777777" w:rsidTr="004F1AA8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  <w:hideMark/>
          </w:tcPr>
          <w:p w14:paraId="2024EB8F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VI.skupina(&gt;1 000př.ob.)</w:t>
            </w:r>
          </w:p>
        </w:tc>
        <w:tc>
          <w:tcPr>
            <w:tcW w:w="763" w:type="pct"/>
            <w:noWrap/>
            <w:vAlign w:val="center"/>
            <w:hideMark/>
          </w:tcPr>
          <w:p w14:paraId="436D8FA3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9,92</w:t>
            </w:r>
          </w:p>
        </w:tc>
        <w:tc>
          <w:tcPr>
            <w:tcW w:w="784" w:type="pct"/>
            <w:noWrap/>
            <w:vAlign w:val="center"/>
            <w:hideMark/>
          </w:tcPr>
          <w:p w14:paraId="5D2C2D04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8,66</w:t>
            </w:r>
          </w:p>
        </w:tc>
        <w:tc>
          <w:tcPr>
            <w:tcW w:w="690" w:type="pct"/>
            <w:noWrap/>
            <w:vAlign w:val="center"/>
            <w:hideMark/>
          </w:tcPr>
          <w:p w14:paraId="02C7D344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36,65</w:t>
            </w:r>
          </w:p>
        </w:tc>
        <w:tc>
          <w:tcPr>
            <w:tcW w:w="690" w:type="pct"/>
            <w:noWrap/>
            <w:vAlign w:val="center"/>
            <w:hideMark/>
          </w:tcPr>
          <w:p w14:paraId="47007EE4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9,91</w:t>
            </w:r>
          </w:p>
        </w:tc>
        <w:tc>
          <w:tcPr>
            <w:tcW w:w="421" w:type="pct"/>
          </w:tcPr>
          <w:p w14:paraId="4EC7D6A2" w14:textId="7DE57713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11,56</w:t>
            </w:r>
          </w:p>
        </w:tc>
        <w:tc>
          <w:tcPr>
            <w:tcW w:w="534" w:type="pct"/>
            <w:vAlign w:val="center"/>
          </w:tcPr>
          <w:p w14:paraId="7910CA97" w14:textId="3988C3AF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51,92</w:t>
            </w:r>
          </w:p>
        </w:tc>
      </w:tr>
      <w:tr w:rsidR="004F1AA8" w:rsidRPr="00C54C1D" w14:paraId="5FBEAA4C" w14:textId="77777777" w:rsidTr="004F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</w:tcPr>
          <w:p w14:paraId="6B64FA8A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VII.skupina(&gt;300př.ob.)</w:t>
            </w:r>
          </w:p>
        </w:tc>
        <w:tc>
          <w:tcPr>
            <w:tcW w:w="763" w:type="pct"/>
            <w:noWrap/>
            <w:vAlign w:val="center"/>
          </w:tcPr>
          <w:p w14:paraId="1BEC752C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10,24</w:t>
            </w:r>
          </w:p>
        </w:tc>
        <w:tc>
          <w:tcPr>
            <w:tcW w:w="784" w:type="pct"/>
            <w:noWrap/>
            <w:vAlign w:val="center"/>
          </w:tcPr>
          <w:p w14:paraId="5957E855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9,03</w:t>
            </w:r>
          </w:p>
        </w:tc>
        <w:tc>
          <w:tcPr>
            <w:tcW w:w="690" w:type="pct"/>
            <w:noWrap/>
            <w:vAlign w:val="center"/>
          </w:tcPr>
          <w:p w14:paraId="1C78EC6F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43,53</w:t>
            </w:r>
          </w:p>
        </w:tc>
        <w:tc>
          <w:tcPr>
            <w:tcW w:w="690" w:type="pct"/>
            <w:noWrap/>
            <w:vAlign w:val="center"/>
          </w:tcPr>
          <w:p w14:paraId="661312D9" w14:textId="77777777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12,68</w:t>
            </w:r>
          </w:p>
        </w:tc>
        <w:tc>
          <w:tcPr>
            <w:tcW w:w="421" w:type="pct"/>
          </w:tcPr>
          <w:p w14:paraId="0754A8F8" w14:textId="67160125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14,67</w:t>
            </w:r>
          </w:p>
        </w:tc>
        <w:tc>
          <w:tcPr>
            <w:tcW w:w="534" w:type="pct"/>
            <w:vAlign w:val="center"/>
          </w:tcPr>
          <w:p w14:paraId="04C6F556" w14:textId="6381D852" w:rsidR="004F1AA8" w:rsidRDefault="004F1AA8" w:rsidP="004F1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51,39</w:t>
            </w:r>
          </w:p>
        </w:tc>
      </w:tr>
      <w:tr w:rsidR="004F1AA8" w:rsidRPr="00C54C1D" w14:paraId="7EDD3643" w14:textId="77777777" w:rsidTr="004F1AA8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noWrap/>
          </w:tcPr>
          <w:p w14:paraId="30981F72" w14:textId="77777777" w:rsidR="004F1AA8" w:rsidRPr="00B05560" w:rsidRDefault="004F1AA8" w:rsidP="004F1AA8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VIII.skupina(&lt;300př.ob.)</w:t>
            </w:r>
          </w:p>
        </w:tc>
        <w:tc>
          <w:tcPr>
            <w:tcW w:w="763" w:type="pct"/>
            <w:noWrap/>
            <w:vAlign w:val="center"/>
          </w:tcPr>
          <w:p w14:paraId="56FB193A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10,38</w:t>
            </w:r>
          </w:p>
        </w:tc>
        <w:tc>
          <w:tcPr>
            <w:tcW w:w="784" w:type="pct"/>
            <w:noWrap/>
            <w:vAlign w:val="center"/>
          </w:tcPr>
          <w:p w14:paraId="7A03A47A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9,91</w:t>
            </w:r>
          </w:p>
        </w:tc>
        <w:tc>
          <w:tcPr>
            <w:tcW w:w="690" w:type="pct"/>
            <w:noWrap/>
            <w:vAlign w:val="center"/>
          </w:tcPr>
          <w:p w14:paraId="78C9D76D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46,30</w:t>
            </w:r>
          </w:p>
        </w:tc>
        <w:tc>
          <w:tcPr>
            <w:tcW w:w="690" w:type="pct"/>
            <w:noWrap/>
            <w:vAlign w:val="center"/>
          </w:tcPr>
          <w:p w14:paraId="725A5B38" w14:textId="77777777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11,56</w:t>
            </w:r>
          </w:p>
        </w:tc>
        <w:tc>
          <w:tcPr>
            <w:tcW w:w="421" w:type="pct"/>
          </w:tcPr>
          <w:p w14:paraId="7D3D3BD2" w14:textId="5236E259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4F1AA8">
              <w:rPr>
                <w:rFonts w:ascii="Calibri Light" w:hAnsi="Calibri Light" w:cs="Calibri Light"/>
                <w:sz w:val="20"/>
              </w:rPr>
              <w:t>14,85</w:t>
            </w:r>
          </w:p>
        </w:tc>
        <w:tc>
          <w:tcPr>
            <w:tcW w:w="534" w:type="pct"/>
            <w:vAlign w:val="center"/>
          </w:tcPr>
          <w:p w14:paraId="0F6A5F78" w14:textId="55E2EA24" w:rsidR="004F1AA8" w:rsidRDefault="004F1AA8" w:rsidP="004F1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50,10</w:t>
            </w:r>
          </w:p>
        </w:tc>
      </w:tr>
    </w:tbl>
    <w:p w14:paraId="25638EBC" w14:textId="77777777" w:rsidR="000D0294" w:rsidRDefault="000D0294" w:rsidP="008931B7"/>
    <w:p w14:paraId="2281F2AA" w14:textId="77777777" w:rsidR="007124D0" w:rsidRDefault="007124D0">
      <w:pPr>
        <w:spacing w:before="0" w:after="160" w:line="259" w:lineRule="auto"/>
        <w:contextualSpacing w:val="0"/>
        <w:jc w:val="left"/>
      </w:pPr>
      <w:r>
        <w:br w:type="page"/>
      </w:r>
    </w:p>
    <w:p w14:paraId="144D5109" w14:textId="5D8716C9" w:rsidR="008931B7" w:rsidRDefault="00962A95" w:rsidP="008931B7">
      <w:r>
        <w:lastRenderedPageBreak/>
        <w:t>Kanalizace</w:t>
      </w:r>
    </w:p>
    <w:tbl>
      <w:tblPr>
        <w:tblStyle w:val="Tmavtabulkasmkou5zvraznn21"/>
        <w:tblW w:w="5193" w:type="pct"/>
        <w:tblInd w:w="-5" w:type="dxa"/>
        <w:tblLook w:val="04A0" w:firstRow="1" w:lastRow="0" w:firstColumn="1" w:lastColumn="0" w:noHBand="0" w:noVBand="1"/>
      </w:tblPr>
      <w:tblGrid>
        <w:gridCol w:w="3227"/>
        <w:gridCol w:w="2061"/>
        <w:gridCol w:w="2061"/>
        <w:gridCol w:w="2061"/>
      </w:tblGrid>
      <w:tr w:rsidR="00CF02CC" w:rsidRPr="00C54C1D" w14:paraId="5A0C7A26" w14:textId="77777777" w:rsidTr="00CF0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tcBorders>
              <w:right w:val="single" w:sz="4" w:space="0" w:color="FFFFFF" w:themeColor="background1"/>
            </w:tcBorders>
            <w:vAlign w:val="center"/>
            <w:hideMark/>
          </w:tcPr>
          <w:p w14:paraId="752A910C" w14:textId="67E05B0D" w:rsidR="00CF02CC" w:rsidRPr="0056088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smallCaps/>
                <w:sz w:val="22"/>
                <w:szCs w:val="14"/>
              </w:rPr>
            </w:pP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t>Benchmarking vlastnických subjektů:</w:t>
            </w: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br/>
              <w:t>Hodnoty některých ukazatelů</w:t>
            </w:r>
            <w:r w:rsidR="00DE53F8">
              <w:rPr>
                <w:rFonts w:asciiTheme="majorHAnsi" w:eastAsia="Times New Roman" w:hAnsiTheme="majorHAnsi"/>
                <w:smallCaps/>
                <w:sz w:val="22"/>
                <w:szCs w:val="14"/>
              </w:rPr>
              <w:t xml:space="preserve"> u </w:t>
            </w:r>
            <w:r w:rsidRPr="002B20DB">
              <w:rPr>
                <w:rFonts w:asciiTheme="majorHAnsi" w:eastAsia="Times New Roman" w:hAnsiTheme="majorHAnsi"/>
                <w:smallCaps/>
                <w:sz w:val="22"/>
                <w:szCs w:val="14"/>
              </w:rPr>
              <w:t xml:space="preserve">Porovnání splňujících stanovená kritéria: </w:t>
            </w:r>
          </w:p>
        </w:tc>
        <w:tc>
          <w:tcPr>
            <w:tcW w:w="1095" w:type="pct"/>
            <w:textDirection w:val="btLr"/>
          </w:tcPr>
          <w:p w14:paraId="7D0B5DD6" w14:textId="357D6F2A" w:rsidR="00CF02CC" w:rsidRPr="00C54C1D" w:rsidRDefault="00CF02CC" w:rsidP="00CF02CC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Vysoká ce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pro </w:t>
            </w:r>
            <w:r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stočné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 (více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než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průměru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splňujících stanovená kritéria)</w:t>
            </w:r>
          </w:p>
        </w:tc>
        <w:tc>
          <w:tcPr>
            <w:tcW w:w="1095" w:type="pct"/>
            <w:textDirection w:val="btLr"/>
            <w:vAlign w:val="center"/>
          </w:tcPr>
          <w:p w14:paraId="381BCAE9" w14:textId="354DF91B" w:rsidR="00CF02CC" w:rsidRPr="00C54C1D" w:rsidRDefault="00CF02CC" w:rsidP="00CF02CC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Vysoký podíl kalkulačníh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o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zisku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rozdělení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na 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ÚVN (</w:t>
            </w:r>
            <w:r w:rsidRPr="005D1954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více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než </w:t>
            </w:r>
            <w:r w:rsidRPr="005D1954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5D1954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5D1954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s kladným ziskem</w:t>
            </w:r>
            <w:r w:rsidRPr="00235CA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)</w:t>
            </w:r>
          </w:p>
        </w:tc>
        <w:tc>
          <w:tcPr>
            <w:tcW w:w="1095" w:type="pct"/>
            <w:textDirection w:val="btLr"/>
          </w:tcPr>
          <w:p w14:paraId="1D442357" w14:textId="244604A0" w:rsidR="00CF02CC" w:rsidRPr="00235CAC" w:rsidRDefault="00CF02CC" w:rsidP="00CF02CC">
            <w:pPr>
              <w:spacing w:before="0" w:after="0"/>
              <w:ind w:left="113" w:right="113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</w:pPr>
            <w:r w:rsidRPr="00CF02C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Vysoká rentabilita nákladů (ROC) (více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než </w:t>
            </w:r>
            <w:r w:rsidRPr="00CF02C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1,5 násobe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k </w:t>
            </w:r>
            <w:r w:rsidRPr="00CF02C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 xml:space="preserve">mediánu </w:t>
            </w:r>
            <w:r w:rsidR="00962A95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z </w:t>
            </w:r>
            <w:r w:rsidRPr="00CF02CC">
              <w:rPr>
                <w:rFonts w:asciiTheme="majorHAnsi" w:eastAsia="Times New Roman" w:hAnsiTheme="majorHAnsi"/>
                <w:b w:val="0"/>
                <w:smallCaps/>
                <w:sz w:val="20"/>
                <w:szCs w:val="17"/>
              </w:rPr>
              <w:t>porovnání s kladním ziskem)</w:t>
            </w:r>
          </w:p>
        </w:tc>
      </w:tr>
      <w:tr w:rsidR="00CF02CC" w:rsidRPr="00C54C1D" w14:paraId="03C403DF" w14:textId="77777777" w:rsidTr="00DF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  <w:hideMark/>
          </w:tcPr>
          <w:p w14:paraId="2BB6F0D4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I.skupina(&gt;500 000př.ob.)</w:t>
            </w:r>
          </w:p>
        </w:tc>
        <w:tc>
          <w:tcPr>
            <w:tcW w:w="1095" w:type="pct"/>
            <w:vAlign w:val="bottom"/>
          </w:tcPr>
          <w:p w14:paraId="2441B382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53,36</w:t>
            </w:r>
          </w:p>
        </w:tc>
        <w:tc>
          <w:tcPr>
            <w:tcW w:w="1095" w:type="pct"/>
            <w:vAlign w:val="bottom"/>
          </w:tcPr>
          <w:p w14:paraId="07904870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16,22</w:t>
            </w:r>
          </w:p>
        </w:tc>
        <w:tc>
          <w:tcPr>
            <w:tcW w:w="1095" w:type="pct"/>
            <w:vAlign w:val="center"/>
          </w:tcPr>
          <w:p w14:paraId="4537ABBB" w14:textId="77777777" w:rsidR="00CF02CC" w:rsidRPr="00CF02CC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16,22</w:t>
            </w:r>
          </w:p>
        </w:tc>
      </w:tr>
      <w:tr w:rsidR="00CF02CC" w:rsidRPr="00C54C1D" w14:paraId="74A5FFF2" w14:textId="77777777" w:rsidTr="00DF09D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  <w:hideMark/>
          </w:tcPr>
          <w:p w14:paraId="11D53ACF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II.skupina(&gt;200 000př.ob.)</w:t>
            </w:r>
          </w:p>
        </w:tc>
        <w:tc>
          <w:tcPr>
            <w:tcW w:w="1095" w:type="pct"/>
            <w:vAlign w:val="bottom"/>
          </w:tcPr>
          <w:p w14:paraId="3C3DE4E7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53,36</w:t>
            </w:r>
          </w:p>
        </w:tc>
        <w:tc>
          <w:tcPr>
            <w:tcW w:w="1095" w:type="pct"/>
            <w:vAlign w:val="bottom"/>
          </w:tcPr>
          <w:p w14:paraId="2D833342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16,22</w:t>
            </w:r>
          </w:p>
        </w:tc>
        <w:tc>
          <w:tcPr>
            <w:tcW w:w="1095" w:type="pct"/>
            <w:vAlign w:val="center"/>
          </w:tcPr>
          <w:p w14:paraId="1D522D71" w14:textId="77777777" w:rsidR="00CF02CC" w:rsidRPr="00CF02CC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16,22</w:t>
            </w:r>
          </w:p>
        </w:tc>
      </w:tr>
      <w:tr w:rsidR="00CF02CC" w:rsidRPr="00C54C1D" w14:paraId="2F5CB0AB" w14:textId="77777777" w:rsidTr="00DF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  <w:hideMark/>
          </w:tcPr>
          <w:p w14:paraId="1F58D416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III.skupina(&gt;100 000př.ob.)</w:t>
            </w:r>
          </w:p>
        </w:tc>
        <w:tc>
          <w:tcPr>
            <w:tcW w:w="1095" w:type="pct"/>
            <w:vAlign w:val="bottom"/>
          </w:tcPr>
          <w:p w14:paraId="2DCD1C7F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54,92</w:t>
            </w:r>
          </w:p>
        </w:tc>
        <w:tc>
          <w:tcPr>
            <w:tcW w:w="1095" w:type="pct"/>
            <w:vAlign w:val="bottom"/>
          </w:tcPr>
          <w:p w14:paraId="30CAF912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12,27</w:t>
            </w:r>
          </w:p>
        </w:tc>
        <w:tc>
          <w:tcPr>
            <w:tcW w:w="1095" w:type="pct"/>
            <w:vAlign w:val="center"/>
          </w:tcPr>
          <w:p w14:paraId="75C20592" w14:textId="77777777" w:rsidR="00CF02CC" w:rsidRPr="00CF02CC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12,27</w:t>
            </w:r>
          </w:p>
        </w:tc>
      </w:tr>
      <w:tr w:rsidR="00CF02CC" w:rsidRPr="00C54C1D" w14:paraId="4A14B21B" w14:textId="77777777" w:rsidTr="00DF09D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  <w:hideMark/>
          </w:tcPr>
          <w:p w14:paraId="11F26910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IV.skupina(&gt;50 000př.ob.)</w:t>
            </w:r>
          </w:p>
        </w:tc>
        <w:tc>
          <w:tcPr>
            <w:tcW w:w="1095" w:type="pct"/>
            <w:vAlign w:val="bottom"/>
          </w:tcPr>
          <w:p w14:paraId="1BB55598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54,38</w:t>
            </w:r>
          </w:p>
        </w:tc>
        <w:tc>
          <w:tcPr>
            <w:tcW w:w="1095" w:type="pct"/>
            <w:vAlign w:val="bottom"/>
          </w:tcPr>
          <w:p w14:paraId="16A16656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9,63</w:t>
            </w:r>
          </w:p>
        </w:tc>
        <w:tc>
          <w:tcPr>
            <w:tcW w:w="1095" w:type="pct"/>
            <w:vAlign w:val="center"/>
          </w:tcPr>
          <w:p w14:paraId="48DFBAF9" w14:textId="77777777" w:rsidR="00CF02CC" w:rsidRPr="00CF02CC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9,85</w:t>
            </w:r>
          </w:p>
        </w:tc>
      </w:tr>
      <w:tr w:rsidR="00CF02CC" w:rsidRPr="00C54C1D" w14:paraId="7E2A8C29" w14:textId="77777777" w:rsidTr="00DF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  <w:hideMark/>
          </w:tcPr>
          <w:p w14:paraId="170192DF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V.skupina(&gt;10 000př.ob.)</w:t>
            </w:r>
          </w:p>
        </w:tc>
        <w:tc>
          <w:tcPr>
            <w:tcW w:w="1095" w:type="pct"/>
            <w:vAlign w:val="bottom"/>
          </w:tcPr>
          <w:p w14:paraId="326C3F6B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52,98</w:t>
            </w:r>
          </w:p>
        </w:tc>
        <w:tc>
          <w:tcPr>
            <w:tcW w:w="1095" w:type="pct"/>
            <w:vAlign w:val="bottom"/>
          </w:tcPr>
          <w:p w14:paraId="7DC9AD81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8,31</w:t>
            </w:r>
          </w:p>
        </w:tc>
        <w:tc>
          <w:tcPr>
            <w:tcW w:w="1095" w:type="pct"/>
            <w:vAlign w:val="center"/>
          </w:tcPr>
          <w:p w14:paraId="3D123290" w14:textId="77777777" w:rsidR="00CF02CC" w:rsidRPr="00CF02CC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11,17</w:t>
            </w:r>
          </w:p>
        </w:tc>
      </w:tr>
      <w:tr w:rsidR="00CF02CC" w:rsidRPr="00C54C1D" w14:paraId="0AB8447D" w14:textId="77777777" w:rsidTr="00DF09D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  <w:hideMark/>
          </w:tcPr>
          <w:p w14:paraId="414FF688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VI.skupina(&gt;1 000př.ob.)</w:t>
            </w:r>
          </w:p>
        </w:tc>
        <w:tc>
          <w:tcPr>
            <w:tcW w:w="1095" w:type="pct"/>
            <w:vAlign w:val="bottom"/>
          </w:tcPr>
          <w:p w14:paraId="33B1A024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52,25</w:t>
            </w:r>
          </w:p>
        </w:tc>
        <w:tc>
          <w:tcPr>
            <w:tcW w:w="1095" w:type="pct"/>
            <w:vAlign w:val="bottom"/>
          </w:tcPr>
          <w:p w14:paraId="40594BA9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9,10</w:t>
            </w:r>
          </w:p>
        </w:tc>
        <w:tc>
          <w:tcPr>
            <w:tcW w:w="1095" w:type="pct"/>
            <w:vAlign w:val="center"/>
          </w:tcPr>
          <w:p w14:paraId="3CB87048" w14:textId="77777777" w:rsidR="00CF02CC" w:rsidRPr="00CF02CC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11,75</w:t>
            </w:r>
          </w:p>
        </w:tc>
      </w:tr>
      <w:tr w:rsidR="00CF02CC" w:rsidRPr="00C54C1D" w14:paraId="7352E271" w14:textId="77777777" w:rsidTr="00DF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</w:tcPr>
          <w:p w14:paraId="5A282A14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VII.skupina(&gt;300př.ob.)</w:t>
            </w:r>
          </w:p>
        </w:tc>
        <w:tc>
          <w:tcPr>
            <w:tcW w:w="1095" w:type="pct"/>
            <w:vAlign w:val="bottom"/>
          </w:tcPr>
          <w:p w14:paraId="51E323B8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54,60</w:t>
            </w:r>
          </w:p>
        </w:tc>
        <w:tc>
          <w:tcPr>
            <w:tcW w:w="1095" w:type="pct"/>
            <w:vAlign w:val="bottom"/>
          </w:tcPr>
          <w:p w14:paraId="11DE3D9C" w14:textId="77777777" w:rsidR="00CF02CC" w:rsidRPr="005D1954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11,32</w:t>
            </w:r>
          </w:p>
        </w:tc>
        <w:tc>
          <w:tcPr>
            <w:tcW w:w="1095" w:type="pct"/>
            <w:vAlign w:val="center"/>
          </w:tcPr>
          <w:p w14:paraId="15EE5581" w14:textId="77777777" w:rsidR="00CF02CC" w:rsidRPr="00CF02CC" w:rsidRDefault="00CF02CC" w:rsidP="00CF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14,84</w:t>
            </w:r>
          </w:p>
        </w:tc>
      </w:tr>
      <w:tr w:rsidR="00CF02CC" w:rsidRPr="00C54C1D" w14:paraId="36747390" w14:textId="77777777" w:rsidTr="00DF09D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pct"/>
            <w:noWrap/>
          </w:tcPr>
          <w:p w14:paraId="4DC60C2D" w14:textId="77777777" w:rsidR="00CF02CC" w:rsidRPr="00C54C1D" w:rsidRDefault="00CF02CC" w:rsidP="00CF02C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 w:val="0"/>
                <w:sz w:val="18"/>
                <w:szCs w:val="14"/>
              </w:rPr>
            </w:pPr>
            <w:r w:rsidRPr="00B05560">
              <w:rPr>
                <w:rFonts w:ascii="Calibri Light" w:hAnsi="Calibri Light"/>
                <w:b w:val="0"/>
                <w:sz w:val="18"/>
              </w:rPr>
              <w:t>VIII.skupina(&lt;300př.ob.)</w:t>
            </w:r>
          </w:p>
        </w:tc>
        <w:tc>
          <w:tcPr>
            <w:tcW w:w="1095" w:type="pct"/>
            <w:vAlign w:val="bottom"/>
          </w:tcPr>
          <w:p w14:paraId="41CDEF64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53,45</w:t>
            </w:r>
          </w:p>
        </w:tc>
        <w:tc>
          <w:tcPr>
            <w:tcW w:w="1095" w:type="pct"/>
            <w:vAlign w:val="bottom"/>
          </w:tcPr>
          <w:p w14:paraId="1465AF64" w14:textId="77777777" w:rsidR="00CF02CC" w:rsidRPr="005D1954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5D1954">
              <w:rPr>
                <w:rFonts w:ascii="Calibri Light" w:hAnsi="Calibri Light"/>
                <w:sz w:val="20"/>
              </w:rPr>
              <w:t>9,99</w:t>
            </w:r>
          </w:p>
        </w:tc>
        <w:tc>
          <w:tcPr>
            <w:tcW w:w="1095" w:type="pct"/>
            <w:vAlign w:val="center"/>
          </w:tcPr>
          <w:p w14:paraId="1C063D90" w14:textId="77777777" w:rsidR="00CF02CC" w:rsidRPr="00CF02CC" w:rsidRDefault="00CF02CC" w:rsidP="00CF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  <w:r w:rsidRPr="00CF02CC">
              <w:rPr>
                <w:rFonts w:ascii="Calibri Light" w:hAnsi="Calibri Light"/>
                <w:sz w:val="20"/>
              </w:rPr>
              <w:t>15,73</w:t>
            </w:r>
          </w:p>
        </w:tc>
      </w:tr>
    </w:tbl>
    <w:p w14:paraId="2C822245" w14:textId="77777777" w:rsidR="008931B7" w:rsidRDefault="008931B7" w:rsidP="008931B7"/>
    <w:p w14:paraId="2D64B653" w14:textId="77777777" w:rsidR="000D0294" w:rsidRPr="00235CAC" w:rsidRDefault="000D0294" w:rsidP="000D0294">
      <w:pPr>
        <w:pStyle w:val="NORMLN0"/>
        <w:ind w:firstLine="0"/>
      </w:pPr>
      <w:r>
        <w:t>Dále je uveden seznam anomálií (způsob jejich stanovení a zdůvodnění).</w:t>
      </w:r>
    </w:p>
    <w:tbl>
      <w:tblPr>
        <w:tblStyle w:val="Tabulkasmkou4zvraznn111"/>
        <w:tblpPr w:leftFromText="141" w:rightFromText="141" w:vertAnchor="text" w:horzAnchor="margin" w:tblpY="375"/>
        <w:tblW w:w="9322" w:type="dxa"/>
        <w:tblLook w:val="04A0" w:firstRow="1" w:lastRow="0" w:firstColumn="1" w:lastColumn="0" w:noHBand="0" w:noVBand="1"/>
      </w:tblPr>
      <w:tblGrid>
        <w:gridCol w:w="441"/>
        <w:gridCol w:w="4941"/>
        <w:gridCol w:w="3940"/>
      </w:tblGrid>
      <w:tr w:rsidR="003F6F10" w:rsidRPr="002B20DB" w14:paraId="78A76BBD" w14:textId="77777777" w:rsidTr="003F6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vAlign w:val="center"/>
          </w:tcPr>
          <w:p w14:paraId="2CB00B1F" w14:textId="77777777" w:rsidR="003F6F10" w:rsidRPr="001657BD" w:rsidRDefault="003F6F10" w:rsidP="003F6F1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Cs w:val="0"/>
                <w:sz w:val="20"/>
              </w:rPr>
            </w:pPr>
            <w:r w:rsidRPr="00235CAC">
              <w:rPr>
                <w:rFonts w:asciiTheme="majorHAnsi" w:eastAsia="Times New Roman" w:hAnsiTheme="majorHAnsi"/>
                <w:bCs w:val="0"/>
                <w:smallCaps/>
              </w:rPr>
              <w:t xml:space="preserve">Benchmarking </w:t>
            </w:r>
            <w:r>
              <w:rPr>
                <w:rFonts w:asciiTheme="majorHAnsi" w:eastAsia="Times New Roman" w:hAnsiTheme="majorHAnsi"/>
                <w:bCs w:val="0"/>
                <w:smallCaps/>
              </w:rPr>
              <w:t>provozovatelských</w:t>
            </w:r>
            <w:r w:rsidRPr="00235CAC">
              <w:rPr>
                <w:rFonts w:asciiTheme="majorHAnsi" w:eastAsia="Times New Roman" w:hAnsiTheme="majorHAnsi"/>
                <w:bCs w:val="0"/>
                <w:smallCaps/>
              </w:rPr>
              <w:t xml:space="preserve"> subjektů:</w:t>
            </w:r>
          </w:p>
        </w:tc>
      </w:tr>
      <w:tr w:rsidR="003F6F10" w:rsidRPr="002B20DB" w14:paraId="5B670469" w14:textId="77777777" w:rsidTr="003F6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49DD3CCD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color w:val="auto"/>
                <w:sz w:val="20"/>
              </w:rPr>
            </w:pPr>
            <w:bookmarkStart w:id="44" w:name="Prov_BM_seznam_anomálie"/>
            <w:bookmarkEnd w:id="44"/>
          </w:p>
        </w:tc>
        <w:tc>
          <w:tcPr>
            <w:tcW w:w="4941" w:type="dxa"/>
            <w:vAlign w:val="center"/>
            <w:hideMark/>
          </w:tcPr>
          <w:p w14:paraId="47726A26" w14:textId="77777777" w:rsidR="003F6F10" w:rsidRPr="00B46E55" w:rsidRDefault="003F6F10" w:rsidP="003F6F10">
            <w:pPr>
              <w:spacing w:before="0" w:after="0"/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Cs w:val="0"/>
                <w:sz w:val="20"/>
              </w:rPr>
            </w:pPr>
            <w:r w:rsidRPr="00B46E55">
              <w:rPr>
                <w:rFonts w:asciiTheme="majorHAnsi" w:eastAsia="Times New Roman" w:hAnsiTheme="majorHAnsi"/>
                <w:bCs w:val="0"/>
                <w:sz w:val="20"/>
              </w:rPr>
              <w:t>VODOVOD</w:t>
            </w:r>
          </w:p>
        </w:tc>
        <w:tc>
          <w:tcPr>
            <w:tcW w:w="3940" w:type="dxa"/>
            <w:vAlign w:val="center"/>
          </w:tcPr>
          <w:p w14:paraId="0B5F204E" w14:textId="77777777" w:rsidR="003F6F10" w:rsidRPr="00473A72" w:rsidRDefault="003F6F10" w:rsidP="003F6F10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2"/>
              </w:rPr>
            </w:pPr>
            <w:r w:rsidRPr="001657BD">
              <w:rPr>
                <w:rFonts w:asciiTheme="majorHAnsi" w:eastAsia="Times New Roman" w:hAnsiTheme="majorHAnsi"/>
                <w:bCs w:val="0"/>
                <w:sz w:val="20"/>
              </w:rPr>
              <w:t>ZDŮVODNĚNÍ</w:t>
            </w:r>
          </w:p>
        </w:tc>
      </w:tr>
      <w:tr w:rsidR="003F6F10" w:rsidRPr="002B20DB" w14:paraId="48FDD677" w14:textId="77777777" w:rsidTr="003F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1A211334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1</w:t>
            </w:r>
          </w:p>
        </w:tc>
        <w:tc>
          <w:tcPr>
            <w:tcW w:w="4941" w:type="dxa"/>
            <w:noWrap/>
            <w:vAlign w:val="center"/>
            <w:hideMark/>
          </w:tcPr>
          <w:p w14:paraId="01EA6A51" w14:textId="7F513CA4" w:rsidR="003F6F10" w:rsidRPr="005468B0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 xml:space="preserve">Vysoké ztráty vody </w:t>
            </w:r>
            <w:r w:rsidR="00962A95">
              <w:rPr>
                <w:rFonts w:ascii="Calibri Light" w:hAnsi="Calibri Light"/>
                <w:smallCaps/>
                <w:sz w:val="20"/>
              </w:rPr>
              <w:t>v </w:t>
            </w:r>
            <w:r w:rsidRPr="005468B0">
              <w:rPr>
                <w:rFonts w:ascii="Calibri Light" w:hAnsi="Calibri Light"/>
                <w:smallCaps/>
                <w:sz w:val="20"/>
              </w:rPr>
              <w:t>mil. m3 (převyšuje 1,5 násobe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mediánu skupiny </w:t>
            </w:r>
            <w:r w:rsidR="00962A95">
              <w:rPr>
                <w:rFonts w:ascii="Calibri Light" w:hAnsi="Calibri Light"/>
                <w:smallCaps/>
                <w:sz w:val="20"/>
              </w:rPr>
              <w:t>z </w:t>
            </w:r>
            <w:r w:rsidRPr="005468B0">
              <w:rPr>
                <w:rFonts w:ascii="Calibri Light" w:hAnsi="Calibri Light"/>
                <w:smallCaps/>
                <w:sz w:val="20"/>
              </w:rPr>
              <w:t>porovnání vykazujících ztráty vody nad 4 m3/km/den)</w:t>
            </w:r>
          </w:p>
        </w:tc>
        <w:tc>
          <w:tcPr>
            <w:tcW w:w="3940" w:type="dxa"/>
            <w:vAlign w:val="center"/>
          </w:tcPr>
          <w:p w14:paraId="18FD504A" w14:textId="1C7C40F5" w:rsidR="003F6F10" w:rsidRPr="00CD43E9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 xml:space="preserve">nedostatečná péče 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o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VIM</w:t>
            </w:r>
          </w:p>
        </w:tc>
      </w:tr>
      <w:tr w:rsidR="003F6F10" w:rsidRPr="002B20DB" w14:paraId="0FC706DF" w14:textId="77777777" w:rsidTr="003F6F1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4D196AD2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2</w:t>
            </w:r>
          </w:p>
        </w:tc>
        <w:tc>
          <w:tcPr>
            <w:tcW w:w="4941" w:type="dxa"/>
            <w:noWrap/>
            <w:vAlign w:val="center"/>
            <w:hideMark/>
          </w:tcPr>
          <w:p w14:paraId="6323E117" w14:textId="3D0B2C2F" w:rsidR="003F6F10" w:rsidRPr="005468B0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 xml:space="preserve">Vysoký podíl ztrát vody </w:t>
            </w:r>
            <w:r w:rsidR="00962A95">
              <w:rPr>
                <w:rFonts w:ascii="Calibri Light" w:hAnsi="Calibri Light"/>
                <w:smallCaps/>
                <w:sz w:val="20"/>
              </w:rPr>
              <w:t>na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vodě určené 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realizaci </w:t>
            </w:r>
            <w:r w:rsidR="00962A95">
              <w:rPr>
                <w:rFonts w:ascii="Calibri Light" w:hAnsi="Calibri Light"/>
                <w:smallCaps/>
                <w:sz w:val="20"/>
              </w:rPr>
              <w:t>v </w:t>
            </w:r>
            <w:r w:rsidRPr="005468B0">
              <w:rPr>
                <w:rFonts w:ascii="Calibri Light" w:hAnsi="Calibri Light"/>
                <w:smallCaps/>
                <w:sz w:val="20"/>
              </w:rPr>
              <w:t>% (převyšuje 1,5 násobe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mediánu skupiny </w:t>
            </w:r>
            <w:r w:rsidR="00962A95">
              <w:rPr>
                <w:rFonts w:ascii="Calibri Light" w:hAnsi="Calibri Light"/>
                <w:smallCaps/>
                <w:sz w:val="20"/>
              </w:rPr>
              <w:t>z </w:t>
            </w:r>
            <w:r w:rsidRPr="005468B0">
              <w:rPr>
                <w:rFonts w:ascii="Calibri Light" w:hAnsi="Calibri Light"/>
                <w:smallCaps/>
                <w:sz w:val="20"/>
              </w:rPr>
              <w:t>porovnání vykazujících ztráty vody nad 4 m3/km/den)</w:t>
            </w:r>
          </w:p>
        </w:tc>
        <w:tc>
          <w:tcPr>
            <w:tcW w:w="3940" w:type="dxa"/>
            <w:vAlign w:val="center"/>
          </w:tcPr>
          <w:p w14:paraId="727F1149" w14:textId="2DAADF2E" w:rsidR="003F6F10" w:rsidRPr="00CD43E9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 xml:space="preserve">nedostatečná péče 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o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VIM</w:t>
            </w:r>
          </w:p>
        </w:tc>
      </w:tr>
      <w:tr w:rsidR="003F6F10" w:rsidRPr="002B20DB" w14:paraId="2B710A99" w14:textId="77777777" w:rsidTr="003F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615F5B79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3</w:t>
            </w:r>
          </w:p>
        </w:tc>
        <w:tc>
          <w:tcPr>
            <w:tcW w:w="4941" w:type="dxa"/>
            <w:noWrap/>
            <w:vAlign w:val="center"/>
            <w:hideMark/>
          </w:tcPr>
          <w:p w14:paraId="22450F38" w14:textId="3C9188A7" w:rsidR="003F6F10" w:rsidRPr="005468B0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 xml:space="preserve">Voda nefakturovaná </w:t>
            </w:r>
            <w:r w:rsidR="00962A95">
              <w:rPr>
                <w:rFonts w:ascii="Calibri Light" w:hAnsi="Calibri Light"/>
                <w:smallCaps/>
                <w:sz w:val="20"/>
              </w:rPr>
              <w:t>na </w:t>
            </w:r>
            <w:r w:rsidRPr="005468B0">
              <w:rPr>
                <w:rFonts w:ascii="Calibri Light" w:hAnsi="Calibri Light"/>
                <w:smallCaps/>
                <w:sz w:val="20"/>
              </w:rPr>
              <w:t>1 km přepočtené délky vodovodníh</w:t>
            </w:r>
            <w:r w:rsidR="00962A95">
              <w:rPr>
                <w:rFonts w:ascii="Calibri Light" w:hAnsi="Calibri Light"/>
                <w:smallCaps/>
                <w:sz w:val="20"/>
              </w:rPr>
              <w:t>o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řadu </w:t>
            </w:r>
            <w:r w:rsidR="00962A95">
              <w:rPr>
                <w:rFonts w:ascii="Calibri Light" w:hAnsi="Calibri Light"/>
                <w:smallCaps/>
                <w:sz w:val="20"/>
              </w:rPr>
              <w:t>na </w:t>
            </w:r>
            <w:r w:rsidRPr="005468B0">
              <w:rPr>
                <w:rFonts w:ascii="Calibri Light" w:hAnsi="Calibri Light"/>
                <w:smallCaps/>
                <w:sz w:val="20"/>
              </w:rPr>
              <w:t>den (převyšuje 1,5 násobe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mediánu skupiny </w:t>
            </w:r>
            <w:r w:rsidR="00962A95">
              <w:rPr>
                <w:rFonts w:ascii="Calibri Light" w:hAnsi="Calibri Light"/>
                <w:smallCaps/>
                <w:sz w:val="20"/>
              </w:rPr>
              <w:t>z </w:t>
            </w:r>
            <w:r w:rsidRPr="005468B0">
              <w:rPr>
                <w:rFonts w:ascii="Calibri Light" w:hAnsi="Calibri Light"/>
                <w:smallCaps/>
                <w:sz w:val="20"/>
              </w:rPr>
              <w:t>porovnání vykazujících ztráty vody nad 4 m3/km/den)</w:t>
            </w:r>
          </w:p>
        </w:tc>
        <w:tc>
          <w:tcPr>
            <w:tcW w:w="3940" w:type="dxa"/>
            <w:vAlign w:val="center"/>
          </w:tcPr>
          <w:p w14:paraId="4E659E27" w14:textId="0E869823" w:rsidR="003F6F10" w:rsidRPr="00CD43E9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 xml:space="preserve">podíl vody nepřinášející výnosy 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k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 xml:space="preserve">pokrytí souvisejících nákladů (zkreslen např. tzv. areálovými vodovody), doplňuje údaje 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o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ztrátách vody</w:t>
            </w:r>
          </w:p>
        </w:tc>
      </w:tr>
      <w:tr w:rsidR="003F6F10" w:rsidRPr="002B20DB" w14:paraId="271B1F48" w14:textId="77777777" w:rsidTr="003F6F1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2AB04D8D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5</w:t>
            </w:r>
          </w:p>
        </w:tc>
        <w:tc>
          <w:tcPr>
            <w:tcW w:w="4941" w:type="dxa"/>
            <w:noWrap/>
            <w:vAlign w:val="center"/>
            <w:hideMark/>
          </w:tcPr>
          <w:p w14:paraId="489BD604" w14:textId="77777777" w:rsidR="003F6F10" w:rsidRPr="005468B0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Nulové ztráty vody</w:t>
            </w:r>
          </w:p>
        </w:tc>
        <w:tc>
          <w:tcPr>
            <w:tcW w:w="3940" w:type="dxa"/>
            <w:vAlign w:val="center"/>
          </w:tcPr>
          <w:p w14:paraId="1D6E2F59" w14:textId="77777777" w:rsidR="003F6F10" w:rsidRPr="00CD43E9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3F6F10" w:rsidRPr="002B20DB" w14:paraId="3A29DFDF" w14:textId="77777777" w:rsidTr="003F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568BDE9A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6</w:t>
            </w:r>
          </w:p>
        </w:tc>
        <w:tc>
          <w:tcPr>
            <w:tcW w:w="4941" w:type="dxa"/>
            <w:noWrap/>
            <w:vAlign w:val="center"/>
            <w:hideMark/>
          </w:tcPr>
          <w:p w14:paraId="4EE7A4CB" w14:textId="77777777" w:rsidR="003F6F10" w:rsidRPr="005468B0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Záporný kalkulační zisk</w:t>
            </w:r>
          </w:p>
        </w:tc>
        <w:tc>
          <w:tcPr>
            <w:tcW w:w="3940" w:type="dxa"/>
            <w:vAlign w:val="center"/>
          </w:tcPr>
          <w:p w14:paraId="27A9DA56" w14:textId="77777777" w:rsidR="003F6F10" w:rsidRPr="00CD43E9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dotace ceny; ztrátové hospodaření</w:t>
            </w:r>
          </w:p>
        </w:tc>
      </w:tr>
      <w:tr w:rsidR="003F6F10" w:rsidRPr="002B20DB" w14:paraId="1F5CE9AE" w14:textId="77777777" w:rsidTr="003F6F1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737E448D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7</w:t>
            </w:r>
          </w:p>
        </w:tc>
        <w:tc>
          <w:tcPr>
            <w:tcW w:w="4941" w:type="dxa"/>
            <w:noWrap/>
            <w:vAlign w:val="center"/>
            <w:hideMark/>
          </w:tcPr>
          <w:p w14:paraId="4E18CD8F" w14:textId="77777777" w:rsidR="003F6F10" w:rsidRPr="005468B0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Nulové vodné celkem</w:t>
            </w:r>
          </w:p>
        </w:tc>
        <w:tc>
          <w:tcPr>
            <w:tcW w:w="3940" w:type="dxa"/>
            <w:vAlign w:val="center"/>
          </w:tcPr>
          <w:p w14:paraId="2892B600" w14:textId="77777777" w:rsidR="003F6F10" w:rsidRPr="00CD43E9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dotování ceny</w:t>
            </w:r>
          </w:p>
        </w:tc>
      </w:tr>
      <w:tr w:rsidR="003F6F10" w:rsidRPr="002B20DB" w14:paraId="4C93257C" w14:textId="77777777" w:rsidTr="003F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4A7D7D38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 w:rsidRPr="00C14900">
              <w:rPr>
                <w:rFonts w:ascii="Calibri Light" w:eastAsia="Times New Roman" w:hAnsi="Calibri Light"/>
                <w:b w:val="0"/>
                <w:bCs w:val="0"/>
                <w:sz w:val="20"/>
              </w:rPr>
              <w:t>8</w:t>
            </w:r>
          </w:p>
        </w:tc>
        <w:tc>
          <w:tcPr>
            <w:tcW w:w="4941" w:type="dxa"/>
            <w:noWrap/>
            <w:vAlign w:val="center"/>
            <w:hideMark/>
          </w:tcPr>
          <w:p w14:paraId="4B39B259" w14:textId="14171FD5" w:rsidR="003F6F10" w:rsidRPr="005468B0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Vysoký podíl kalkulačníh</w:t>
            </w:r>
            <w:r w:rsidR="00962A95">
              <w:rPr>
                <w:rFonts w:ascii="Calibri Light" w:hAnsi="Calibri Light"/>
                <w:smallCaps/>
                <w:sz w:val="20"/>
              </w:rPr>
              <w:t>o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zisku 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rozdělení </w:t>
            </w:r>
            <w:r w:rsidR="00962A95">
              <w:rPr>
                <w:rFonts w:ascii="Calibri Light" w:hAnsi="Calibri Light"/>
                <w:smallCaps/>
                <w:sz w:val="20"/>
              </w:rPr>
              <w:t>na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ÚVN (více </w:t>
            </w:r>
            <w:r w:rsidR="00962A95">
              <w:rPr>
                <w:rFonts w:ascii="Calibri Light" w:hAnsi="Calibri Light"/>
                <w:smallCaps/>
                <w:sz w:val="20"/>
              </w:rPr>
              <w:t>než </w:t>
            </w:r>
            <w:r w:rsidRPr="005468B0">
              <w:rPr>
                <w:rFonts w:ascii="Calibri Light" w:hAnsi="Calibri Light"/>
                <w:smallCaps/>
                <w:sz w:val="20"/>
              </w:rPr>
              <w:t>1,5 násobe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průměru </w:t>
            </w:r>
            <w:r w:rsidR="00962A95">
              <w:rPr>
                <w:rFonts w:ascii="Calibri Light" w:hAnsi="Calibri Light"/>
                <w:smallCaps/>
                <w:sz w:val="20"/>
              </w:rPr>
              <w:t>z </w:t>
            </w:r>
            <w:r w:rsidRPr="005468B0">
              <w:rPr>
                <w:rFonts w:ascii="Calibri Light" w:hAnsi="Calibri Light"/>
                <w:smallCaps/>
                <w:sz w:val="20"/>
              </w:rPr>
              <w:t>porovnání splňujících stanovená kritéria)</w:t>
            </w:r>
          </w:p>
        </w:tc>
        <w:tc>
          <w:tcPr>
            <w:tcW w:w="3940" w:type="dxa"/>
            <w:vAlign w:val="center"/>
          </w:tcPr>
          <w:p w14:paraId="7F7BD479" w14:textId="64FF3423" w:rsidR="003F6F10" w:rsidRPr="00CD43E9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příliš vysoká ziskovost a odli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v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 xml:space="preserve">prostředků 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ze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sektoru</w:t>
            </w:r>
          </w:p>
        </w:tc>
      </w:tr>
      <w:tr w:rsidR="003F6F10" w:rsidRPr="002B20DB" w14:paraId="55620354" w14:textId="77777777" w:rsidTr="003F6F1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4411E5E1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>
              <w:rPr>
                <w:rFonts w:ascii="Calibri Light" w:eastAsia="Times New Roman" w:hAnsi="Calibri Light"/>
                <w:b w:val="0"/>
                <w:bCs w:val="0"/>
                <w:sz w:val="20"/>
              </w:rPr>
              <w:t>9</w:t>
            </w:r>
          </w:p>
        </w:tc>
        <w:tc>
          <w:tcPr>
            <w:tcW w:w="4941" w:type="dxa"/>
            <w:noWrap/>
            <w:vAlign w:val="center"/>
          </w:tcPr>
          <w:p w14:paraId="7DACCECA" w14:textId="13687A28" w:rsidR="003F6F10" w:rsidRPr="005468B0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Vysoká rentabilita nákladů (ROC) (více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1,5 násobe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mediánu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porovnání s kladným ziskem) </w:t>
            </w:r>
          </w:p>
        </w:tc>
        <w:tc>
          <w:tcPr>
            <w:tcW w:w="3940" w:type="dxa"/>
            <w:vAlign w:val="bottom"/>
          </w:tcPr>
          <w:p w14:paraId="6986045B" w14:textId="2151F445" w:rsidR="003F6F10" w:rsidRPr="00CD43E9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>Koli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je zisku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jednu korunu vložených nákladů (prostředky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obnovu jsou součástí zisku – účetní hledisko) </w:t>
            </w:r>
          </w:p>
        </w:tc>
      </w:tr>
      <w:tr w:rsidR="003F6F10" w:rsidRPr="002B20DB" w14:paraId="3B85793F" w14:textId="77777777" w:rsidTr="003F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2C26996A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>
              <w:rPr>
                <w:rFonts w:ascii="Calibri Light" w:eastAsia="Times New Roman" w:hAnsi="Calibri Light"/>
                <w:b w:val="0"/>
                <w:bCs w:val="0"/>
                <w:sz w:val="20"/>
              </w:rPr>
              <w:t>10</w:t>
            </w:r>
          </w:p>
        </w:tc>
        <w:tc>
          <w:tcPr>
            <w:tcW w:w="4941" w:type="dxa"/>
            <w:noWrap/>
            <w:vAlign w:val="center"/>
            <w:hideMark/>
          </w:tcPr>
          <w:p w14:paraId="5FD84090" w14:textId="1C047669" w:rsidR="003F6F10" w:rsidRPr="005468B0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Vysoká ce</w:t>
            </w:r>
            <w:r w:rsidR="00962A95">
              <w:rPr>
                <w:rFonts w:ascii="Calibri Light" w:hAnsi="Calibri Light"/>
                <w:smallCaps/>
                <w:sz w:val="20"/>
              </w:rPr>
              <w:t>na pro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vodné (více </w:t>
            </w:r>
            <w:r w:rsidR="00962A95">
              <w:rPr>
                <w:rFonts w:ascii="Calibri Light" w:hAnsi="Calibri Light"/>
                <w:smallCaps/>
                <w:sz w:val="20"/>
              </w:rPr>
              <w:t>než </w:t>
            </w:r>
            <w:r w:rsidRPr="005468B0">
              <w:rPr>
                <w:rFonts w:ascii="Calibri Light" w:hAnsi="Calibri Light"/>
                <w:smallCaps/>
                <w:sz w:val="20"/>
              </w:rPr>
              <w:t>1,5 násobe</w:t>
            </w:r>
            <w:r w:rsidR="00962A95">
              <w:rPr>
                <w:rFonts w:ascii="Calibri Light" w:hAnsi="Calibri Light"/>
                <w:smallCaps/>
                <w:sz w:val="20"/>
              </w:rPr>
              <w:t>k </w:t>
            </w:r>
            <w:r w:rsidRPr="005468B0">
              <w:rPr>
                <w:rFonts w:ascii="Calibri Light" w:hAnsi="Calibri Light"/>
                <w:smallCaps/>
                <w:sz w:val="20"/>
              </w:rPr>
              <w:t xml:space="preserve">průměru </w:t>
            </w:r>
            <w:r w:rsidR="00962A95">
              <w:rPr>
                <w:rFonts w:ascii="Calibri Light" w:hAnsi="Calibri Light"/>
                <w:smallCaps/>
                <w:sz w:val="20"/>
              </w:rPr>
              <w:t>z </w:t>
            </w:r>
            <w:r w:rsidRPr="005468B0">
              <w:rPr>
                <w:rFonts w:ascii="Calibri Light" w:hAnsi="Calibri Light"/>
                <w:smallCaps/>
                <w:sz w:val="20"/>
              </w:rPr>
              <w:t>porovnání splňujících stanovená kritéria)</w:t>
            </w:r>
          </w:p>
        </w:tc>
        <w:tc>
          <w:tcPr>
            <w:tcW w:w="3940" w:type="dxa"/>
            <w:vAlign w:val="center"/>
          </w:tcPr>
          <w:p w14:paraId="0631B1FA" w14:textId="7CF3D43C" w:rsidR="003F6F10" w:rsidRPr="00CD43E9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vysoká nákladovost neb</w:t>
            </w:r>
            <w:r w:rsidR="00962A95">
              <w:rPr>
                <w:rFonts w:ascii="Calibri Light" w:hAnsi="Calibri Light"/>
                <w:smallCaps/>
                <w:color w:val="000000"/>
                <w:sz w:val="20"/>
              </w:rPr>
              <w:t>o </w:t>
            </w: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ziskovost, problém sociální únosnosti ceny</w:t>
            </w:r>
          </w:p>
        </w:tc>
      </w:tr>
      <w:tr w:rsidR="003F6F10" w:rsidRPr="002B20DB" w14:paraId="47202757" w14:textId="77777777" w:rsidTr="003F6F1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0A892CEC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>
              <w:rPr>
                <w:rFonts w:ascii="Calibri Light" w:eastAsia="Times New Roman" w:hAnsi="Calibri Light"/>
                <w:b w:val="0"/>
                <w:bCs w:val="0"/>
                <w:sz w:val="20"/>
              </w:rPr>
              <w:t>11</w:t>
            </w:r>
          </w:p>
        </w:tc>
        <w:tc>
          <w:tcPr>
            <w:tcW w:w="4941" w:type="dxa"/>
            <w:vAlign w:val="center"/>
            <w:hideMark/>
          </w:tcPr>
          <w:p w14:paraId="4B8D14B4" w14:textId="77777777" w:rsidR="003F6F10" w:rsidRPr="005468B0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Nulové mzdové náklady + nenulový počet zaměstnanců</w:t>
            </w:r>
          </w:p>
        </w:tc>
        <w:tc>
          <w:tcPr>
            <w:tcW w:w="3940" w:type="dxa"/>
            <w:vAlign w:val="center"/>
          </w:tcPr>
          <w:p w14:paraId="7E60155A" w14:textId="77777777" w:rsidR="003F6F10" w:rsidRPr="00CD43E9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3F6F10" w:rsidRPr="002B20DB" w14:paraId="23CA923F" w14:textId="77777777" w:rsidTr="003F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37920202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>
              <w:rPr>
                <w:rFonts w:ascii="Calibri Light" w:eastAsia="Times New Roman" w:hAnsi="Calibri Light"/>
                <w:b w:val="0"/>
                <w:bCs w:val="0"/>
                <w:sz w:val="20"/>
              </w:rPr>
              <w:t>12</w:t>
            </w:r>
          </w:p>
        </w:tc>
        <w:tc>
          <w:tcPr>
            <w:tcW w:w="4941" w:type="dxa"/>
            <w:noWrap/>
            <w:vAlign w:val="center"/>
            <w:hideMark/>
          </w:tcPr>
          <w:p w14:paraId="7763D28D" w14:textId="77777777" w:rsidR="003F6F10" w:rsidRPr="005468B0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>Nulový počet zaměstnanců + vykázané mzdové náklady</w:t>
            </w:r>
          </w:p>
        </w:tc>
        <w:tc>
          <w:tcPr>
            <w:tcW w:w="3940" w:type="dxa"/>
            <w:vAlign w:val="center"/>
          </w:tcPr>
          <w:p w14:paraId="4B916488" w14:textId="77777777" w:rsidR="003F6F10" w:rsidRPr="00CD43E9" w:rsidRDefault="003F6F10" w:rsidP="003F6F10">
            <w:pPr>
              <w:spacing w:before="0"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3F6F10" w:rsidRPr="002B20DB" w14:paraId="50D740E4" w14:textId="77777777" w:rsidTr="003F6F1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Align w:val="center"/>
          </w:tcPr>
          <w:p w14:paraId="2D593063" w14:textId="77777777" w:rsidR="003F6F10" w:rsidRPr="00C14900" w:rsidRDefault="003F6F10" w:rsidP="003F6F10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 w:val="0"/>
                <w:bCs w:val="0"/>
                <w:sz w:val="20"/>
              </w:rPr>
            </w:pPr>
            <w:r>
              <w:rPr>
                <w:rFonts w:ascii="Calibri Light" w:eastAsia="Times New Roman" w:hAnsi="Calibri Light"/>
                <w:b w:val="0"/>
                <w:bCs w:val="0"/>
                <w:sz w:val="20"/>
              </w:rPr>
              <w:t>13</w:t>
            </w:r>
          </w:p>
        </w:tc>
        <w:tc>
          <w:tcPr>
            <w:tcW w:w="4941" w:type="dxa"/>
            <w:noWrap/>
            <w:vAlign w:val="center"/>
          </w:tcPr>
          <w:p w14:paraId="51A213F7" w14:textId="0366295C" w:rsidR="003F6F10" w:rsidRPr="005468B0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mallCaps/>
                <w:sz w:val="20"/>
              </w:rPr>
            </w:pPr>
            <w:r w:rsidRPr="005468B0">
              <w:rPr>
                <w:rFonts w:ascii="Calibri Light" w:hAnsi="Calibri Light"/>
                <w:smallCaps/>
                <w:sz w:val="20"/>
              </w:rPr>
              <w:t xml:space="preserve">Podíl nevyhovující fyzikálně chemické vzorky (víc </w:t>
            </w:r>
            <w:r w:rsidR="00962A95">
              <w:rPr>
                <w:rFonts w:ascii="Calibri Light" w:hAnsi="Calibri Light"/>
                <w:smallCaps/>
                <w:sz w:val="20"/>
              </w:rPr>
              <w:t>než </w:t>
            </w:r>
            <w:r w:rsidRPr="005468B0">
              <w:rPr>
                <w:rFonts w:ascii="Calibri Light" w:hAnsi="Calibri Light"/>
                <w:smallCaps/>
                <w:sz w:val="20"/>
              </w:rPr>
              <w:t>20% nevyhovujících vzorků)</w:t>
            </w:r>
          </w:p>
        </w:tc>
        <w:tc>
          <w:tcPr>
            <w:tcW w:w="3940" w:type="dxa"/>
            <w:vAlign w:val="center"/>
          </w:tcPr>
          <w:p w14:paraId="51E4C7F1" w14:textId="77777777" w:rsidR="003F6F10" w:rsidRPr="00CD43E9" w:rsidRDefault="003F6F10" w:rsidP="003F6F10">
            <w:pPr>
              <w:spacing w:before="0"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/>
                <w:bCs/>
                <w:smallCaps/>
                <w:sz w:val="22"/>
              </w:rPr>
            </w:pPr>
            <w:r w:rsidRPr="00CD43E9">
              <w:rPr>
                <w:rFonts w:ascii="Calibri Light" w:hAnsi="Calibri Light"/>
                <w:smallCaps/>
                <w:color w:val="000000"/>
                <w:sz w:val="20"/>
              </w:rPr>
              <w:t>ohrožení kvality dodávaných služeb</w:t>
            </w:r>
          </w:p>
        </w:tc>
      </w:tr>
    </w:tbl>
    <w:p w14:paraId="034A6378" w14:textId="0D541E44" w:rsidR="007124D0" w:rsidRDefault="007124D0" w:rsidP="008931B7">
      <w:pPr>
        <w:pStyle w:val="NORMLN0"/>
        <w:rPr>
          <w:noProof/>
        </w:rPr>
      </w:pPr>
    </w:p>
    <w:p w14:paraId="6F19C023" w14:textId="77777777" w:rsidR="007124D0" w:rsidRDefault="007124D0">
      <w:pPr>
        <w:spacing w:before="0" w:after="160" w:line="259" w:lineRule="auto"/>
        <w:contextualSpacing w:val="0"/>
        <w:jc w:val="left"/>
        <w:rPr>
          <w:noProof/>
          <w:szCs w:val="20"/>
        </w:rPr>
      </w:pPr>
      <w:r>
        <w:rPr>
          <w:noProof/>
        </w:rPr>
        <w:br w:type="page"/>
      </w:r>
    </w:p>
    <w:p w14:paraId="1C193006" w14:textId="77777777" w:rsidR="008931B7" w:rsidRDefault="008931B7" w:rsidP="008931B7">
      <w:pPr>
        <w:pStyle w:val="NORMLN0"/>
        <w:rPr>
          <w:noProof/>
        </w:rPr>
      </w:pPr>
    </w:p>
    <w:tbl>
      <w:tblPr>
        <w:tblStyle w:val="Tabulkasmkou4zvraznn21"/>
        <w:tblW w:w="5161" w:type="pct"/>
        <w:tblLayout w:type="fixed"/>
        <w:tblLook w:val="04A0" w:firstRow="1" w:lastRow="0" w:firstColumn="1" w:lastColumn="0" w:noHBand="0" w:noVBand="1"/>
      </w:tblPr>
      <w:tblGrid>
        <w:gridCol w:w="488"/>
        <w:gridCol w:w="4895"/>
        <w:gridCol w:w="3969"/>
      </w:tblGrid>
      <w:tr w:rsidR="008931B7" w:rsidRPr="003A1F76" w14:paraId="62E138DD" w14:textId="77777777" w:rsidTr="00007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7D6B4C1" w14:textId="77777777" w:rsidR="008931B7" w:rsidRPr="001657BD" w:rsidRDefault="008931B7" w:rsidP="00007A2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Cs w:val="0"/>
                <w:sz w:val="20"/>
              </w:rPr>
            </w:pPr>
            <w:r w:rsidRPr="00235CAC">
              <w:rPr>
                <w:rFonts w:asciiTheme="majorHAnsi" w:eastAsia="Times New Roman" w:hAnsiTheme="majorHAnsi"/>
                <w:bCs w:val="0"/>
                <w:smallCaps/>
              </w:rPr>
              <w:t xml:space="preserve">Benchmarking </w:t>
            </w:r>
            <w:r>
              <w:rPr>
                <w:rFonts w:asciiTheme="majorHAnsi" w:eastAsia="Times New Roman" w:hAnsiTheme="majorHAnsi"/>
                <w:bCs w:val="0"/>
                <w:smallCaps/>
              </w:rPr>
              <w:t>provozovatelských</w:t>
            </w:r>
            <w:r w:rsidRPr="00235CAC">
              <w:rPr>
                <w:rFonts w:asciiTheme="majorHAnsi" w:eastAsia="Times New Roman" w:hAnsiTheme="majorHAnsi"/>
                <w:bCs w:val="0"/>
                <w:smallCaps/>
              </w:rPr>
              <w:t xml:space="preserve"> subjektů:</w:t>
            </w:r>
          </w:p>
        </w:tc>
      </w:tr>
      <w:tr w:rsidR="008931B7" w:rsidRPr="003A1F76" w14:paraId="26173375" w14:textId="77777777" w:rsidTr="00CD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shd w:val="clear" w:color="auto" w:fill="ED7D31" w:themeFill="accent2"/>
            <w:vAlign w:val="center"/>
          </w:tcPr>
          <w:p w14:paraId="754F6494" w14:textId="77777777" w:rsidR="008931B7" w:rsidRPr="00DB4EE8" w:rsidRDefault="008931B7" w:rsidP="00007A20">
            <w:pPr>
              <w:spacing w:before="0" w:after="0"/>
              <w:contextualSpacing w:val="0"/>
              <w:jc w:val="left"/>
              <w:rPr>
                <w:rFonts w:eastAsia="Times New Roman"/>
                <w:b w:val="0"/>
                <w:bCs w:val="0"/>
                <w:color w:val="FFFFFF"/>
                <w:sz w:val="22"/>
              </w:rPr>
            </w:pPr>
          </w:p>
        </w:tc>
        <w:tc>
          <w:tcPr>
            <w:tcW w:w="2617" w:type="pct"/>
            <w:shd w:val="clear" w:color="auto" w:fill="ED7D31" w:themeFill="accent2"/>
            <w:vAlign w:val="center"/>
            <w:hideMark/>
          </w:tcPr>
          <w:p w14:paraId="01D269FF" w14:textId="77777777" w:rsidR="008931B7" w:rsidRPr="005468B0" w:rsidRDefault="008931B7" w:rsidP="00007A20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/>
                <w:sz w:val="22"/>
              </w:rPr>
            </w:pPr>
            <w:r w:rsidRPr="005468B0">
              <w:rPr>
                <w:rFonts w:eastAsia="Times New Roman"/>
                <w:b/>
                <w:bCs/>
                <w:color w:val="FFFFFF"/>
                <w:sz w:val="22"/>
              </w:rPr>
              <w:t>KANALIZACE</w:t>
            </w:r>
          </w:p>
        </w:tc>
        <w:tc>
          <w:tcPr>
            <w:tcW w:w="2123" w:type="pct"/>
            <w:shd w:val="clear" w:color="auto" w:fill="ED7D31" w:themeFill="accent2"/>
            <w:vAlign w:val="center"/>
          </w:tcPr>
          <w:p w14:paraId="0039023B" w14:textId="77777777" w:rsidR="008931B7" w:rsidRPr="006B7A44" w:rsidRDefault="008931B7" w:rsidP="00007A20">
            <w:pPr>
              <w:spacing w:before="0"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/>
                <w:sz w:val="22"/>
              </w:rPr>
            </w:pPr>
            <w:r w:rsidRPr="006B7A44">
              <w:rPr>
                <w:rFonts w:eastAsia="Times New Roman"/>
                <w:b/>
                <w:bCs/>
                <w:color w:val="FFFFFF"/>
                <w:sz w:val="22"/>
              </w:rPr>
              <w:t>ZDŮVODNĚNÍ</w:t>
            </w:r>
          </w:p>
        </w:tc>
      </w:tr>
      <w:tr w:rsidR="00864012" w:rsidRPr="003A1F76" w14:paraId="6549EEE6" w14:textId="77777777" w:rsidTr="00CD43E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631DC572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 w:rsidRPr="00DB4EE8">
              <w:rPr>
                <w:rFonts w:ascii="Calibri Light" w:hAnsi="Calibri Light"/>
                <w:b w:val="0"/>
                <w:smallCaps/>
                <w:sz w:val="20"/>
              </w:rPr>
              <w:t>1</w:t>
            </w:r>
          </w:p>
        </w:tc>
        <w:tc>
          <w:tcPr>
            <w:tcW w:w="2617" w:type="pct"/>
            <w:noWrap/>
            <w:vAlign w:val="center"/>
            <w:hideMark/>
          </w:tcPr>
          <w:p w14:paraId="082C8DF8" w14:textId="24DD04AB" w:rsidR="00864012" w:rsidRPr="00864012" w:rsidRDefault="00864012" w:rsidP="00864012">
            <w:pPr>
              <w:spacing w:before="0"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Nenulové množství odvedené odpadní vody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ČO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a žádní připojení obyvatelé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ČOV</w:t>
            </w:r>
          </w:p>
        </w:tc>
        <w:tc>
          <w:tcPr>
            <w:tcW w:w="2123" w:type="pct"/>
            <w:vAlign w:val="center"/>
          </w:tcPr>
          <w:p w14:paraId="304F179F" w14:textId="77777777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864012" w:rsidRPr="003A1F76" w14:paraId="09FABADD" w14:textId="77777777" w:rsidTr="00CD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605ED9F9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2</w:t>
            </w:r>
          </w:p>
        </w:tc>
        <w:tc>
          <w:tcPr>
            <w:tcW w:w="2617" w:type="pct"/>
            <w:noWrap/>
            <w:vAlign w:val="center"/>
            <w:hideMark/>
          </w:tcPr>
          <w:p w14:paraId="31DD1F4B" w14:textId="5848B1F5" w:rsidR="00864012" w:rsidRPr="00864012" w:rsidRDefault="00864012" w:rsidP="00864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Připojení obyvatelé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ČOV, nulové množství odvedené odpadní vody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ČOV</w:t>
            </w:r>
          </w:p>
        </w:tc>
        <w:tc>
          <w:tcPr>
            <w:tcW w:w="2123" w:type="pct"/>
            <w:vAlign w:val="center"/>
          </w:tcPr>
          <w:p w14:paraId="0B064110" w14:textId="77777777" w:rsidR="00864012" w:rsidRPr="00864012" w:rsidRDefault="00864012" w:rsidP="00864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864012" w:rsidRPr="003A1F76" w14:paraId="17F3F871" w14:textId="77777777" w:rsidTr="00CD43E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72DF5EAA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3</w:t>
            </w:r>
          </w:p>
        </w:tc>
        <w:tc>
          <w:tcPr>
            <w:tcW w:w="2617" w:type="pct"/>
            <w:noWrap/>
            <w:vAlign w:val="center"/>
            <w:hideMark/>
          </w:tcPr>
          <w:p w14:paraId="7E3F8A4D" w14:textId="77777777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nulový počet zaměstnanců + vykázané mzdové náklady</w:t>
            </w:r>
          </w:p>
        </w:tc>
        <w:tc>
          <w:tcPr>
            <w:tcW w:w="2123" w:type="pct"/>
            <w:vAlign w:val="center"/>
          </w:tcPr>
          <w:p w14:paraId="66A9B790" w14:textId="77777777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chybné vykazování dat</w:t>
            </w:r>
          </w:p>
        </w:tc>
      </w:tr>
      <w:tr w:rsidR="00864012" w:rsidRPr="003A1F76" w14:paraId="79CFF7CF" w14:textId="77777777" w:rsidTr="00CD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058EB476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4</w:t>
            </w:r>
          </w:p>
        </w:tc>
        <w:tc>
          <w:tcPr>
            <w:tcW w:w="2617" w:type="pct"/>
            <w:noWrap/>
            <w:vAlign w:val="center"/>
            <w:hideMark/>
          </w:tcPr>
          <w:p w14:paraId="4EADC931" w14:textId="77777777" w:rsidR="00864012" w:rsidRPr="00864012" w:rsidRDefault="00864012" w:rsidP="00864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OKF&lt;1</w:t>
            </w:r>
          </w:p>
        </w:tc>
        <w:tc>
          <w:tcPr>
            <w:tcW w:w="2123" w:type="pct"/>
            <w:vAlign w:val="center"/>
          </w:tcPr>
          <w:p w14:paraId="7C0C2AB9" w14:textId="3C0AB373" w:rsidR="00864012" w:rsidRPr="00864012" w:rsidRDefault="00FE48B5" w:rsidP="00FE4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nastavení ceny, které vzhledem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objemu fakturované </w:t>
            </w:r>
            <w:r w:rsidR="00CD43E9">
              <w:rPr>
                <w:rFonts w:ascii="Calibri Light" w:hAnsi="Calibri Light" w:cs="Calibri Light"/>
                <w:smallCaps/>
                <w:color w:val="000000"/>
                <w:sz w:val="20"/>
              </w:rPr>
              <w:t>vody nepokrývá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 úplné vlastní náklady a prostředky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>obnovu</w:t>
            </w:r>
          </w:p>
        </w:tc>
      </w:tr>
      <w:tr w:rsidR="00864012" w:rsidRPr="003A1F76" w14:paraId="6E5226F3" w14:textId="77777777" w:rsidTr="00CD43E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3A62C31A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5</w:t>
            </w:r>
          </w:p>
        </w:tc>
        <w:tc>
          <w:tcPr>
            <w:tcW w:w="2617" w:type="pct"/>
            <w:noWrap/>
            <w:vAlign w:val="center"/>
          </w:tcPr>
          <w:p w14:paraId="79E37C81" w14:textId="77777777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Záporný kalkulační zisk</w:t>
            </w:r>
          </w:p>
        </w:tc>
        <w:tc>
          <w:tcPr>
            <w:tcW w:w="2123" w:type="pct"/>
            <w:vAlign w:val="center"/>
          </w:tcPr>
          <w:p w14:paraId="272C6CAE" w14:textId="77777777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dotace ceny; ztrátové hospodaření</w:t>
            </w:r>
          </w:p>
        </w:tc>
      </w:tr>
      <w:tr w:rsidR="00864012" w:rsidRPr="003A1F76" w14:paraId="430152E9" w14:textId="77777777" w:rsidTr="00CD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60AD2D04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6</w:t>
            </w:r>
          </w:p>
        </w:tc>
        <w:tc>
          <w:tcPr>
            <w:tcW w:w="2617" w:type="pct"/>
            <w:noWrap/>
            <w:vAlign w:val="center"/>
            <w:hideMark/>
          </w:tcPr>
          <w:p w14:paraId="6EA4CC4A" w14:textId="0DB4E8A1" w:rsidR="00864012" w:rsidRPr="00864012" w:rsidRDefault="00864012" w:rsidP="00864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Vysoká ce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pro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stočné (více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1,5 násobe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průměru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porovnání splňujících stanovená kritéria)</w:t>
            </w:r>
          </w:p>
        </w:tc>
        <w:tc>
          <w:tcPr>
            <w:tcW w:w="2123" w:type="pct"/>
            <w:vAlign w:val="center"/>
          </w:tcPr>
          <w:p w14:paraId="433E2AEB" w14:textId="4CC6055A" w:rsidR="00864012" w:rsidRPr="00864012" w:rsidRDefault="00864012" w:rsidP="00864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vysoká nákladovost neb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ziskovost, problém sociální únosnosti ceny</w:t>
            </w:r>
          </w:p>
        </w:tc>
      </w:tr>
      <w:tr w:rsidR="00864012" w:rsidRPr="003A1F76" w14:paraId="54209A4F" w14:textId="77777777" w:rsidTr="00CD43E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24D690CF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7</w:t>
            </w:r>
          </w:p>
        </w:tc>
        <w:tc>
          <w:tcPr>
            <w:tcW w:w="2617" w:type="pct"/>
            <w:noWrap/>
            <w:vAlign w:val="center"/>
            <w:hideMark/>
          </w:tcPr>
          <w:p w14:paraId="567E18B5" w14:textId="5C728AA8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Vysoký podíl kalkulačníh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o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zisku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rozdělení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ÚVN (více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1,5 násobe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průměru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porovnání splňujících stanovená kritéria)</w:t>
            </w:r>
          </w:p>
        </w:tc>
        <w:tc>
          <w:tcPr>
            <w:tcW w:w="2123" w:type="pct"/>
            <w:vAlign w:val="center"/>
          </w:tcPr>
          <w:p w14:paraId="3E86CAD8" w14:textId="47250D78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příliš vysoká ziskovost a odli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prostředků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ze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sektoru</w:t>
            </w:r>
          </w:p>
        </w:tc>
      </w:tr>
      <w:tr w:rsidR="00864012" w:rsidRPr="003A1F76" w14:paraId="46682932" w14:textId="77777777" w:rsidTr="00CD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01CC9A60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8</w:t>
            </w:r>
          </w:p>
        </w:tc>
        <w:tc>
          <w:tcPr>
            <w:tcW w:w="2617" w:type="pct"/>
            <w:noWrap/>
            <w:vAlign w:val="center"/>
            <w:hideMark/>
          </w:tcPr>
          <w:p w14:paraId="214B07E7" w14:textId="3B30E7F9" w:rsidR="00864012" w:rsidRPr="00864012" w:rsidRDefault="00864012" w:rsidP="00864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Vysoká rentabilita nákladů (ROC) (více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1,5 násobe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mediánu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porovnání s </w:t>
            </w:r>
            <w:r w:rsidR="00FE48B5"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kladným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 ziskem) </w:t>
            </w:r>
          </w:p>
        </w:tc>
        <w:tc>
          <w:tcPr>
            <w:tcW w:w="2123" w:type="pct"/>
            <w:vAlign w:val="bottom"/>
          </w:tcPr>
          <w:p w14:paraId="567AF725" w14:textId="22EF2C80" w:rsidR="00864012" w:rsidRPr="00864012" w:rsidRDefault="00FE48B5" w:rsidP="00FE4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>Koli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k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je zisku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jednu korunu vložených nákladů (prostředky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na </w:t>
            </w:r>
            <w:r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obnovu jsou součástí zisku – účetní hledisko) </w:t>
            </w:r>
          </w:p>
        </w:tc>
      </w:tr>
      <w:tr w:rsidR="00864012" w:rsidRPr="003A1F76" w14:paraId="0217BE65" w14:textId="77777777" w:rsidTr="00CD43E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25014C71" w14:textId="77777777" w:rsidR="00864012" w:rsidRPr="00DB4EE8" w:rsidRDefault="00864012" w:rsidP="00864012">
            <w:pPr>
              <w:jc w:val="left"/>
              <w:rPr>
                <w:rFonts w:ascii="Calibri Light" w:hAnsi="Calibri Light"/>
                <w:b w:val="0"/>
                <w:smallCaps/>
                <w:sz w:val="20"/>
              </w:rPr>
            </w:pPr>
            <w:r>
              <w:rPr>
                <w:rFonts w:ascii="Calibri Light" w:hAnsi="Calibri Light"/>
                <w:b w:val="0"/>
                <w:smallCaps/>
                <w:sz w:val="20"/>
              </w:rPr>
              <w:t>9</w:t>
            </w:r>
          </w:p>
        </w:tc>
        <w:tc>
          <w:tcPr>
            <w:tcW w:w="2617" w:type="pct"/>
            <w:noWrap/>
            <w:vAlign w:val="center"/>
          </w:tcPr>
          <w:p w14:paraId="3DDE4665" w14:textId="757EE8E3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Podíl nevyhovujících vzorků vypouštěných odpadních vod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z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ČO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V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 xml:space="preserve">vyšší </w:t>
            </w:r>
            <w:r w:rsidR="00962A95">
              <w:rPr>
                <w:rFonts w:ascii="Calibri Light" w:hAnsi="Calibri Light" w:cs="Calibri Light"/>
                <w:smallCaps/>
                <w:color w:val="000000"/>
                <w:sz w:val="20"/>
              </w:rPr>
              <w:t>než </w:t>
            </w: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20 %</w:t>
            </w:r>
          </w:p>
        </w:tc>
        <w:tc>
          <w:tcPr>
            <w:tcW w:w="2123" w:type="pct"/>
            <w:vAlign w:val="center"/>
          </w:tcPr>
          <w:p w14:paraId="133F6523" w14:textId="77777777" w:rsidR="00864012" w:rsidRPr="00864012" w:rsidRDefault="00864012" w:rsidP="00864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color w:val="000000"/>
                <w:sz w:val="20"/>
              </w:rPr>
            </w:pPr>
            <w:r w:rsidRPr="00864012">
              <w:rPr>
                <w:rFonts w:ascii="Calibri Light" w:hAnsi="Calibri Light" w:cs="Calibri Light"/>
                <w:smallCaps/>
                <w:color w:val="000000"/>
                <w:sz w:val="20"/>
              </w:rPr>
              <w:t>ohrožení kvality dodávaných služeb</w:t>
            </w:r>
          </w:p>
        </w:tc>
      </w:tr>
    </w:tbl>
    <w:p w14:paraId="63EFD187" w14:textId="77777777" w:rsidR="008931B7" w:rsidRDefault="008931B7" w:rsidP="008931B7">
      <w:pPr>
        <w:spacing w:before="0" w:after="0"/>
        <w:contextualSpacing w:val="0"/>
        <w:jc w:val="left"/>
        <w:rPr>
          <w:rFonts w:eastAsia="Times New Roman"/>
          <w:noProof/>
          <w:color w:val="243F60"/>
          <w:szCs w:val="24"/>
        </w:rPr>
      </w:pPr>
    </w:p>
    <w:p w14:paraId="5CA5C9FF" w14:textId="06B9696E" w:rsidR="00C33101" w:rsidRPr="001A51C4" w:rsidRDefault="00C24122" w:rsidP="001A51C4">
      <w:pPr>
        <w:pStyle w:val="Nadpis1"/>
        <w:rPr>
          <w:rFonts w:asciiTheme="minorHAnsi" w:hAnsiTheme="minorHAnsi"/>
          <w:noProof/>
        </w:rPr>
      </w:pPr>
      <w:bookmarkStart w:id="45" w:name="_Toc963468"/>
      <w:bookmarkStart w:id="46" w:name="_Toc34210385"/>
      <w:r>
        <w:t xml:space="preserve">Změny postupů </w:t>
      </w:r>
      <w:r w:rsidR="001A51C4">
        <w:t xml:space="preserve"> </w:t>
      </w:r>
      <w:bookmarkStart w:id="47" w:name="_Toc963469"/>
      <w:bookmarkEnd w:id="45"/>
      <w:r w:rsidR="001A51C4">
        <w:t>- b</w:t>
      </w:r>
      <w:r w:rsidRPr="001A51C4">
        <w:rPr>
          <w:rFonts w:asciiTheme="minorHAnsi" w:hAnsiTheme="minorHAnsi"/>
          <w:noProof/>
        </w:rPr>
        <w:t>enchmarking provozovatelských subjektů</w:t>
      </w:r>
      <w:bookmarkEnd w:id="46"/>
      <w:r w:rsidRPr="001A51C4">
        <w:rPr>
          <w:rFonts w:asciiTheme="minorHAnsi" w:hAnsiTheme="minorHAnsi"/>
          <w:noProof/>
        </w:rPr>
        <w:t xml:space="preserve"> </w:t>
      </w:r>
      <w:bookmarkEnd w:id="47"/>
    </w:p>
    <w:p w14:paraId="1CB04635" w14:textId="26ACB681" w:rsidR="00555C10" w:rsidRDefault="00962A95" w:rsidP="0027331C">
      <w:pPr>
        <w:pStyle w:val="normlntextvodstavcch"/>
      </w:pPr>
      <w:r>
        <w:t>Z </w:t>
      </w:r>
      <w:r w:rsidR="0027331C">
        <w:t xml:space="preserve">důvodu </w:t>
      </w:r>
      <w:r w:rsidR="00555C10">
        <w:t>zvýšení informovanosti</w:t>
      </w:r>
      <w:r w:rsidR="0027331C">
        <w:t xml:space="preserve"> veřejnosti a mezioborové porovnatelnosti sektoru </w:t>
      </w:r>
      <w:r w:rsidR="00555C10">
        <w:t xml:space="preserve">a </w:t>
      </w:r>
      <w:r>
        <w:t>na </w:t>
      </w:r>
      <w:r w:rsidR="00555C10" w:rsidRPr="005B60AE">
        <w:t xml:space="preserve">základě </w:t>
      </w:r>
      <w:r w:rsidR="00C33101" w:rsidRPr="005B60AE">
        <w:t>výsledků projednání předložených připomíne</w:t>
      </w:r>
      <w:r>
        <w:t>k k </w:t>
      </w:r>
      <w:r w:rsidR="00C33101" w:rsidRPr="005B60AE">
        <w:t xml:space="preserve">benchmarkingu provozovatelských subjektů </w:t>
      </w:r>
      <w:r>
        <w:t>za </w:t>
      </w:r>
      <w:r w:rsidR="00C33101" w:rsidRPr="005B60AE">
        <w:t>ro</w:t>
      </w:r>
      <w:r>
        <w:t>k </w:t>
      </w:r>
      <w:r w:rsidR="00C33101" w:rsidRPr="005B60AE">
        <w:t>201</w:t>
      </w:r>
      <w:r w:rsidR="00C33101">
        <w:t>7</w:t>
      </w:r>
      <w:r w:rsidR="0027331C">
        <w:t xml:space="preserve"> došl</w:t>
      </w:r>
      <w:r>
        <w:t>o k </w:t>
      </w:r>
      <w:r w:rsidR="0027331C">
        <w:t xml:space="preserve">níže uvedeným změnám </w:t>
      </w:r>
      <w:r>
        <w:t>v </w:t>
      </w:r>
      <w:r w:rsidR="009E4D13">
        <w:t xml:space="preserve">použité </w:t>
      </w:r>
      <w:r w:rsidR="0027331C">
        <w:t>metodice a postupech</w:t>
      </w:r>
      <w:r w:rsidR="009E4D13">
        <w:t>.</w:t>
      </w:r>
    </w:p>
    <w:p w14:paraId="245A94C1" w14:textId="592DEB4D" w:rsidR="00836D33" w:rsidRDefault="001A51C4" w:rsidP="001A51C4">
      <w:pPr>
        <w:pStyle w:val="Nadpis2"/>
      </w:pPr>
      <w:bookmarkStart w:id="48" w:name="_Toc34210386"/>
      <w:r>
        <w:t>Ukazatel Rentabilita</w:t>
      </w:r>
      <w:r w:rsidR="00836D33">
        <w:t xml:space="preserve"> nákladů</w:t>
      </w:r>
      <w:bookmarkEnd w:id="48"/>
      <w:r w:rsidR="00836D33">
        <w:t xml:space="preserve"> </w:t>
      </w:r>
    </w:p>
    <w:p w14:paraId="21BDF091" w14:textId="07F32007" w:rsidR="00D443C7" w:rsidRDefault="00836D33" w:rsidP="0056678A">
      <w:pPr>
        <w:pStyle w:val="NORMLN0"/>
      </w:pPr>
      <w:r>
        <w:t>Protože platná struktura kalkulace</w:t>
      </w:r>
      <w:r w:rsidR="00B3472A">
        <w:t xml:space="preserve"> resp. Porovnání</w:t>
      </w:r>
      <w:r>
        <w:t xml:space="preserve"> nedostat</w:t>
      </w:r>
      <w:r w:rsidR="00785A51">
        <w:t xml:space="preserve">ečně informuje </w:t>
      </w:r>
      <w:r w:rsidR="00962A95">
        <w:t>o </w:t>
      </w:r>
      <w:r w:rsidR="00785A51">
        <w:t>výši celkovéh</w:t>
      </w:r>
      <w:r w:rsidR="00962A95">
        <w:t>o</w:t>
      </w:r>
      <w:r w:rsidR="001515F1">
        <w:t xml:space="preserve"> </w:t>
      </w:r>
      <w:r>
        <w:t>zisku generovanéh</w:t>
      </w:r>
      <w:r w:rsidR="00962A95">
        <w:t>o</w:t>
      </w:r>
      <w:r w:rsidR="001515F1">
        <w:t xml:space="preserve"> </w:t>
      </w:r>
      <w:r w:rsidR="00962A95">
        <w:t>ve </w:t>
      </w:r>
      <w:r>
        <w:t>vodném a stočném,</w:t>
      </w:r>
      <w:r w:rsidR="00785A51">
        <w:t xml:space="preserve"> který je možné použít d</w:t>
      </w:r>
      <w:r w:rsidR="00962A95">
        <w:t>o </w:t>
      </w:r>
      <w:r w:rsidR="00555C10">
        <w:t>kapitálových</w:t>
      </w:r>
      <w:r w:rsidR="00785A51">
        <w:t xml:space="preserve"> fondů příjemce vodnéh</w:t>
      </w:r>
      <w:r w:rsidR="001515F1">
        <w:t xml:space="preserve">o </w:t>
      </w:r>
      <w:r w:rsidR="00785A51">
        <w:t>a stočnéh</w:t>
      </w:r>
      <w:r w:rsidR="00962A95">
        <w:t>o</w:t>
      </w:r>
      <w:r w:rsidR="001515F1">
        <w:t xml:space="preserve"> </w:t>
      </w:r>
      <w:r w:rsidR="00785A51">
        <w:t>neb</w:t>
      </w:r>
      <w:r w:rsidR="001515F1">
        <w:t xml:space="preserve">o </w:t>
      </w:r>
      <w:r w:rsidR="00785A51">
        <w:t>jak</w:t>
      </w:r>
      <w:r w:rsidR="001515F1">
        <w:t xml:space="preserve">o </w:t>
      </w:r>
      <w:r w:rsidR="00785A51">
        <w:t>odm</w:t>
      </w:r>
      <w:r w:rsidR="00555C10">
        <w:t>ěnu společníků, resp. akcionářů</w:t>
      </w:r>
      <w:r w:rsidR="00785A51">
        <w:t xml:space="preserve"> příjemce</w:t>
      </w:r>
      <w:r w:rsidR="006A395C">
        <w:t xml:space="preserve">, </w:t>
      </w:r>
      <w:r>
        <w:t>byl zařazen mezi sledované ekonomické ukazatele i ukazatel rentabili</w:t>
      </w:r>
      <w:r w:rsidR="00D443C7">
        <w:t>ty nákladů</w:t>
      </w:r>
      <w:r w:rsidR="00785A51">
        <w:t>. Tent</w:t>
      </w:r>
      <w:r w:rsidR="00962A95">
        <w:t>o </w:t>
      </w:r>
      <w:r w:rsidR="00785A51">
        <w:t xml:space="preserve">ukazatel </w:t>
      </w:r>
      <w:r w:rsidR="00692A68">
        <w:t xml:space="preserve">obecně </w:t>
      </w:r>
      <w:r w:rsidR="00785A51">
        <w:t xml:space="preserve">vyjadřuje, jaká výše zisku připadá </w:t>
      </w:r>
      <w:r w:rsidR="00962A95">
        <w:t>na </w:t>
      </w:r>
      <w:r w:rsidR="00785A51">
        <w:t xml:space="preserve">jednotku celkových vložených nákladů. </w:t>
      </w:r>
      <w:r w:rsidR="00962A95">
        <w:t>Pro </w:t>
      </w:r>
      <w:r w:rsidR="00692A68">
        <w:t>účely benchmarkingu j</w:t>
      </w:r>
      <w:r w:rsidR="00785A51">
        <w:t>eh</w:t>
      </w:r>
      <w:r w:rsidR="00962A95">
        <w:t>o </w:t>
      </w:r>
      <w:r w:rsidR="00785A51">
        <w:t xml:space="preserve">výpočet spočívá </w:t>
      </w:r>
      <w:r w:rsidR="00962A95">
        <w:t>v </w:t>
      </w:r>
      <w:r w:rsidR="00B3472A">
        <w:t xml:space="preserve">podílu </w:t>
      </w:r>
      <w:r w:rsidR="00692A68">
        <w:t>kalkulačníh</w:t>
      </w:r>
      <w:r w:rsidR="001515F1">
        <w:t xml:space="preserve">o </w:t>
      </w:r>
      <w:r w:rsidR="00B3472A">
        <w:t>zisku zvýšenéh</w:t>
      </w:r>
      <w:r w:rsidR="00962A95">
        <w:t>o o </w:t>
      </w:r>
      <w:r w:rsidR="00B3472A">
        <w:t xml:space="preserve">hodnotu uvedenou </w:t>
      </w:r>
      <w:r w:rsidR="00962A95">
        <w:t>na </w:t>
      </w:r>
      <w:r w:rsidR="00B3472A">
        <w:t>ř. 4.4 Porovnání Prostředky obnovy VIM (dle PF</w:t>
      </w:r>
      <w:r w:rsidR="00962A95">
        <w:t>O </w:t>
      </w:r>
      <w:r w:rsidR="00B3472A">
        <w:t>nad rámec odpisů a oprav) a celkových ÚVN naopa</w:t>
      </w:r>
      <w:r w:rsidR="00962A95">
        <w:t>k o </w:t>
      </w:r>
      <w:r w:rsidR="00B3472A">
        <w:t>tut</w:t>
      </w:r>
      <w:r w:rsidR="00962A95">
        <w:t>o </w:t>
      </w:r>
      <w:r w:rsidR="00B3472A">
        <w:t>hodnotu ponížených (vi</w:t>
      </w:r>
      <w:r w:rsidR="00962A95">
        <w:t>z </w:t>
      </w:r>
      <w:r w:rsidR="00B3472A">
        <w:t>vzorec níže)</w:t>
      </w:r>
      <w:r w:rsidR="00D443C7">
        <w:t>.</w:t>
      </w:r>
    </w:p>
    <w:p w14:paraId="0592F3A2" w14:textId="10C03CA6" w:rsidR="00B3472A" w:rsidRDefault="00B3472A" w:rsidP="0056678A">
      <w:pPr>
        <w:pStyle w:val="NORMLN0"/>
      </w:pPr>
    </w:p>
    <w:p w14:paraId="4E4C67A5" w14:textId="0CB93D0B" w:rsidR="00B3472A" w:rsidRPr="0027331C" w:rsidRDefault="00692A68" w:rsidP="0056678A">
      <w:pPr>
        <w:pStyle w:val="NORMLN0"/>
      </w:pPr>
      <m:oMathPara>
        <m:oMath>
          <m:r>
            <w:rPr>
              <w:rFonts w:ascii="Cambria Math" w:hAnsi="Cambria Math" w:cs="Cambria Math"/>
            </w:rPr>
            <m:t>Rentabilita nákladů (%)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Zisk+PO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</w:rPr>
                <m:t>*100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ÚVN-PO</m:t>
              </m:r>
            </m:den>
          </m:f>
        </m:oMath>
      </m:oMathPara>
    </w:p>
    <w:p w14:paraId="2999075B" w14:textId="5335AE40" w:rsidR="00D443C7" w:rsidRDefault="00D443C7" w:rsidP="0056678A">
      <w:pPr>
        <w:pStyle w:val="NORMLN0"/>
      </w:pPr>
    </w:p>
    <w:p w14:paraId="52AD4064" w14:textId="77777777" w:rsidR="007124D0" w:rsidRDefault="007124D0">
      <w:pPr>
        <w:spacing w:before="0" w:after="160" w:line="259" w:lineRule="auto"/>
        <w:contextualSpacing w:val="0"/>
        <w:jc w:val="left"/>
        <w:rPr>
          <w:szCs w:val="20"/>
        </w:rPr>
      </w:pPr>
      <w:r>
        <w:br w:type="page"/>
      </w:r>
    </w:p>
    <w:p w14:paraId="4D6AADD5" w14:textId="6AB591F4" w:rsidR="00D443C7" w:rsidRDefault="00D443C7" w:rsidP="0056678A">
      <w:pPr>
        <w:pStyle w:val="NORMLN0"/>
      </w:pPr>
      <w:r>
        <w:lastRenderedPageBreak/>
        <w:t>Zisk</w:t>
      </w:r>
      <w:r w:rsidR="00353957">
        <w:tab/>
      </w:r>
      <w:r>
        <w:t xml:space="preserve"> – kalkulační zisk, tj. hodnota uvedená </w:t>
      </w:r>
      <w:r w:rsidR="00962A95">
        <w:t>na </w:t>
      </w:r>
      <w:r>
        <w:t>ř. 13</w:t>
      </w:r>
      <w:r w:rsidR="00353957">
        <w:t>*</w:t>
      </w:r>
      <w:r>
        <w:t xml:space="preserve"> </w:t>
      </w:r>
    </w:p>
    <w:p w14:paraId="5843A65E" w14:textId="54AFEDB9" w:rsidR="00D443C7" w:rsidRDefault="00353957" w:rsidP="0056678A">
      <w:pPr>
        <w:pStyle w:val="NORMLN0"/>
      </w:pPr>
      <w:r>
        <w:t>PO</w:t>
      </w:r>
      <w:r>
        <w:tab/>
      </w:r>
      <w:r w:rsidR="00D443C7">
        <w:t xml:space="preserve"> –</w:t>
      </w:r>
      <w:r w:rsidR="0027331C">
        <w:t xml:space="preserve"> </w:t>
      </w:r>
      <w:r w:rsidR="00D443C7">
        <w:t xml:space="preserve">prostředky obnovy VIM, tj. hodnota </w:t>
      </w:r>
      <w:r>
        <w:t xml:space="preserve">uvedená </w:t>
      </w:r>
      <w:r w:rsidR="00962A95">
        <w:t>na </w:t>
      </w:r>
      <w:r>
        <w:t>ř.</w:t>
      </w:r>
      <w:r w:rsidR="00D443C7">
        <w:t xml:space="preserve"> 4.4</w:t>
      </w:r>
      <w:r>
        <w:t>*</w:t>
      </w:r>
      <w:r w:rsidR="00D443C7">
        <w:t xml:space="preserve"> </w:t>
      </w:r>
    </w:p>
    <w:p w14:paraId="0527E4DB" w14:textId="320E5627" w:rsidR="00353957" w:rsidRDefault="00D443C7" w:rsidP="0056678A">
      <w:pPr>
        <w:pStyle w:val="NORMLN0"/>
      </w:pPr>
      <w:r>
        <w:t xml:space="preserve">ÚVN </w:t>
      </w:r>
      <w:r w:rsidR="00353957">
        <w:tab/>
      </w:r>
      <w:r w:rsidR="0027331C">
        <w:t xml:space="preserve"> </w:t>
      </w:r>
      <w:r w:rsidR="00353957">
        <w:t>–</w:t>
      </w:r>
      <w:r w:rsidR="0027331C">
        <w:t xml:space="preserve"> </w:t>
      </w:r>
      <w:r w:rsidR="00353957">
        <w:t xml:space="preserve">úplné vlastní náklady včetně </w:t>
      </w:r>
      <w:r w:rsidR="0027331C">
        <w:t>PO</w:t>
      </w:r>
      <w:r w:rsidR="00353957">
        <w:t xml:space="preserve">, tj. hodnota uvedená </w:t>
      </w:r>
      <w:r w:rsidR="00962A95">
        <w:t>na </w:t>
      </w:r>
      <w:r w:rsidR="00353957">
        <w:t xml:space="preserve">ř. 10* </w:t>
      </w:r>
      <w:bookmarkStart w:id="49" w:name="_Toc2933015"/>
    </w:p>
    <w:p w14:paraId="7F3C7DC4" w14:textId="1EFC3A9A" w:rsidR="00353957" w:rsidRPr="0056678A" w:rsidRDefault="00353957" w:rsidP="0056678A">
      <w:pPr>
        <w:pStyle w:val="Styl2"/>
        <w:jc w:val="left"/>
        <w:rPr>
          <w:sz w:val="18"/>
          <w:szCs w:val="18"/>
        </w:rPr>
      </w:pPr>
      <w:r w:rsidRPr="0056678A">
        <w:rPr>
          <w:rFonts w:ascii="Calibri" w:hAnsi="Calibri"/>
          <w:i w:val="0"/>
          <w:sz w:val="24"/>
        </w:rPr>
        <w:t>*</w:t>
      </w:r>
      <w:r w:rsidRPr="0056678A">
        <w:rPr>
          <w:sz w:val="18"/>
          <w:szCs w:val="18"/>
        </w:rPr>
        <w:t xml:space="preserve">Hodnota </w:t>
      </w:r>
      <w:r w:rsidR="00555C10" w:rsidRPr="0056678A">
        <w:rPr>
          <w:sz w:val="18"/>
          <w:szCs w:val="18"/>
        </w:rPr>
        <w:t xml:space="preserve">uvedená </w:t>
      </w:r>
      <w:r w:rsidR="00962A95">
        <w:rPr>
          <w:sz w:val="18"/>
          <w:szCs w:val="18"/>
        </w:rPr>
        <w:t>na </w:t>
      </w:r>
      <w:r w:rsidR="00555C10" w:rsidRPr="0056678A">
        <w:rPr>
          <w:sz w:val="18"/>
          <w:szCs w:val="18"/>
        </w:rPr>
        <w:t xml:space="preserve">příslušném řádku </w:t>
      </w:r>
      <w:r w:rsidR="00962A95">
        <w:rPr>
          <w:sz w:val="18"/>
          <w:szCs w:val="18"/>
        </w:rPr>
        <w:t>v </w:t>
      </w:r>
      <w:r w:rsidR="00555C10" w:rsidRPr="0056678A">
        <w:rPr>
          <w:sz w:val="18"/>
          <w:szCs w:val="18"/>
        </w:rPr>
        <w:t xml:space="preserve">Porovnání </w:t>
      </w:r>
      <w:r w:rsidR="00962A95">
        <w:rPr>
          <w:sz w:val="18"/>
          <w:szCs w:val="18"/>
        </w:rPr>
        <w:t>ve </w:t>
      </w:r>
      <w:r w:rsidR="00555C10" w:rsidRPr="0056678A">
        <w:rPr>
          <w:sz w:val="18"/>
          <w:szCs w:val="18"/>
        </w:rPr>
        <w:t>sloupci Skutečnost</w:t>
      </w:r>
    </w:p>
    <w:p w14:paraId="5397AC60" w14:textId="01A43FF3" w:rsidR="00353957" w:rsidRDefault="00353957" w:rsidP="0056678A">
      <w:pPr>
        <w:pStyle w:val="NORMLN0"/>
      </w:pPr>
    </w:p>
    <w:p w14:paraId="15360E8B" w14:textId="1964C02F" w:rsidR="00555C10" w:rsidRDefault="00555C10" w:rsidP="0056678A">
      <w:pPr>
        <w:pStyle w:val="NORMLN0"/>
      </w:pPr>
      <w:r>
        <w:t>Takt</w:t>
      </w:r>
      <w:r w:rsidR="00962A95">
        <w:t>o </w:t>
      </w:r>
      <w:r>
        <w:t xml:space="preserve">spočtená rentabilita nákladů vypovídá lépe </w:t>
      </w:r>
      <w:r w:rsidR="00962A95">
        <w:t>o </w:t>
      </w:r>
      <w:r w:rsidR="0027331C">
        <w:t>celkové</w:t>
      </w:r>
      <w:r>
        <w:t xml:space="preserve"> ziskovosti sektoru a je mezioborově srovnatelná. </w:t>
      </w:r>
      <w:r w:rsidR="00962A95">
        <w:t>V </w:t>
      </w:r>
      <w:r>
        <w:t xml:space="preserve">platné metodice </w:t>
      </w:r>
      <w:r w:rsidR="00962A95">
        <w:t>k </w:t>
      </w:r>
      <w:r>
        <w:t xml:space="preserve">benchmarkingu má ukazatel rentability nákladů označení VE12 </w:t>
      </w:r>
      <w:r w:rsidR="00962A95">
        <w:t>pro </w:t>
      </w:r>
      <w:r>
        <w:t xml:space="preserve">pitnou vodu  KE12 </w:t>
      </w:r>
      <w:r w:rsidR="00962A95">
        <w:t>pro </w:t>
      </w:r>
      <w:r>
        <w:t>vodu odpadní.</w:t>
      </w:r>
    </w:p>
    <w:p w14:paraId="2CC0EDCD" w14:textId="6DCCE079" w:rsidR="00C33101" w:rsidRDefault="00C33101" w:rsidP="001A51C4">
      <w:pPr>
        <w:pStyle w:val="Nadpis2"/>
      </w:pPr>
      <w:bookmarkStart w:id="50" w:name="_Toc34210387"/>
      <w:r w:rsidRPr="005B60AE">
        <w:t>Metodika výběru Porovnání splňujících stanovená kritéria</w:t>
      </w:r>
      <w:bookmarkEnd w:id="49"/>
      <w:bookmarkEnd w:id="50"/>
    </w:p>
    <w:p w14:paraId="35E9B042" w14:textId="0BEBD4C7" w:rsidR="00555C10" w:rsidRDefault="00962A95" w:rsidP="00555C10">
      <w:pPr>
        <w:pStyle w:val="normlntextvodstavcch"/>
      </w:pPr>
      <w:r>
        <w:t>Na </w:t>
      </w:r>
      <w:r w:rsidR="00555C10" w:rsidRPr="005B60AE">
        <w:t>základě výsledků projednání předložených připomíne</w:t>
      </w:r>
      <w:r>
        <w:t>k k </w:t>
      </w:r>
      <w:r w:rsidR="00555C10" w:rsidRPr="005B60AE">
        <w:t xml:space="preserve">benchmarkingu provozovatelských subjektů </w:t>
      </w:r>
      <w:r>
        <w:t>za </w:t>
      </w:r>
      <w:r w:rsidR="00555C10" w:rsidRPr="005B60AE">
        <w:t>ro</w:t>
      </w:r>
      <w:r>
        <w:t>k </w:t>
      </w:r>
      <w:r w:rsidR="00555C10" w:rsidRPr="005B60AE">
        <w:t>201</w:t>
      </w:r>
      <w:r w:rsidR="00555C10">
        <w:t>7</w:t>
      </w:r>
      <w:r w:rsidR="001515F1">
        <w:t xml:space="preserve"> v</w:t>
      </w:r>
      <w:r>
        <w:t> </w:t>
      </w:r>
      <w:r w:rsidR="00555C10">
        <w:t xml:space="preserve">daném roce </w:t>
      </w:r>
      <w:r w:rsidR="00555C10" w:rsidRPr="005B60AE">
        <w:t>došl</w:t>
      </w:r>
      <w:r>
        <w:t>o k </w:t>
      </w:r>
      <w:r w:rsidR="00555C10">
        <w:t xml:space="preserve">výměně kritéria výběru </w:t>
      </w:r>
      <w:r>
        <w:t>pro </w:t>
      </w:r>
      <w:r w:rsidR="00555C10">
        <w:t xml:space="preserve">Porovnání stanovujících cenu </w:t>
      </w:r>
      <w:r>
        <w:t>pro </w:t>
      </w:r>
      <w:r w:rsidR="001515F1">
        <w:t>stočné p</w:t>
      </w:r>
      <w:r w:rsidR="00555C10">
        <w:t xml:space="preserve">odíl čištěných odpadních vod ≥ průměr skupiny </w:t>
      </w:r>
      <w:r>
        <w:t>za </w:t>
      </w:r>
      <w:r w:rsidR="001515F1">
        <w:t>kritérium v</w:t>
      </w:r>
      <w:r w:rsidR="00555C10">
        <w:t>ýše nevyhovujících vzorků</w:t>
      </w:r>
      <w:r w:rsidR="00DE53F8">
        <w:t xml:space="preserve"> u </w:t>
      </w:r>
      <w:r w:rsidR="00555C10">
        <w:t xml:space="preserve">volných výustí a </w:t>
      </w:r>
      <w:r>
        <w:t>na </w:t>
      </w:r>
      <w:r w:rsidR="00555C10">
        <w:t>ČO</w:t>
      </w:r>
      <w:r>
        <w:t>V </w:t>
      </w:r>
      <w:r w:rsidR="00555C10">
        <w:t>&lt; 20 %. D</w:t>
      </w:r>
      <w:r>
        <w:t>o </w:t>
      </w:r>
      <w:r w:rsidR="00555C10" w:rsidRPr="005B60AE">
        <w:t xml:space="preserve">glyfu </w:t>
      </w:r>
      <w:r w:rsidR="00555C10">
        <w:t>byly doplněny</w:t>
      </w:r>
      <w:r w:rsidR="00555C10" w:rsidRPr="005B60AE">
        <w:t xml:space="preserve"> ukazatel</w:t>
      </w:r>
      <w:r w:rsidR="001515F1">
        <w:t>e m</w:t>
      </w:r>
      <w:r w:rsidR="00555C10">
        <w:t>nožství fakturované</w:t>
      </w:r>
      <w:r w:rsidR="001515F1">
        <w:t xml:space="preserve"> pitné vody, m</w:t>
      </w:r>
      <w:r w:rsidR="00555C10">
        <w:t>nožství fakturované odpadní vody včetně vody sr</w:t>
      </w:r>
      <w:r w:rsidR="001515F1">
        <w:t>ážkové a byl nahrazen ukazatel p</w:t>
      </w:r>
      <w:r w:rsidR="00555C10">
        <w:t>odíl čišt</w:t>
      </w:r>
      <w:r w:rsidR="001515F1">
        <w:t>ěných odpadních vod ukazatelem p</w:t>
      </w:r>
      <w:r w:rsidR="00555C10">
        <w:t xml:space="preserve">odíl nevyhovujících vzorků.  </w:t>
      </w:r>
    </w:p>
    <w:p w14:paraId="006FAC84" w14:textId="6F8C5D40" w:rsidR="00C33101" w:rsidRDefault="00962A95" w:rsidP="00C33101">
      <w:pPr>
        <w:pStyle w:val="normlntextvodstavcch"/>
      </w:pPr>
      <w:r>
        <w:t>V </w:t>
      </w:r>
      <w:r w:rsidR="00C33101">
        <w:t>tét</w:t>
      </w:r>
      <w:r>
        <w:t>o </w:t>
      </w:r>
      <w:r w:rsidR="00C33101">
        <w:t>kapitole je uveden p</w:t>
      </w:r>
      <w:r w:rsidR="00C33101" w:rsidRPr="0048193D">
        <w:t>ostup výběru Porovnání splňujících stanovená kritéria, kter</w:t>
      </w:r>
      <w:r w:rsidR="00C33101">
        <w:t xml:space="preserve">á </w:t>
      </w:r>
      <w:r w:rsidR="00C33101" w:rsidRPr="0048193D">
        <w:t xml:space="preserve">sledují naplnění hlavních záměrů regulace. Jeden </w:t>
      </w:r>
      <w:r>
        <w:t>z </w:t>
      </w:r>
      <w:r w:rsidR="00C33101" w:rsidRPr="0048193D">
        <w:t>nejdůležitějších je dosažení samofinancovatelnosti provozování VIM tam, kde je t</w:t>
      </w:r>
      <w:r>
        <w:t>o </w:t>
      </w:r>
      <w:r w:rsidR="00C33101" w:rsidRPr="0048193D">
        <w:t xml:space="preserve">možné, </w:t>
      </w:r>
      <w:r>
        <w:t>za </w:t>
      </w:r>
      <w:r w:rsidR="00C33101" w:rsidRPr="0048193D">
        <w:t>přiměřenou cenu a</w:t>
      </w:r>
      <w:r w:rsidR="00C33101">
        <w:t> </w:t>
      </w:r>
      <w:r>
        <w:t>v </w:t>
      </w:r>
      <w:r w:rsidR="00C33101" w:rsidRPr="0048193D">
        <w:t>odpovídající kvalitě poskytovaných služeb. Tut</w:t>
      </w:r>
      <w:r>
        <w:t>o </w:t>
      </w:r>
      <w:r w:rsidR="00C33101" w:rsidRPr="0048193D">
        <w:t>skutečnost vyjadřuje hodnota OKF, výše ceny a</w:t>
      </w:r>
      <w:r w:rsidR="00C33101">
        <w:t> </w:t>
      </w:r>
      <w:r w:rsidR="00C33101" w:rsidRPr="0048193D">
        <w:t xml:space="preserve">ztráty vody, </w:t>
      </w:r>
      <w:r w:rsidR="00C33101" w:rsidRPr="001261BC">
        <w:t xml:space="preserve">popř. podíl nevyhovujících vzorků </w:t>
      </w:r>
      <w:r>
        <w:t>na </w:t>
      </w:r>
      <w:r w:rsidR="00C33101" w:rsidRPr="001261BC">
        <w:t>volných výustích neb</w:t>
      </w:r>
      <w:r>
        <w:t>o </w:t>
      </w:r>
      <w:r w:rsidR="00C33101" w:rsidRPr="001261BC">
        <w:t>ČOV.</w:t>
      </w:r>
    </w:p>
    <w:p w14:paraId="5739EBAA" w14:textId="77777777" w:rsidR="00C33101" w:rsidRPr="00C16A62" w:rsidRDefault="00C33101" w:rsidP="00CB2CEC">
      <w:pPr>
        <w:pStyle w:val="NORMLN0"/>
      </w:pPr>
      <w:r w:rsidRPr="00492440">
        <w:t>Kritéria, která sledují naplnění hlavních cílů regulace:</w:t>
      </w:r>
    </w:p>
    <w:p w14:paraId="6412BCF0" w14:textId="77777777" w:rsidR="00C33101" w:rsidRPr="00244832" w:rsidRDefault="00C33101" w:rsidP="00C33101">
      <w:pPr>
        <w:numPr>
          <w:ilvl w:val="0"/>
          <w:numId w:val="14"/>
        </w:numPr>
        <w:spacing w:before="0" w:after="0"/>
        <w:contextualSpacing w:val="0"/>
      </w:pPr>
      <w:r w:rsidRPr="00244832">
        <w:t xml:space="preserve">OKF 1 ≤ OKF ≥ 1,5 </w:t>
      </w:r>
    </w:p>
    <w:p w14:paraId="3DE722DF" w14:textId="2FEFC010" w:rsidR="00C33101" w:rsidRPr="00C16A62" w:rsidRDefault="00371EFB" w:rsidP="00C33101">
      <w:pPr>
        <w:ind w:left="709" w:hanging="349"/>
      </w:pPr>
      <w:r>
        <w:t xml:space="preserve">   </w:t>
      </w:r>
      <w:r w:rsidR="00C33101" w:rsidRPr="00C16A62">
        <w:t xml:space="preserve"> </w:t>
      </w:r>
      <w:r w:rsidR="00A27033">
        <w:t xml:space="preserve">  </w:t>
      </w:r>
      <w:r w:rsidR="00962A95">
        <w:t>V </w:t>
      </w:r>
      <w:r w:rsidR="00C33101" w:rsidRPr="00C16A62">
        <w:t xml:space="preserve">případě, že podmínce OKF nevyhoví žádný se subjektů </w:t>
      </w:r>
      <w:r w:rsidR="00962A95">
        <w:t>v </w:t>
      </w:r>
      <w:r w:rsidR="00C33101" w:rsidRPr="00C16A62">
        <w:t xml:space="preserve">dané skupině, bude se brát </w:t>
      </w:r>
      <w:r w:rsidR="00962A95">
        <w:t>za </w:t>
      </w:r>
      <w:r w:rsidR="00C33101" w:rsidRPr="00C16A62">
        <w:t xml:space="preserve">vybrané Porovnání to, které se podmínce OKF nejvíce blíží. </w:t>
      </w:r>
    </w:p>
    <w:p w14:paraId="67319D20" w14:textId="77777777" w:rsidR="00C33101" w:rsidRPr="00C16A62" w:rsidRDefault="00C33101" w:rsidP="00C33101"/>
    <w:p w14:paraId="7565C5D7" w14:textId="56D5BC45" w:rsidR="00C33101" w:rsidRPr="00C16A62" w:rsidRDefault="00C33101" w:rsidP="00C33101">
      <w:pPr>
        <w:numPr>
          <w:ilvl w:val="0"/>
          <w:numId w:val="14"/>
        </w:numPr>
        <w:spacing w:before="0" w:after="0"/>
        <w:contextualSpacing w:val="0"/>
      </w:pPr>
      <w:r w:rsidRPr="00C16A62">
        <w:t>Ce</w:t>
      </w:r>
      <w:r w:rsidR="00962A95">
        <w:t>na pro </w:t>
      </w:r>
      <w:r>
        <w:t>vodné, stočné</w:t>
      </w:r>
    </w:p>
    <w:p w14:paraId="5C63B48D" w14:textId="2853D23B" w:rsidR="00C33101" w:rsidRPr="00C16A62" w:rsidRDefault="00C33101" w:rsidP="0027331C">
      <w:pPr>
        <w:ind w:left="720"/>
      </w:pPr>
      <w:r w:rsidRPr="00C16A62">
        <w:t xml:space="preserve">Pokud je variační koeficient ceny </w:t>
      </w:r>
      <w:r w:rsidR="00962A95">
        <w:t>ve </w:t>
      </w:r>
      <w:r w:rsidRPr="00C16A62">
        <w:t>skupině &gt; 0,2, pa</w:t>
      </w:r>
      <w:r w:rsidR="00962A95">
        <w:t>k </w:t>
      </w:r>
      <w:r w:rsidRPr="00C16A62">
        <w:t>se musí ce</w:t>
      </w:r>
      <w:r w:rsidR="00962A95">
        <w:t>na </w:t>
      </w:r>
      <w:r w:rsidRPr="00C16A62">
        <w:t xml:space="preserve">vybraných Porovnání pohybovat </w:t>
      </w:r>
      <w:r w:rsidR="00962A95">
        <w:t>v </w:t>
      </w:r>
      <w:r w:rsidRPr="00C16A62">
        <w:t xml:space="preserve">intervalu 40 až 60 percentilu Porovnání splňujících podmínku </w:t>
      </w:r>
      <w:r w:rsidR="00962A95">
        <w:t>pro </w:t>
      </w:r>
      <w:r w:rsidRPr="00C16A62">
        <w:t xml:space="preserve">OKF. Pokud je variační koeficient ceny </w:t>
      </w:r>
      <w:r w:rsidR="00962A95">
        <w:t>ve </w:t>
      </w:r>
      <w:r w:rsidRPr="00C16A62">
        <w:t>skupině ≤ 0,2, pa</w:t>
      </w:r>
      <w:r w:rsidR="00962A95">
        <w:t>k </w:t>
      </w:r>
      <w:r w:rsidRPr="00C16A62">
        <w:t>se musí ce</w:t>
      </w:r>
      <w:r w:rsidR="00962A95">
        <w:t>na </w:t>
      </w:r>
      <w:r w:rsidRPr="00C16A62">
        <w:t xml:space="preserve">vybraných Porovnání pohybovat </w:t>
      </w:r>
      <w:r w:rsidR="00962A95">
        <w:t>v </w:t>
      </w:r>
      <w:r w:rsidRPr="00C16A62">
        <w:t>intervalu průměrná ce</w:t>
      </w:r>
      <w:r w:rsidR="00962A95">
        <w:t>na </w:t>
      </w:r>
      <w:r w:rsidRPr="00C16A62">
        <w:t>Porovnání splňujících podmínku OKF +/- 10 %.</w:t>
      </w:r>
    </w:p>
    <w:p w14:paraId="78127157" w14:textId="136FDF39" w:rsidR="00C33101" w:rsidRPr="00C16A62" w:rsidRDefault="00C33101">
      <w:pPr>
        <w:pStyle w:val="Odstavecseseznamem"/>
      </w:pPr>
    </w:p>
    <w:p w14:paraId="76931AED" w14:textId="77777777" w:rsidR="00C33101" w:rsidRDefault="00C33101">
      <w:pPr>
        <w:numPr>
          <w:ilvl w:val="0"/>
          <w:numId w:val="14"/>
        </w:numPr>
        <w:spacing w:before="0" w:after="0"/>
        <w:contextualSpacing w:val="0"/>
      </w:pPr>
      <w:r w:rsidRPr="00244832">
        <w:rPr>
          <w:u w:val="single"/>
        </w:rPr>
        <w:t>Vodovod</w:t>
      </w:r>
      <w:r w:rsidRPr="00C16A62">
        <w:t xml:space="preserve"> - nefakturovaná voda (m</w:t>
      </w:r>
      <w:r w:rsidRPr="00C16A62">
        <w:rPr>
          <w:vertAlign w:val="superscript"/>
        </w:rPr>
        <w:t>3</w:t>
      </w:r>
      <w:r w:rsidRPr="00C16A62">
        <w:t>/km/den)</w:t>
      </w:r>
    </w:p>
    <w:p w14:paraId="047CEDE9" w14:textId="292992AA" w:rsidR="00C33101" w:rsidRDefault="00C33101" w:rsidP="00C33101">
      <w:pPr>
        <w:ind w:left="720"/>
      </w:pPr>
      <w:r w:rsidRPr="00C16A62">
        <w:t>Nefakturovaná voda (m</w:t>
      </w:r>
      <w:r w:rsidRPr="00C16A62">
        <w:rPr>
          <w:vertAlign w:val="superscript"/>
        </w:rPr>
        <w:t>3</w:t>
      </w:r>
      <w:r w:rsidRPr="00C16A62">
        <w:t xml:space="preserve">/km/den) ≤ </w:t>
      </w:r>
      <w:r>
        <w:t xml:space="preserve">medián </w:t>
      </w:r>
      <w:r w:rsidRPr="00C16A62">
        <w:t>skupiny</w:t>
      </w:r>
      <w:r w:rsidR="00347A45">
        <w:t xml:space="preserve"> </w:t>
      </w:r>
      <w:r>
        <w:t xml:space="preserve"> (medián stanoven</w:t>
      </w:r>
      <w:r w:rsidRPr="00C16A62">
        <w:t xml:space="preserve"> be</w:t>
      </w:r>
      <w:r w:rsidR="00962A95">
        <w:t>z </w:t>
      </w:r>
      <w:r w:rsidRPr="00C16A62">
        <w:t xml:space="preserve">Porovnání s nulovou nefakturovanou </w:t>
      </w:r>
      <w:r>
        <w:t xml:space="preserve">vodou </w:t>
      </w:r>
      <w:r w:rsidR="00962A95">
        <w:t>v </w:t>
      </w:r>
      <w:r>
        <w:t>souvisejících VÚPE).</w:t>
      </w:r>
    </w:p>
    <w:p w14:paraId="47BFC834" w14:textId="77777777" w:rsidR="00C33101" w:rsidRDefault="00C33101" w:rsidP="00C33101">
      <w:pPr>
        <w:ind w:left="720"/>
      </w:pPr>
    </w:p>
    <w:p w14:paraId="23705473" w14:textId="77777777" w:rsidR="00C33101" w:rsidRPr="00C16A62" w:rsidRDefault="00C33101" w:rsidP="00C33101">
      <w:pPr>
        <w:ind w:left="720"/>
      </w:pPr>
      <w:r w:rsidRPr="00244832">
        <w:rPr>
          <w:u w:val="single"/>
        </w:rPr>
        <w:t>Kanalizace</w:t>
      </w:r>
      <w:r w:rsidRPr="00C16A62">
        <w:t xml:space="preserve"> - podíl </w:t>
      </w:r>
      <w:r>
        <w:t xml:space="preserve">nevyhovujících vzorků (%): </w:t>
      </w:r>
    </w:p>
    <w:p w14:paraId="27648649" w14:textId="7D6DB70D" w:rsidR="00C33101" w:rsidRPr="00492440" w:rsidRDefault="00C33101" w:rsidP="00C33101">
      <w:pPr>
        <w:ind w:left="720"/>
      </w:pPr>
      <w:r w:rsidRPr="00492440">
        <w:t>Podíl nevyhovujících vzorků V</w:t>
      </w:r>
      <w:r w:rsidR="00962A95">
        <w:t>V </w:t>
      </w:r>
      <w:r w:rsidRPr="00492440">
        <w:t>neb</w:t>
      </w:r>
      <w:r w:rsidR="00962A95">
        <w:t>o </w:t>
      </w:r>
      <w:r w:rsidRPr="00492440">
        <w:t>ČO</w:t>
      </w:r>
      <w:r w:rsidR="00962A95">
        <w:t>V </w:t>
      </w:r>
      <w:r w:rsidRPr="00492440">
        <w:t xml:space="preserve">&lt; 20 % </w:t>
      </w:r>
    </w:p>
    <w:p w14:paraId="5680756F" w14:textId="77777777" w:rsidR="00C33101" w:rsidRPr="00492440" w:rsidRDefault="00C33101" w:rsidP="00C33101">
      <w:pPr>
        <w:ind w:left="720"/>
      </w:pPr>
    </w:p>
    <w:p w14:paraId="19261824" w14:textId="77777777" w:rsidR="00C33101" w:rsidRPr="00492440" w:rsidRDefault="00C33101" w:rsidP="00C33101">
      <w:pPr>
        <w:numPr>
          <w:ilvl w:val="0"/>
          <w:numId w:val="14"/>
        </w:numPr>
        <w:spacing w:before="0" w:after="0"/>
        <w:contextualSpacing w:val="0"/>
      </w:pPr>
      <w:r w:rsidRPr="00492440">
        <w:rPr>
          <w:u w:val="single"/>
        </w:rPr>
        <w:lastRenderedPageBreak/>
        <w:t>Vodovod</w:t>
      </w:r>
      <w:r w:rsidRPr="00492440">
        <w:t xml:space="preserve"> – ztráty i nefakturovaná vody jsou vykazovány, výše ztrát i množství nefakturované vody &gt; 0</w:t>
      </w:r>
    </w:p>
    <w:p w14:paraId="6578D75F" w14:textId="77777777" w:rsidR="00C33101" w:rsidRPr="00492440" w:rsidRDefault="00C33101" w:rsidP="00C33101">
      <w:pPr>
        <w:ind w:left="720"/>
      </w:pPr>
    </w:p>
    <w:p w14:paraId="67EB3D7D" w14:textId="6275989F" w:rsidR="00C33101" w:rsidRPr="00492440" w:rsidRDefault="00C33101" w:rsidP="00C33101">
      <w:pPr>
        <w:ind w:left="720"/>
      </w:pPr>
      <w:r w:rsidRPr="00492440">
        <w:rPr>
          <w:u w:val="single"/>
        </w:rPr>
        <w:t>Kanalizace</w:t>
      </w:r>
      <w:r w:rsidR="00371EFB">
        <w:t xml:space="preserve"> </w:t>
      </w:r>
      <w:r w:rsidRPr="00492440">
        <w:t>- jednotkové ÚVN</w:t>
      </w:r>
    </w:p>
    <w:p w14:paraId="46A2C66B" w14:textId="492B94AF" w:rsidR="00C33101" w:rsidRPr="00492440" w:rsidRDefault="00C33101" w:rsidP="00C33101">
      <w:pPr>
        <w:ind w:left="720"/>
      </w:pPr>
      <w:r w:rsidRPr="00492440">
        <w:t xml:space="preserve">Jednotkové ÚVN ≥ 4,76 Kč (tj. </w:t>
      </w:r>
      <w:r w:rsidR="00962A95">
        <w:t>než </w:t>
      </w:r>
      <w:r w:rsidRPr="00492440">
        <w:t xml:space="preserve">10% percentil údajů </w:t>
      </w:r>
      <w:r w:rsidR="00962A95">
        <w:t>za </w:t>
      </w:r>
      <w:r w:rsidRPr="00492440">
        <w:t xml:space="preserve">předchozí rok). Pozn.: Údaje </w:t>
      </w:r>
      <w:r w:rsidR="00962A95">
        <w:t>za </w:t>
      </w:r>
      <w:r w:rsidRPr="00492440">
        <w:t>pitnou vodu nevykazují vysokou odchylku mediánu od 10%</w:t>
      </w:r>
      <w:r w:rsidR="00371EFB">
        <w:t xml:space="preserve"> </w:t>
      </w:r>
      <w:r w:rsidRPr="00492440">
        <w:t>percentilu.</w:t>
      </w:r>
    </w:p>
    <w:p w14:paraId="6DA2C0D3" w14:textId="77777777" w:rsidR="00C33101" w:rsidRPr="00492440" w:rsidRDefault="00C33101" w:rsidP="00C33101">
      <w:pPr>
        <w:ind w:left="720"/>
      </w:pPr>
    </w:p>
    <w:p w14:paraId="123B191B" w14:textId="349B6441" w:rsidR="00C33101" w:rsidRPr="00492440" w:rsidRDefault="00962A95" w:rsidP="00CB2CEC">
      <w:pPr>
        <w:ind w:firstLine="567"/>
      </w:pPr>
      <w:r>
        <w:t>Pro </w:t>
      </w:r>
      <w:r w:rsidR="00C33101" w:rsidRPr="00492440">
        <w:t>zobrazení hodnot dosažených</w:t>
      </w:r>
      <w:r w:rsidR="00DE53F8">
        <w:t xml:space="preserve"> u </w:t>
      </w:r>
      <w:r w:rsidR="00C33101" w:rsidRPr="00492440">
        <w:t xml:space="preserve">Porovnání, která naplňují cíle regulace, bude využit graf, tzv. glyf. </w:t>
      </w:r>
      <w:r>
        <w:t>V </w:t>
      </w:r>
      <w:r w:rsidR="00C33101" w:rsidRPr="00492440">
        <w:t>tomt</w:t>
      </w:r>
      <w:r>
        <w:t>o </w:t>
      </w:r>
      <w:r w:rsidR="00C33101" w:rsidRPr="00492440">
        <w:t>grafu budou zobrazeny hodnoty následujících ukazatelů (dále jen ukazatelů), kterými jsou:</w:t>
      </w:r>
    </w:p>
    <w:p w14:paraId="003ED3EA" w14:textId="77777777" w:rsidR="00C33101" w:rsidRPr="00492440" w:rsidRDefault="00C33101" w:rsidP="00C33101">
      <w:pPr>
        <w:rPr>
          <w:i/>
        </w:rPr>
      </w:pPr>
    </w:p>
    <w:p w14:paraId="055466D8" w14:textId="06A398BB" w:rsidR="00C33101" w:rsidRPr="00492440" w:rsidRDefault="0027331C" w:rsidP="00C33101">
      <w:r>
        <w:t>Vodovod</w:t>
      </w:r>
    </w:p>
    <w:p w14:paraId="11FA0DBE" w14:textId="77777777" w:rsidR="00C33101" w:rsidRPr="00492440" w:rsidRDefault="00C33101" w:rsidP="00C33101">
      <w:pPr>
        <w:rPr>
          <w:i/>
        </w:rPr>
      </w:pPr>
    </w:p>
    <w:p w14:paraId="40EDE662" w14:textId="77777777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>OKF</w:t>
      </w:r>
    </w:p>
    <w:p w14:paraId="01AC25A5" w14:textId="1BBF3A16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>Ce</w:t>
      </w:r>
      <w:r w:rsidR="00962A95">
        <w:t>na pro </w:t>
      </w:r>
      <w:r w:rsidRPr="00492440">
        <w:t>vodné</w:t>
      </w:r>
    </w:p>
    <w:p w14:paraId="442CD341" w14:textId="1B0B1592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>Množství nefakturované vody (m</w:t>
      </w:r>
      <w:r w:rsidRPr="00492440">
        <w:rPr>
          <w:vertAlign w:val="superscript"/>
        </w:rPr>
        <w:t>3</w:t>
      </w:r>
      <w:r w:rsidRPr="00492440">
        <w:t>/km/den)</w:t>
      </w:r>
    </w:p>
    <w:p w14:paraId="06B133D2" w14:textId="70FD1745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 xml:space="preserve">Podíl generovaných prostředků </w:t>
      </w:r>
      <w:r w:rsidR="00962A95">
        <w:t>na </w:t>
      </w:r>
      <w:r w:rsidRPr="00492440">
        <w:t xml:space="preserve">obnovu a rozvoj </w:t>
      </w:r>
      <w:r w:rsidR="00962A95">
        <w:t>k</w:t>
      </w:r>
      <w:r w:rsidR="001A51C4">
        <w:t xml:space="preserve"> hodnotě </w:t>
      </w:r>
      <w:r w:rsidRPr="00492440">
        <w:t>infrastrukturníh</w:t>
      </w:r>
      <w:r w:rsidR="00962A95">
        <w:t>o</w:t>
      </w:r>
      <w:r w:rsidR="001A51C4">
        <w:br/>
      </w:r>
      <w:r w:rsidRPr="00492440">
        <w:t>majetku</w:t>
      </w:r>
    </w:p>
    <w:p w14:paraId="571DA32E" w14:textId="09EF0ABA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>Počet přípoje</w:t>
      </w:r>
      <w:r w:rsidR="00962A95">
        <w:t>k na </w:t>
      </w:r>
      <w:r w:rsidRPr="00492440">
        <w:t>1 pracovníka společnosti</w:t>
      </w:r>
    </w:p>
    <w:p w14:paraId="2709F5C7" w14:textId="57D6A45B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>Jednotkové ÚVN</w:t>
      </w:r>
    </w:p>
    <w:p w14:paraId="44269382" w14:textId="063F88CC" w:rsidR="00C33101" w:rsidRPr="00492440" w:rsidRDefault="00C33101" w:rsidP="00C33101">
      <w:pPr>
        <w:numPr>
          <w:ilvl w:val="0"/>
          <w:numId w:val="33"/>
        </w:numPr>
        <w:spacing w:before="0" w:after="0"/>
        <w:contextualSpacing w:val="0"/>
      </w:pPr>
      <w:r w:rsidRPr="00492440">
        <w:t>Množství fakturované pitné vody</w:t>
      </w:r>
    </w:p>
    <w:p w14:paraId="16F5AF41" w14:textId="77777777" w:rsidR="00C33101" w:rsidRPr="00492440" w:rsidRDefault="00C33101" w:rsidP="00C33101"/>
    <w:p w14:paraId="6A511FF6" w14:textId="77777777" w:rsidR="00C33101" w:rsidRPr="00492440" w:rsidRDefault="00C33101" w:rsidP="00C33101"/>
    <w:p w14:paraId="454407EB" w14:textId="3A08A5B7" w:rsidR="00C33101" w:rsidRPr="00492440" w:rsidRDefault="00C33101" w:rsidP="00C33101">
      <w:r w:rsidRPr="00492440">
        <w:t>Kan</w:t>
      </w:r>
      <w:r w:rsidR="0027331C">
        <w:t>alizace</w:t>
      </w:r>
    </w:p>
    <w:p w14:paraId="5DF09D42" w14:textId="77777777" w:rsidR="00C33101" w:rsidRPr="00492440" w:rsidRDefault="00C33101" w:rsidP="00C33101">
      <w:pPr>
        <w:rPr>
          <w:i/>
        </w:rPr>
      </w:pPr>
    </w:p>
    <w:p w14:paraId="72CDD37A" w14:textId="77777777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>OKF</w:t>
      </w:r>
    </w:p>
    <w:p w14:paraId="5D36DBBD" w14:textId="26659700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>Ce</w:t>
      </w:r>
      <w:r w:rsidR="00962A95">
        <w:t>na pro </w:t>
      </w:r>
      <w:r w:rsidRPr="00492440">
        <w:t>stočné</w:t>
      </w:r>
    </w:p>
    <w:p w14:paraId="1C98DB92" w14:textId="00C469E7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>Podíl nevyhovujících vzorků (%)</w:t>
      </w:r>
      <w:r w:rsidR="00371EFB">
        <w:t xml:space="preserve"> </w:t>
      </w:r>
    </w:p>
    <w:p w14:paraId="2F2C37D2" w14:textId="16D2C026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 xml:space="preserve">Podíl generovaných prostředků </w:t>
      </w:r>
      <w:r w:rsidR="00962A95">
        <w:t>na </w:t>
      </w:r>
      <w:r w:rsidRPr="00492440">
        <w:t xml:space="preserve">obnovu a rozvoj </w:t>
      </w:r>
      <w:r w:rsidR="00962A95">
        <w:t>k </w:t>
      </w:r>
      <w:r w:rsidRPr="00492440">
        <w:t>hodnotě infrastrukturníh</w:t>
      </w:r>
      <w:r w:rsidR="00962A95">
        <w:t>o</w:t>
      </w:r>
      <w:r w:rsidR="001A51C4">
        <w:br/>
      </w:r>
      <w:r w:rsidRPr="00492440">
        <w:t>majetku</w:t>
      </w:r>
    </w:p>
    <w:p w14:paraId="4E664D94" w14:textId="320A9233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>Počet přípoje</w:t>
      </w:r>
      <w:r w:rsidR="00962A95">
        <w:t>k na </w:t>
      </w:r>
      <w:r w:rsidRPr="00492440">
        <w:t>1 pracovníka společnosti.</w:t>
      </w:r>
    </w:p>
    <w:p w14:paraId="45BAFBE2" w14:textId="77777777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>Jednotkové ÚVN</w:t>
      </w:r>
    </w:p>
    <w:p w14:paraId="315DF421" w14:textId="77777777" w:rsidR="00C33101" w:rsidRPr="00492440" w:rsidRDefault="00C33101" w:rsidP="00C33101">
      <w:pPr>
        <w:numPr>
          <w:ilvl w:val="0"/>
          <w:numId w:val="34"/>
        </w:numPr>
        <w:spacing w:before="0" w:after="0"/>
        <w:contextualSpacing w:val="0"/>
      </w:pPr>
      <w:r w:rsidRPr="00492440">
        <w:t>Množství odpadní fakturované vody včetně vody srážkové</w:t>
      </w:r>
    </w:p>
    <w:p w14:paraId="7C6B6675" w14:textId="77777777" w:rsidR="00C33101" w:rsidRPr="00492440" w:rsidRDefault="00C33101" w:rsidP="00C33101"/>
    <w:p w14:paraId="3F4699DB" w14:textId="77777777" w:rsidR="00C33101" w:rsidRPr="00492440" w:rsidRDefault="00C33101" w:rsidP="00C33101"/>
    <w:p w14:paraId="12892A12" w14:textId="25FB2DEA" w:rsidR="00C33101" w:rsidRDefault="00C33101" w:rsidP="00CB2CEC">
      <w:pPr>
        <w:ind w:firstLine="567"/>
      </w:pPr>
      <w:r w:rsidRPr="00492440">
        <w:t xml:space="preserve">Hodnoty ukazatelů a kritérií </w:t>
      </w:r>
      <w:r w:rsidR="0077695E">
        <w:t>jsou</w:t>
      </w:r>
      <w:r w:rsidRPr="00492440">
        <w:t xml:space="preserve"> dopočítány a zobrazeny jak</w:t>
      </w:r>
      <w:r w:rsidR="00962A95">
        <w:t>o </w:t>
      </w:r>
      <w:r w:rsidRPr="00492440">
        <w:t>průměrné hodnoty Porovnání, která splnila kritéria. Spolu s těmit</w:t>
      </w:r>
      <w:r w:rsidR="00962A95">
        <w:t>o </w:t>
      </w:r>
      <w:r w:rsidRPr="00492440">
        <w:t xml:space="preserve">hodnotami </w:t>
      </w:r>
      <w:r w:rsidR="0077695E">
        <w:t>jsou</w:t>
      </w:r>
      <w:r w:rsidRPr="00492440">
        <w:t xml:space="preserve"> </w:t>
      </w:r>
      <w:r w:rsidR="00962A95">
        <w:t>v </w:t>
      </w:r>
      <w:r w:rsidRPr="00492440">
        <w:t xml:space="preserve">grafu zobrazeny jejich mediány a 10% percentily spočtené </w:t>
      </w:r>
      <w:r w:rsidR="00962A95">
        <w:t>za </w:t>
      </w:r>
      <w:r w:rsidRPr="00492440">
        <w:t>skupinu. Graf poskyt</w:t>
      </w:r>
      <w:r w:rsidR="0077695E">
        <w:t>uje</w:t>
      </w:r>
      <w:r w:rsidRPr="00492440">
        <w:t xml:space="preserve"> rámcovou informaci </w:t>
      </w:r>
      <w:r w:rsidR="00962A95">
        <w:t>o </w:t>
      </w:r>
      <w:r w:rsidRPr="00492440">
        <w:t xml:space="preserve">naplňování základních cílů regulátora </w:t>
      </w:r>
      <w:r w:rsidR="00962A95">
        <w:t>ve </w:t>
      </w:r>
      <w:r w:rsidRPr="00492440">
        <w:t xml:space="preserve">skupině a </w:t>
      </w:r>
      <w:r w:rsidR="00962A95">
        <w:t>o </w:t>
      </w:r>
      <w:r w:rsidRPr="00492440">
        <w:t xml:space="preserve">vyrovnanosti provozovatelských subjektů skupiny </w:t>
      </w:r>
      <w:r w:rsidR="00962A95">
        <w:t>ve </w:t>
      </w:r>
      <w:r w:rsidRPr="00492440">
        <w:t>sledovaných ukazatelích.</w:t>
      </w:r>
    </w:p>
    <w:p w14:paraId="331FC144" w14:textId="77777777" w:rsidR="00C24122" w:rsidRDefault="00C24122" w:rsidP="00C24122">
      <w:pPr>
        <w:pStyle w:val="NORMLN0"/>
        <w:spacing w:before="0" w:after="0"/>
        <w:ind w:left="142" w:hanging="142"/>
        <w:rPr>
          <w:rFonts w:asciiTheme="minorHAnsi" w:hAnsiTheme="minorHAnsi"/>
          <w:noProof/>
          <w:sz w:val="18"/>
        </w:rPr>
      </w:pPr>
    </w:p>
    <w:p w14:paraId="0251E8A2" w14:textId="77777777" w:rsidR="003F6F10" w:rsidRDefault="003F6F10">
      <w:pPr>
        <w:spacing w:before="0" w:after="160" w:line="259" w:lineRule="auto"/>
        <w:contextualSpacing w:val="0"/>
        <w:jc w:val="left"/>
        <w:rPr>
          <w:rFonts w:asciiTheme="minorHAnsi" w:hAnsiTheme="minorHAnsi"/>
          <w:noProof/>
          <w:color w:val="365F91"/>
          <w:sz w:val="32"/>
          <w:szCs w:val="32"/>
        </w:rPr>
      </w:pPr>
      <w:bookmarkStart w:id="51" w:name="_Toc963478"/>
      <w:bookmarkEnd w:id="26"/>
      <w:r>
        <w:rPr>
          <w:rFonts w:asciiTheme="minorHAnsi" w:hAnsiTheme="minorHAnsi"/>
          <w:noProof/>
        </w:rPr>
        <w:br w:type="page"/>
      </w:r>
    </w:p>
    <w:p w14:paraId="6446278A" w14:textId="1BB177E9" w:rsidR="00636AF2" w:rsidRPr="00C62639" w:rsidRDefault="00636AF2" w:rsidP="00636AF2">
      <w:pPr>
        <w:pStyle w:val="Nadpis1"/>
        <w:rPr>
          <w:rFonts w:asciiTheme="minorHAnsi" w:eastAsia="Calibri" w:hAnsiTheme="minorHAnsi"/>
          <w:noProof/>
        </w:rPr>
      </w:pPr>
      <w:bookmarkStart w:id="52" w:name="_Toc34210388"/>
      <w:r w:rsidRPr="00C62639">
        <w:rPr>
          <w:rFonts w:asciiTheme="minorHAnsi" w:eastAsia="Calibri" w:hAnsiTheme="minorHAnsi"/>
          <w:noProof/>
        </w:rPr>
        <w:lastRenderedPageBreak/>
        <w:t>Benchmarking vlastnických subjektů 201</w:t>
      </w:r>
      <w:r w:rsidR="009C67DD">
        <w:rPr>
          <w:rFonts w:asciiTheme="minorHAnsi" w:eastAsia="Calibri" w:hAnsiTheme="minorHAnsi"/>
          <w:noProof/>
        </w:rPr>
        <w:t>8</w:t>
      </w:r>
      <w:bookmarkEnd w:id="51"/>
      <w:bookmarkEnd w:id="52"/>
    </w:p>
    <w:p w14:paraId="7267D12A" w14:textId="77777777" w:rsidR="00636AF2" w:rsidRPr="00C62639" w:rsidRDefault="00636AF2" w:rsidP="00636AF2">
      <w:pPr>
        <w:pStyle w:val="Nadpis2"/>
        <w:rPr>
          <w:rFonts w:asciiTheme="minorHAnsi" w:eastAsia="Calibri" w:hAnsiTheme="minorHAnsi"/>
          <w:noProof/>
        </w:rPr>
      </w:pPr>
      <w:bookmarkStart w:id="53" w:name="_Toc963479"/>
      <w:bookmarkStart w:id="54" w:name="_Toc34210389"/>
      <w:r w:rsidRPr="00C62639">
        <w:rPr>
          <w:rFonts w:asciiTheme="minorHAnsi" w:eastAsia="Calibri" w:hAnsiTheme="minorHAnsi"/>
          <w:noProof/>
        </w:rPr>
        <w:t>Cíl zprávy</w:t>
      </w:r>
      <w:bookmarkEnd w:id="53"/>
      <w:bookmarkEnd w:id="54"/>
    </w:p>
    <w:p w14:paraId="13D03803" w14:textId="67DA3580" w:rsidR="00636AF2" w:rsidRPr="00F6250E" w:rsidRDefault="00636AF2" w:rsidP="00636AF2">
      <w:pPr>
        <w:pStyle w:val="NORMLN0"/>
      </w:pPr>
      <w:r w:rsidRPr="00F6250E">
        <w:t xml:space="preserve">Předmětem projektu benchmarkingu vlastnických subjektů je </w:t>
      </w:r>
      <w:r w:rsidR="008C70AF">
        <w:t>zejmé</w:t>
      </w:r>
      <w:r w:rsidR="00962A95">
        <w:t>na </w:t>
      </w:r>
      <w:r w:rsidRPr="00F6250E">
        <w:t xml:space="preserve">problematika obnovy, resp. </w:t>
      </w:r>
      <w:r w:rsidR="008C70AF">
        <w:t xml:space="preserve">sledování a vyhodnocování přístupu </w:t>
      </w:r>
      <w:r w:rsidRPr="00F6250E">
        <w:t xml:space="preserve">vlastníků VIM </w:t>
      </w:r>
      <w:r w:rsidR="00962A95">
        <w:t>k </w:t>
      </w:r>
      <w:r w:rsidRPr="00F6250E">
        <w:t xml:space="preserve">plnění záměru regulace - dosažení samofinancování infrastruktury. </w:t>
      </w:r>
    </w:p>
    <w:p w14:paraId="36019964" w14:textId="78689A9D" w:rsidR="00636AF2" w:rsidRDefault="00636AF2" w:rsidP="00636AF2">
      <w:pPr>
        <w:pStyle w:val="NORMLN0"/>
      </w:pPr>
      <w:r w:rsidRPr="00F6250E">
        <w:t>Základním cílem projektu vlastnickéh</w:t>
      </w:r>
      <w:r w:rsidR="00962A95">
        <w:t>o </w:t>
      </w:r>
      <w:r w:rsidRPr="00F6250E">
        <w:t xml:space="preserve">benchmarkingu </w:t>
      </w:r>
      <w:r w:rsidR="00C17292">
        <w:t>je</w:t>
      </w:r>
      <w:r w:rsidRPr="00F6250E">
        <w:t xml:space="preserve"> identifikace anomáli</w:t>
      </w:r>
      <w:r w:rsidR="0077695E">
        <w:t>í</w:t>
      </w:r>
      <w:r w:rsidR="00DE53F8">
        <w:t xml:space="preserve"> u </w:t>
      </w:r>
      <w:r w:rsidRPr="00F6250E">
        <w:t xml:space="preserve">konkrétních </w:t>
      </w:r>
      <w:r w:rsidR="00C17292">
        <w:t xml:space="preserve">vlastnických </w:t>
      </w:r>
      <w:r w:rsidRPr="00F6250E">
        <w:t xml:space="preserve">subjektů (resp. Porovnání). </w:t>
      </w:r>
      <w:r w:rsidR="0077695E">
        <w:t xml:space="preserve">Prioritní </w:t>
      </w:r>
      <w:r w:rsidR="001A10D7">
        <w:t xml:space="preserve">problematikou </w:t>
      </w:r>
      <w:r w:rsidR="00C17292">
        <w:t>vlastnickéh</w:t>
      </w:r>
      <w:r w:rsidR="00962A95">
        <w:t>o </w:t>
      </w:r>
      <w:r w:rsidR="0077695E">
        <w:t xml:space="preserve">benchmarkingu </w:t>
      </w:r>
      <w:r w:rsidRPr="00F6250E">
        <w:t xml:space="preserve">je </w:t>
      </w:r>
      <w:r w:rsidR="0077695E">
        <w:t>analý</w:t>
      </w:r>
      <w:r w:rsidR="00962A95">
        <w:t>za </w:t>
      </w:r>
      <w:r w:rsidRPr="00F6250E">
        <w:t>schopnost</w:t>
      </w:r>
      <w:r w:rsidR="0077695E">
        <w:t>i</w:t>
      </w:r>
      <w:r w:rsidRPr="00F6250E">
        <w:t xml:space="preserve"> vlastníků VIM zajistit generování dostatečnéh</w:t>
      </w:r>
      <w:r w:rsidR="00962A95">
        <w:t>o </w:t>
      </w:r>
      <w:r w:rsidRPr="00F6250E">
        <w:t xml:space="preserve">množství </w:t>
      </w:r>
      <w:r w:rsidR="00EB3A59">
        <w:t>P</w:t>
      </w:r>
      <w:r w:rsidR="00962A95">
        <w:t>O v </w:t>
      </w:r>
      <w:r w:rsidRPr="00F6250E">
        <w:t xml:space="preserve">ceně </w:t>
      </w:r>
      <w:r w:rsidR="00962A95">
        <w:t>pro </w:t>
      </w:r>
      <w:r w:rsidRPr="00F6250E">
        <w:t xml:space="preserve">vodné a stočné. </w:t>
      </w:r>
      <w:r w:rsidR="00962A95">
        <w:t>Pro </w:t>
      </w:r>
      <w:r w:rsidRPr="00F6250E">
        <w:t>každé Porovnání byla vypočte</w:t>
      </w:r>
      <w:r w:rsidR="00962A95">
        <w:t>na </w:t>
      </w:r>
      <w:r w:rsidR="00C17292">
        <w:t>T</w:t>
      </w:r>
      <w:r w:rsidRPr="00F6250E">
        <w:t xml:space="preserve">eoretická </w:t>
      </w:r>
      <w:r w:rsidR="006920B0" w:rsidRPr="00F6250E">
        <w:t>ce</w:t>
      </w:r>
      <w:r w:rsidR="00962A95">
        <w:t>na </w:t>
      </w:r>
      <w:r w:rsidR="006920B0">
        <w:t>(vi</w:t>
      </w:r>
      <w:r w:rsidR="00962A95">
        <w:t>z </w:t>
      </w:r>
      <w:r w:rsidR="00C17292">
        <w:t>kapitola 6.1).</w:t>
      </w:r>
      <w:r w:rsidR="009F2CEE">
        <w:t xml:space="preserve"> Všech</w:t>
      </w:r>
      <w:r w:rsidR="00962A95">
        <w:t>na </w:t>
      </w:r>
      <w:r w:rsidR="009F2CEE">
        <w:t>analyzovan</w:t>
      </w:r>
      <w:r w:rsidR="0077695E">
        <w:t>á</w:t>
      </w:r>
      <w:r w:rsidR="009F2CEE">
        <w:t xml:space="preserve"> Porovnání</w:t>
      </w:r>
      <w:r w:rsidR="0077695E">
        <w:t xml:space="preserve"> </w:t>
      </w:r>
      <w:r w:rsidR="00C17292">
        <w:t xml:space="preserve">s </w:t>
      </w:r>
      <w:r w:rsidR="0077695E">
        <w:t xml:space="preserve">vybranými ukazateli </w:t>
      </w:r>
      <w:r w:rsidR="00962A95">
        <w:t>ze </w:t>
      </w:r>
      <w:r w:rsidR="00C17292">
        <w:t>souvisejících</w:t>
      </w:r>
      <w:r w:rsidR="0077695E">
        <w:t> VÚME a VÚPE</w:t>
      </w:r>
      <w:r w:rsidR="009F2CEE">
        <w:t xml:space="preserve"> jsou </w:t>
      </w:r>
      <w:r w:rsidR="00C17292">
        <w:t>zveřejně</w:t>
      </w:r>
      <w:r w:rsidR="00962A95">
        <w:t>na na </w:t>
      </w:r>
      <w:r w:rsidR="0077695E">
        <w:t>webových stránkách M</w:t>
      </w:r>
      <w:r w:rsidR="00962A95">
        <w:t>Ze v </w:t>
      </w:r>
      <w:r w:rsidR="0077695E">
        <w:t>souborech</w:t>
      </w:r>
      <w:r w:rsidR="009F2CEE">
        <w:t xml:space="preserve"> </w:t>
      </w:r>
      <w:r w:rsidR="00962A95">
        <w:t>ve </w:t>
      </w:r>
      <w:r w:rsidR="009F2CEE" w:rsidRPr="0056678A">
        <w:t xml:space="preserve">formátu </w:t>
      </w:r>
      <w:r w:rsidR="0077695E" w:rsidRPr="0056678A">
        <w:t>*</w:t>
      </w:r>
      <w:r w:rsidR="009F2CEE" w:rsidRPr="0056678A">
        <w:t>.xls</w:t>
      </w:r>
      <w:r w:rsidR="00C17292" w:rsidRPr="0027331C">
        <w:t>.</w:t>
      </w:r>
      <w:r w:rsidR="00C17292">
        <w:t xml:space="preserve"> </w:t>
      </w:r>
      <w:r w:rsidR="00962A95">
        <w:t>V </w:t>
      </w:r>
      <w:r w:rsidR="00C17292">
        <w:t>těcht</w:t>
      </w:r>
      <w:r w:rsidR="00962A95">
        <w:t>o </w:t>
      </w:r>
      <w:r w:rsidR="00C17292">
        <w:t>souborech jsou dále</w:t>
      </w:r>
      <w:r w:rsidR="00BD5FF3">
        <w:t xml:space="preserve"> ke </w:t>
      </w:r>
      <w:r w:rsidR="00C17292">
        <w:t xml:space="preserve">každému Porovnání zveřejněny informace </w:t>
      </w:r>
      <w:r w:rsidR="00962A95">
        <w:t>o </w:t>
      </w:r>
      <w:r w:rsidR="009F2CEE">
        <w:t xml:space="preserve">výši </w:t>
      </w:r>
      <w:r w:rsidR="00C17292">
        <w:t>spočtené T</w:t>
      </w:r>
      <w:r w:rsidR="009F2CEE">
        <w:t>eoretické ceny</w:t>
      </w:r>
      <w:r w:rsidR="00C17292">
        <w:t xml:space="preserve">, </w:t>
      </w:r>
      <w:r w:rsidR="009F2CEE">
        <w:t xml:space="preserve">její sociální </w:t>
      </w:r>
      <w:r w:rsidR="006920B0">
        <w:t xml:space="preserve">únosnosti a </w:t>
      </w:r>
      <w:r w:rsidR="00962A95">
        <w:t>o </w:t>
      </w:r>
      <w:r w:rsidR="006920B0">
        <w:t>druhu</w:t>
      </w:r>
      <w:r w:rsidR="00C17292">
        <w:t xml:space="preserve"> nalezených anomálií. </w:t>
      </w:r>
    </w:p>
    <w:p w14:paraId="7666640C" w14:textId="77777777" w:rsidR="00636AF2" w:rsidRPr="00C62639" w:rsidRDefault="00657FB0" w:rsidP="0003761D">
      <w:pPr>
        <w:pStyle w:val="Nadpis2"/>
      </w:pPr>
      <w:bookmarkStart w:id="55" w:name="_Toc963482"/>
      <w:r>
        <w:rPr>
          <w:rFonts w:eastAsia="Calibri Light"/>
        </w:rPr>
        <w:t xml:space="preserve"> </w:t>
      </w:r>
      <w:bookmarkStart w:id="56" w:name="_Toc34210390"/>
      <w:r w:rsidR="00636AF2" w:rsidRPr="00C62639">
        <w:rPr>
          <w:rFonts w:eastAsia="Calibri Light"/>
        </w:rPr>
        <w:t>Vodovod</w:t>
      </w:r>
      <w:bookmarkEnd w:id="55"/>
      <w:bookmarkEnd w:id="56"/>
    </w:p>
    <w:p w14:paraId="51190E94" w14:textId="6D7DA85A" w:rsidR="0099760E" w:rsidRDefault="00962A95" w:rsidP="0003761D">
      <w:pPr>
        <w:spacing w:before="0" w:after="160" w:line="259" w:lineRule="auto"/>
        <w:ind w:firstLine="567"/>
        <w:contextualSpacing w:val="0"/>
      </w:pPr>
      <w:r>
        <w:t>Na </w:t>
      </w:r>
      <w:r w:rsidR="0099760E">
        <w:t>základě připomíne</w:t>
      </w:r>
      <w:r>
        <w:t>k </w:t>
      </w:r>
      <w:r w:rsidR="00C56A54">
        <w:t>odborné veřejnosti byl</w:t>
      </w:r>
      <w:r>
        <w:t>o </w:t>
      </w:r>
      <w:r w:rsidR="00C56A54">
        <w:t>přistoupen</w:t>
      </w:r>
      <w:r>
        <w:t>o k </w:t>
      </w:r>
      <w:r w:rsidR="0099760E">
        <w:t xml:space="preserve">rozdělení anomálií </w:t>
      </w:r>
      <w:r>
        <w:t>na </w:t>
      </w:r>
      <w:r w:rsidR="0099760E">
        <w:t xml:space="preserve">dvě kategorie. První je spojená s chybným vykazováním dat a druhá je složená </w:t>
      </w:r>
      <w:r>
        <w:t>z </w:t>
      </w:r>
      <w:r w:rsidR="00347A45">
        <w:t>anomálií</w:t>
      </w:r>
      <w:r w:rsidR="0099760E">
        <w:t xml:space="preserve"> upozorňujících </w:t>
      </w:r>
      <w:r>
        <w:t>na </w:t>
      </w:r>
      <w:r w:rsidR="0099760E">
        <w:t>nedostatky indikující neplnění regulačních záměrů neb</w:t>
      </w:r>
      <w:r>
        <w:t>o </w:t>
      </w:r>
      <w:r w:rsidR="0099760E">
        <w:t xml:space="preserve">legislativních předpisů. </w:t>
      </w:r>
    </w:p>
    <w:p w14:paraId="49512519" w14:textId="11DBA359" w:rsidR="0099760E" w:rsidRDefault="0099760E" w:rsidP="0099760E">
      <w:pPr>
        <w:spacing w:before="0" w:after="160" w:line="259" w:lineRule="auto"/>
        <w:contextualSpacing w:val="0"/>
        <w:jc w:val="left"/>
      </w:pPr>
      <w:r>
        <w:t xml:space="preserve"> </w:t>
      </w:r>
    </w:p>
    <w:p w14:paraId="4909080C" w14:textId="77777777" w:rsidR="0099760E" w:rsidRDefault="0099760E" w:rsidP="0003761D">
      <w:pPr>
        <w:pStyle w:val="Nadpis3"/>
      </w:pPr>
      <w:bookmarkStart w:id="57" w:name="_Toc34210391"/>
      <w:r>
        <w:t>Chybné vykazování dat</w:t>
      </w:r>
      <w:bookmarkEnd w:id="57"/>
    </w:p>
    <w:p w14:paraId="7A8697A3" w14:textId="3EF4D8E7" w:rsidR="0099760E" w:rsidRDefault="0099760E" w:rsidP="0099760E">
      <w:pPr>
        <w:pStyle w:val="NORMLN0"/>
      </w:pPr>
      <w:r>
        <w:t xml:space="preserve">Podle údajů </w:t>
      </w:r>
      <w:r w:rsidR="0037600C">
        <w:t xml:space="preserve">uvedených </w:t>
      </w:r>
      <w:r w:rsidR="00962A95">
        <w:t>v </w:t>
      </w:r>
      <w:r>
        <w:t>následujících tabul</w:t>
      </w:r>
      <w:r w:rsidR="0037600C">
        <w:t>kách</w:t>
      </w:r>
      <w:r>
        <w:t xml:space="preserve"> l</w:t>
      </w:r>
      <w:r w:rsidR="00962A95">
        <w:t>ze </w:t>
      </w:r>
      <w:r>
        <w:t xml:space="preserve">konstatovat, že </w:t>
      </w:r>
      <w:r w:rsidR="00962A95">
        <w:t>z </w:t>
      </w:r>
      <w:r>
        <w:t>analyzovaných 2031 Porovnání se</w:t>
      </w:r>
      <w:r w:rsidR="003A691E">
        <w:t xml:space="preserve"> </w:t>
      </w:r>
      <w:r w:rsidR="00962A95">
        <w:t>ve </w:t>
      </w:r>
      <w:r>
        <w:t>178</w:t>
      </w:r>
      <w:r w:rsidR="00371EFB">
        <w:t xml:space="preserve"> </w:t>
      </w:r>
      <w:r>
        <w:t xml:space="preserve">případech </w:t>
      </w:r>
      <w:r w:rsidR="00C56A54">
        <w:t xml:space="preserve">(tj. 8,76 % </w:t>
      </w:r>
      <w:r w:rsidR="00962A95">
        <w:t>z </w:t>
      </w:r>
      <w:r w:rsidR="00C56A54">
        <w:t>celkovéh</w:t>
      </w:r>
      <w:r w:rsidR="00962A95">
        <w:t>o </w:t>
      </w:r>
      <w:r w:rsidR="00C56A54">
        <w:t xml:space="preserve">počtu) </w:t>
      </w:r>
      <w:r>
        <w:t>vyskytuje</w:t>
      </w:r>
      <w:r w:rsidR="00876703">
        <w:t xml:space="preserve"> chybné vykazování dat (n</w:t>
      </w:r>
      <w:r w:rsidR="00164F5C">
        <w:t xml:space="preserve">ejčastěji </w:t>
      </w:r>
      <w:r w:rsidR="00962A95">
        <w:t>ve </w:t>
      </w:r>
      <w:r w:rsidR="00164F5C">
        <w:t>IV</w:t>
      </w:r>
      <w:r>
        <w:t>. a V. vlastnické skupin</w:t>
      </w:r>
      <w:r w:rsidR="00876703">
        <w:t>ě)</w:t>
      </w:r>
      <w:r w:rsidR="00164F5C">
        <w:t xml:space="preserve">. </w:t>
      </w:r>
    </w:p>
    <w:p w14:paraId="3E2AF824" w14:textId="0DC76EE2" w:rsidR="00164F5C" w:rsidRDefault="00164F5C" w:rsidP="00DE53F8">
      <w:pPr>
        <w:pStyle w:val="NORMLN0"/>
        <w:ind w:firstLine="0"/>
      </w:pPr>
    </w:p>
    <w:tbl>
      <w:tblPr>
        <w:tblW w:w="542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1592"/>
        <w:gridCol w:w="1163"/>
        <w:gridCol w:w="1125"/>
        <w:gridCol w:w="1186"/>
        <w:gridCol w:w="1186"/>
        <w:gridCol w:w="1186"/>
      </w:tblGrid>
      <w:tr w:rsidR="00164F5C" w:rsidRPr="00164F5C" w14:paraId="055BD588" w14:textId="77777777" w:rsidTr="003F6F10">
        <w:trPr>
          <w:trHeight w:val="798"/>
          <w:tblHeader/>
          <w:jc w:val="center"/>
        </w:trPr>
        <w:tc>
          <w:tcPr>
            <w:tcW w:w="1294" w:type="pct"/>
            <w:tcBorders>
              <w:top w:val="nil"/>
              <w:left w:val="nil"/>
              <w:bottom w:val="single" w:sz="4" w:space="0" w:color="9BC2E6"/>
              <w:right w:val="single" w:sz="4" w:space="0" w:color="FFFFFF"/>
            </w:tcBorders>
            <w:shd w:val="clear" w:color="5B9BD5" w:fill="5B9BD5"/>
            <w:noWrap/>
            <w:vAlign w:val="center"/>
            <w:hideMark/>
          </w:tcPr>
          <w:p w14:paraId="117E5426" w14:textId="77777777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POPISKY ŘÁDKŮ</w:t>
            </w:r>
          </w:p>
        </w:tc>
        <w:tc>
          <w:tcPr>
            <w:tcW w:w="606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366EEBD4" w14:textId="25235D04" w:rsidR="00164F5C" w:rsidRPr="00164F5C" w:rsidRDefault="00164F5C" w:rsidP="006920B0">
            <w:pPr>
              <w:keepNext/>
              <w:keepLines/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 xml:space="preserve">NÁJEM JE VĚTŠÍ </w:t>
            </w:r>
            <w:r w:rsidR="00962A95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NEŽ </w:t>
            </w: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 xml:space="preserve">NULA </w:t>
            </w:r>
            <w:r w:rsidR="00962A95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VE </w:t>
            </w: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SMÍŠENÉM MODELU NEB</w:t>
            </w:r>
            <w:r w:rsidR="00962A95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O </w:t>
            </w: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ODDÍLNÉM SE SERVISNÍ SMLOUVOU</w:t>
            </w:r>
          </w:p>
        </w:tc>
        <w:tc>
          <w:tcPr>
            <w:tcW w:w="566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5859FC6E" w14:textId="23A3D4B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 xml:space="preserve">NENULOVÝ POČET PORUCH A NULOVÉ NÁKLADY </w:t>
            </w:r>
            <w:r w:rsidR="00962A95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OPRAVU</w:t>
            </w:r>
          </w:p>
        </w:tc>
        <w:tc>
          <w:tcPr>
            <w:tcW w:w="648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0F35EEB1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SOUČET VÝSKYTU</w:t>
            </w:r>
          </w:p>
        </w:tc>
        <w:tc>
          <w:tcPr>
            <w:tcW w:w="629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2312B0E7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POČET POROVNÁNÍ S ALESPOŇ JEDNOU ANOMÁLIÍ</w:t>
            </w:r>
          </w:p>
        </w:tc>
        <w:tc>
          <w:tcPr>
            <w:tcW w:w="629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1F195507" w14:textId="6A527BC1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 xml:space="preserve">POČET POROVNÁNÍ </w:t>
            </w:r>
            <w:r w:rsidR="00962A95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VE </w:t>
            </w: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SKUPINĚ</w:t>
            </w:r>
          </w:p>
        </w:tc>
        <w:tc>
          <w:tcPr>
            <w:tcW w:w="628" w:type="pct"/>
            <w:tcBorders>
              <w:top w:val="nil"/>
              <w:left w:val="single" w:sz="4" w:space="0" w:color="FFFFFF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29DFAF7B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% PODÍL POČTU POROVNÁNÍ ALESPOŇ S JE</w:t>
            </w:r>
            <w:r w:rsidR="00C56A54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D</w:t>
            </w:r>
            <w:r w:rsidRPr="00164F5C">
              <w:rPr>
                <w:rFonts w:eastAsia="Times New Roman" w:cs="Calibri"/>
                <w:b/>
                <w:bCs/>
                <w:color w:val="FFFFFF"/>
                <w:sz w:val="20"/>
                <w:lang w:eastAsia="cs-CZ"/>
              </w:rPr>
              <w:t>NOU ANOMÁLIÍ</w:t>
            </w:r>
          </w:p>
        </w:tc>
      </w:tr>
      <w:tr w:rsidR="006920B0" w:rsidRPr="00164F5C" w14:paraId="3C9713DF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F1B7FB3" w14:textId="08929F08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I.SKUPI</w:t>
            </w:r>
            <w:r w:rsidR="00962A95">
              <w:rPr>
                <w:rFonts w:eastAsia="Times New Roman" w:cs="Calibri"/>
                <w:color w:val="000000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(&gt;10 000 MIL.KČ)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CFEBFD5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41224FE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7222394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2"/>
              </w:rPr>
              <w:t>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3BBAF8B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24A4BFA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67517F8C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0,00%</w:t>
            </w:r>
          </w:p>
        </w:tc>
      </w:tr>
      <w:tr w:rsidR="006920B0" w:rsidRPr="00164F5C" w14:paraId="7CAAF7D9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0AE22F14" w14:textId="1D65E867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II.SKUPI</w:t>
            </w:r>
            <w:r w:rsidR="00962A95">
              <w:rPr>
                <w:rFonts w:eastAsia="Times New Roman" w:cs="Calibri"/>
                <w:color w:val="000000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(&gt;1 000 MIL.KČ)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234B64F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5B42B656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959DF94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2"/>
              </w:rPr>
              <w:t>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7E2FE8A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5A4BE2CD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43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2C48B741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0,00%</w:t>
            </w:r>
          </w:p>
        </w:tc>
      </w:tr>
      <w:tr w:rsidR="006920B0" w:rsidRPr="00164F5C" w14:paraId="5915A581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5F34BB9" w14:textId="0BC1593A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III.SKUPI</w:t>
            </w:r>
            <w:r w:rsidR="00962A95">
              <w:rPr>
                <w:rFonts w:eastAsia="Times New Roman" w:cs="Calibri"/>
                <w:color w:val="000000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(&gt;100 MIL.KČ)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1ACD6D8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EBADFC0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226CD4C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2"/>
              </w:rPr>
              <w:t>6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59EC2E4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6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6A755FB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138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4C9A5E04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4,35%</w:t>
            </w:r>
          </w:p>
        </w:tc>
      </w:tr>
      <w:tr w:rsidR="006920B0" w:rsidRPr="00164F5C" w14:paraId="1130C5A4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E7B2ED7" w14:textId="011A6C53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IV.SKUPI</w:t>
            </w:r>
            <w:r w:rsidR="00962A95">
              <w:rPr>
                <w:rFonts w:eastAsia="Times New Roman" w:cs="Calibri"/>
                <w:color w:val="000000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(&gt;10 MIL.KČ)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6C0B3F0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27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9C3E31D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68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AECC314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2"/>
              </w:rPr>
              <w:t>214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08048D31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93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1A949BF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1 106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467F0006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8,41%</w:t>
            </w:r>
          </w:p>
        </w:tc>
      </w:tr>
      <w:tr w:rsidR="006920B0" w:rsidRPr="00164F5C" w14:paraId="664CE9C6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71AE7CB" w14:textId="24159C97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V.SKUPI</w:t>
            </w:r>
            <w:r w:rsidR="00962A95">
              <w:rPr>
                <w:rFonts w:eastAsia="Times New Roman" w:cs="Calibri"/>
                <w:color w:val="000000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(&gt;1 MIL.KČ)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E3B0799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13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99F62E8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65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2A22E88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2"/>
              </w:rPr>
              <w:t>78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2DFDF7E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77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18D8E36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711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1E957241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10,83%</w:t>
            </w:r>
          </w:p>
        </w:tc>
      </w:tr>
      <w:tr w:rsidR="006920B0" w:rsidRPr="00164F5C" w14:paraId="385AE644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FB139AE" w14:textId="6798145A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VI.SKUPI</w:t>
            </w:r>
            <w:r w:rsidR="00962A95">
              <w:rPr>
                <w:rFonts w:eastAsia="Times New Roman" w:cs="Calibri"/>
                <w:color w:val="000000"/>
                <w:sz w:val="20"/>
                <w:lang w:eastAsia="cs-CZ"/>
              </w:rPr>
              <w:t>NA </w:t>
            </w: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(&lt;1 MIL.KČ)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CFE9F81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0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0F39E2CB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ABE51CD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254E6F6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E2D3BC3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30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285AA439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color w:val="000000"/>
                <w:sz w:val="20"/>
                <w:lang w:eastAsia="cs-CZ"/>
              </w:rPr>
              <w:t>6,67%</w:t>
            </w:r>
          </w:p>
        </w:tc>
      </w:tr>
      <w:tr w:rsidR="006920B0" w:rsidRPr="00164F5C" w14:paraId="45182DCD" w14:textId="77777777" w:rsidTr="006920B0">
        <w:trPr>
          <w:trHeight w:val="266"/>
          <w:jc w:val="center"/>
        </w:trPr>
        <w:tc>
          <w:tcPr>
            <w:tcW w:w="1294" w:type="pct"/>
            <w:tcBorders>
              <w:top w:val="single" w:sz="4" w:space="0" w:color="9BC2E6"/>
              <w:left w:val="nil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2408417" w14:textId="77777777" w:rsidR="006920B0" w:rsidRPr="00164F5C" w:rsidRDefault="006920B0" w:rsidP="006920B0">
            <w:pPr>
              <w:spacing w:before="0" w:after="0"/>
              <w:contextualSpacing w:val="0"/>
              <w:jc w:val="left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CELKOVÝ SOUČET</w:t>
            </w:r>
          </w:p>
        </w:tc>
        <w:tc>
          <w:tcPr>
            <w:tcW w:w="60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0182179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43</w:t>
            </w:r>
          </w:p>
        </w:tc>
        <w:tc>
          <w:tcPr>
            <w:tcW w:w="56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8C904DC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138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2CC46F5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>
              <w:rPr>
                <w:rFonts w:cs="Calibri"/>
                <w:b/>
                <w:bCs/>
                <w:color w:val="002060"/>
                <w:sz w:val="22"/>
              </w:rPr>
              <w:t>300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1CB1971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178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79BE83A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2 031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DD7EE" w:fill="BDD7EE"/>
            <w:noWrap/>
            <w:vAlign w:val="center"/>
            <w:hideMark/>
          </w:tcPr>
          <w:p w14:paraId="3328F3A7" w14:textId="77777777" w:rsidR="006920B0" w:rsidRPr="00164F5C" w:rsidRDefault="006920B0" w:rsidP="006920B0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</w:pPr>
            <w:r w:rsidRPr="00164F5C">
              <w:rPr>
                <w:rFonts w:eastAsia="Times New Roman" w:cs="Calibri"/>
                <w:b/>
                <w:bCs/>
                <w:color w:val="002060"/>
                <w:sz w:val="20"/>
                <w:lang w:eastAsia="cs-CZ"/>
              </w:rPr>
              <w:t>8,76%</w:t>
            </w:r>
          </w:p>
        </w:tc>
      </w:tr>
    </w:tbl>
    <w:p w14:paraId="4BA1ED09" w14:textId="77777777" w:rsidR="00164F5C" w:rsidRDefault="00164F5C" w:rsidP="00636AF2">
      <w:pPr>
        <w:pStyle w:val="NORMLN0"/>
      </w:pPr>
    </w:p>
    <w:p w14:paraId="1E0F4AC3" w14:textId="172BBCD3" w:rsidR="00164F5C" w:rsidRDefault="00962A95" w:rsidP="00636AF2">
      <w:pPr>
        <w:pStyle w:val="NORMLN0"/>
      </w:pPr>
      <w:r>
        <w:t>Z </w:t>
      </w:r>
      <w:r w:rsidR="00164F5C" w:rsidRPr="00FF1A51">
        <w:t>hlediska objemu</w:t>
      </w:r>
      <w:r w:rsidR="00164F5C">
        <w:t xml:space="preserve"> fakturované vody je chybným vykazováním dat ovlivněn jen</w:t>
      </w:r>
      <w:r w:rsidR="00371EFB">
        <w:t xml:space="preserve"> </w:t>
      </w:r>
      <w:r w:rsidR="00FA3C56">
        <w:t>1</w:t>
      </w:r>
      <w:r w:rsidR="00164F5C">
        <w:t>,06% podíl analyzovanéh</w:t>
      </w:r>
      <w:r>
        <w:t>o </w:t>
      </w:r>
      <w:r w:rsidR="00164F5C">
        <w:t xml:space="preserve">trhu. </w:t>
      </w:r>
    </w:p>
    <w:p w14:paraId="4BB3E22C" w14:textId="2FE6201F" w:rsidR="00164F5C" w:rsidRDefault="00164F5C" w:rsidP="00636AF2">
      <w:pPr>
        <w:pStyle w:val="NORMLN0"/>
      </w:pPr>
    </w:p>
    <w:tbl>
      <w:tblPr>
        <w:tblW w:w="617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1931"/>
        <w:gridCol w:w="1725"/>
        <w:gridCol w:w="1145"/>
        <w:gridCol w:w="1369"/>
        <w:gridCol w:w="1364"/>
        <w:gridCol w:w="1275"/>
      </w:tblGrid>
      <w:tr w:rsidR="00FA0538" w:rsidRPr="00164F5C" w14:paraId="0186BDCB" w14:textId="77777777" w:rsidTr="00657FB0">
        <w:trPr>
          <w:trHeight w:val="854"/>
          <w:jc w:val="center"/>
        </w:trPr>
        <w:tc>
          <w:tcPr>
            <w:tcW w:w="1068" w:type="pct"/>
            <w:tcBorders>
              <w:top w:val="nil"/>
              <w:left w:val="nil"/>
              <w:bottom w:val="single" w:sz="4" w:space="0" w:color="9BC2E6"/>
              <w:right w:val="single" w:sz="4" w:space="0" w:color="FFFFFF"/>
            </w:tcBorders>
            <w:shd w:val="clear" w:color="5B9BD5" w:fill="5B9BD5"/>
            <w:noWrap/>
            <w:vAlign w:val="center"/>
            <w:hideMark/>
          </w:tcPr>
          <w:p w14:paraId="4EF888D3" w14:textId="77777777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POPISKY ŘÁDKŮ</w:t>
            </w:r>
          </w:p>
        </w:tc>
        <w:tc>
          <w:tcPr>
            <w:tcW w:w="862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2FA5F480" w14:textId="183B382B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OBJEM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MIL. M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vertAlign w:val="superscript"/>
                <w:lang w:eastAsia="cs-CZ"/>
              </w:rPr>
              <w:t>3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_NÁJEM JE VĚTŠÍ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NEŽ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NULA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VE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SMÍŠENÉM MODELU NEB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O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ODDÍLNÉM SE SERVISNÍ SMLOUVOU</w:t>
            </w:r>
          </w:p>
        </w:tc>
        <w:tc>
          <w:tcPr>
            <w:tcW w:w="770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0CA190EB" w14:textId="53DD85C4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OBJEM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MIL. M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vertAlign w:val="superscript"/>
                <w:lang w:eastAsia="cs-CZ"/>
              </w:rPr>
              <w:t>3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_NENULOVÝ POČET PORUCH A NULOVÉ NÁKLADY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OPRAVU</w:t>
            </w:r>
          </w:p>
        </w:tc>
        <w:tc>
          <w:tcPr>
            <w:tcW w:w="511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2D41469D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SOUČET OBJEMŮ VÝSKYTU ANOMÁLII</w:t>
            </w:r>
          </w:p>
        </w:tc>
        <w:tc>
          <w:tcPr>
            <w:tcW w:w="611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3C3EB433" w14:textId="5BDA2699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MIL. M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vertAlign w:val="superscript"/>
                <w:lang w:eastAsia="cs-CZ"/>
              </w:rPr>
              <w:t>3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S JEDNOU NEB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O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VÍCER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O </w:t>
            </w: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ANOMÁLIEMY</w:t>
            </w:r>
          </w:p>
        </w:tc>
        <w:tc>
          <w:tcPr>
            <w:tcW w:w="609" w:type="pct"/>
            <w:tcBorders>
              <w:top w:val="nil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4C93E716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OBJEM FAKTUROVANÉ VODY</w:t>
            </w:r>
          </w:p>
        </w:tc>
        <w:tc>
          <w:tcPr>
            <w:tcW w:w="570" w:type="pct"/>
            <w:tcBorders>
              <w:top w:val="nil"/>
              <w:left w:val="single" w:sz="4" w:space="0" w:color="FFFFFF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611519AC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% PODÍL VODY FAKTUROVANÉ S ALESPOŇ JEDNOU ANOMÁLIÍ</w:t>
            </w:r>
          </w:p>
        </w:tc>
      </w:tr>
      <w:tr w:rsidR="00164F5C" w:rsidRPr="00164F5C" w14:paraId="0C483AD2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92BD436" w14:textId="3A634B98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(&gt;10 000 MIL.KČ)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178EFB1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79010A2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CDB094F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A00CD74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BD6A5FF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167,295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64AAECB8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0,00%</w:t>
            </w:r>
          </w:p>
        </w:tc>
      </w:tr>
      <w:tr w:rsidR="00164F5C" w:rsidRPr="00164F5C" w14:paraId="67683DB5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A0533F3" w14:textId="5D2166C6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(&gt;1 000 MIL.KČ)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4A6CAD1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DBF9016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90785DE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0A76260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075D6B6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204,832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73BAFC26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0,00%</w:t>
            </w:r>
          </w:p>
        </w:tc>
      </w:tr>
      <w:tr w:rsidR="00164F5C" w:rsidRPr="00164F5C" w14:paraId="2139896B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51424FE" w14:textId="2D26641E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(&gt;100 MIL.KČ)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0DBEEC1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0,314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0632AB8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1,186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76AAF0E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1,501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2CAA09A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1,501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27FF8BB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58,197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2275EE09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2,58%</w:t>
            </w:r>
          </w:p>
        </w:tc>
      </w:tr>
      <w:tr w:rsidR="00164F5C" w:rsidRPr="00164F5C" w14:paraId="6DDAE212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7597F8D" w14:textId="66684F68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 MIL.KČ)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F7F081B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0,901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766E360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1,911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512DC58C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2,812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400665F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2,688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E643488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38,089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6540466E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7,06%</w:t>
            </w:r>
          </w:p>
        </w:tc>
      </w:tr>
      <w:tr w:rsidR="00164F5C" w:rsidRPr="00164F5C" w14:paraId="5DFEBE83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11FACE7" w14:textId="08B0397D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 MIL.KČ)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738BDCF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0,211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6D68844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0,680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F366462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0,891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4B5C89D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0,858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CDDEDAC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8,252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18F3D9FF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10,40%</w:t>
            </w:r>
          </w:p>
        </w:tc>
      </w:tr>
      <w:tr w:rsidR="00164F5C" w:rsidRPr="00164F5C" w14:paraId="31014F3A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0DF8E3F" w14:textId="13A48A09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(&lt;1 MIL.KČ)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B60B484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7FA1D8B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0,023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514C456C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0,023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61017AC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0,023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26920B6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0,224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7618D070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10,09%</w:t>
            </w:r>
          </w:p>
        </w:tc>
      </w:tr>
      <w:tr w:rsidR="00164F5C" w:rsidRPr="00164F5C" w14:paraId="2D481845" w14:textId="77777777" w:rsidTr="00657FB0">
        <w:trPr>
          <w:trHeight w:val="213"/>
          <w:jc w:val="center"/>
        </w:trPr>
        <w:tc>
          <w:tcPr>
            <w:tcW w:w="1068" w:type="pct"/>
            <w:tcBorders>
              <w:top w:val="single" w:sz="4" w:space="0" w:color="9BC2E6"/>
              <w:left w:val="nil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A492556" w14:textId="77777777" w:rsidR="00164F5C" w:rsidRPr="00164F5C" w:rsidRDefault="00164F5C" w:rsidP="00164F5C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CELKOVÝ SOUČET</w:t>
            </w:r>
          </w:p>
        </w:tc>
        <w:tc>
          <w:tcPr>
            <w:tcW w:w="86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32A0FBD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1,426</w:t>
            </w:r>
          </w:p>
        </w:tc>
        <w:tc>
          <w:tcPr>
            <w:tcW w:w="77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FAA81AD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3,800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B3DB6A5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5,226</w:t>
            </w:r>
          </w:p>
        </w:tc>
        <w:tc>
          <w:tcPr>
            <w:tcW w:w="61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994BEF8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5,069</w:t>
            </w:r>
          </w:p>
        </w:tc>
        <w:tc>
          <w:tcPr>
            <w:tcW w:w="60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A6F0090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476,890</w:t>
            </w:r>
          </w:p>
        </w:tc>
        <w:tc>
          <w:tcPr>
            <w:tcW w:w="570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DD7EE" w:fill="BDD7EE"/>
            <w:noWrap/>
            <w:vAlign w:val="center"/>
            <w:hideMark/>
          </w:tcPr>
          <w:p w14:paraId="0F7597AA" w14:textId="77777777" w:rsidR="00164F5C" w:rsidRPr="00164F5C" w:rsidRDefault="00164F5C" w:rsidP="00164F5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164F5C"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  <w:t>1,06%</w:t>
            </w:r>
          </w:p>
        </w:tc>
      </w:tr>
    </w:tbl>
    <w:p w14:paraId="072E9D1A" w14:textId="41B466D8" w:rsidR="003F6F10" w:rsidRDefault="003F6F10" w:rsidP="003F6F10">
      <w:pPr>
        <w:pStyle w:val="NORMLN0"/>
      </w:pPr>
    </w:p>
    <w:p w14:paraId="41D7DBCB" w14:textId="6428AAD5" w:rsidR="00911ACB" w:rsidRPr="000C453E" w:rsidRDefault="001A5826" w:rsidP="0003761D">
      <w:pPr>
        <w:pStyle w:val="Nadpis3"/>
      </w:pPr>
      <w:bookmarkStart w:id="58" w:name="_Toc34210392"/>
      <w:r w:rsidRPr="000C453E">
        <w:t>Anomálie související s regulačními záměry</w:t>
      </w:r>
      <w:bookmarkEnd w:id="58"/>
      <w:r w:rsidRPr="000C453E">
        <w:t xml:space="preserve"> </w:t>
      </w:r>
    </w:p>
    <w:p w14:paraId="1117D497" w14:textId="7A49B6DC" w:rsidR="00657FB0" w:rsidRDefault="00E04E0A" w:rsidP="00636AF2">
      <w:pPr>
        <w:pStyle w:val="NORMLN0"/>
      </w:pPr>
      <w:r>
        <w:rPr>
          <w:noProof/>
          <w:lang w:eastAsia="cs-CZ"/>
        </w:rPr>
        <w:drawing>
          <wp:anchor distT="0" distB="0" distL="114300" distR="114300" simplePos="0" relativeHeight="251720704" behindDoc="0" locked="0" layoutInCell="1" allowOverlap="1" wp14:anchorId="1479DA75" wp14:editId="10ED4BDB">
            <wp:simplePos x="0" y="0"/>
            <wp:positionH relativeFrom="margin">
              <wp:posOffset>381635</wp:posOffset>
            </wp:positionH>
            <wp:positionV relativeFrom="paragraph">
              <wp:posOffset>1347470</wp:posOffset>
            </wp:positionV>
            <wp:extent cx="4928235" cy="3770630"/>
            <wp:effectExtent l="0" t="0" r="5715" b="1270"/>
            <wp:wrapTopAndBottom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A95">
        <w:t>V </w:t>
      </w:r>
      <w:r w:rsidR="00E925D6" w:rsidRPr="000937F8">
        <w:t xml:space="preserve">rámci benchmarkingu vlastnických subjektů </w:t>
      </w:r>
      <w:r w:rsidR="00962A95">
        <w:t>v </w:t>
      </w:r>
      <w:r w:rsidR="00E925D6" w:rsidRPr="000937F8">
        <w:t xml:space="preserve">části týkající se </w:t>
      </w:r>
      <w:r w:rsidR="0037600C">
        <w:t>pitné vody</w:t>
      </w:r>
      <w:r w:rsidR="00E925D6" w:rsidRPr="000937F8">
        <w:t xml:space="preserve"> byl</w:t>
      </w:r>
      <w:r w:rsidR="00962A95">
        <w:t>o </w:t>
      </w:r>
      <w:r w:rsidR="00E925D6" w:rsidRPr="000937F8">
        <w:t>posuzován</w:t>
      </w:r>
      <w:r w:rsidR="00962A95">
        <w:t>o </w:t>
      </w:r>
      <w:r w:rsidR="00E925D6">
        <w:t>2 031</w:t>
      </w:r>
      <w:r w:rsidR="00E925D6" w:rsidRPr="000937F8">
        <w:t xml:space="preserve"> Porovnání, která představovala </w:t>
      </w:r>
      <w:r w:rsidR="00E925D6">
        <w:t>95,5</w:t>
      </w:r>
      <w:r w:rsidR="00E925D6" w:rsidRPr="000937F8">
        <w:t xml:space="preserve">% podíl trhu určený </w:t>
      </w:r>
      <w:r w:rsidR="00962A95">
        <w:t>na </w:t>
      </w:r>
      <w:r w:rsidR="00E925D6" w:rsidRPr="000937F8">
        <w:t xml:space="preserve">základě množství pitné vody fakturované (tj. </w:t>
      </w:r>
      <w:r w:rsidR="00E925D6">
        <w:t>498,911</w:t>
      </w:r>
      <w:r w:rsidR="00E925D6" w:rsidRPr="000937F8">
        <w:t xml:space="preserve"> </w:t>
      </w:r>
      <w:r w:rsidR="00E925D6">
        <w:t>mil. m</w:t>
      </w:r>
      <w:r w:rsidR="00E925D6" w:rsidRPr="00E27252">
        <w:rPr>
          <w:vertAlign w:val="superscript"/>
        </w:rPr>
        <w:t>3</w:t>
      </w:r>
      <w:r w:rsidR="00E925D6" w:rsidRPr="000937F8">
        <w:t xml:space="preserve">). </w:t>
      </w:r>
      <w:r w:rsidR="0085289B">
        <w:t xml:space="preserve">Alespoň </w:t>
      </w:r>
      <w:r w:rsidR="0085289B" w:rsidRPr="006B5D19">
        <w:t>jed</w:t>
      </w:r>
      <w:r w:rsidR="00962A95">
        <w:t>na </w:t>
      </w:r>
      <w:r w:rsidR="0085289B" w:rsidRPr="006B5D19">
        <w:t xml:space="preserve">anomálie </w:t>
      </w:r>
      <w:r w:rsidR="0085289B">
        <w:t>se c</w:t>
      </w:r>
      <w:r w:rsidR="00E925D6" w:rsidRPr="006B5D19">
        <w:t>elkem</w:t>
      </w:r>
      <w:r w:rsidR="00371EFB">
        <w:t xml:space="preserve"> </w:t>
      </w:r>
      <w:r w:rsidR="00E925D6" w:rsidRPr="006B5D19">
        <w:t>vyskytuje</w:t>
      </w:r>
      <w:r w:rsidR="00DE53F8">
        <w:t xml:space="preserve"> u </w:t>
      </w:r>
      <w:r w:rsidR="0085289B">
        <w:t xml:space="preserve">1928 Porovnání (tj. </w:t>
      </w:r>
      <w:r w:rsidR="00E925D6">
        <w:t xml:space="preserve">94,93 </w:t>
      </w:r>
      <w:r w:rsidR="00E925D6" w:rsidRPr="006B5D19">
        <w:t xml:space="preserve">% </w:t>
      </w:r>
      <w:r w:rsidR="0085289B">
        <w:t>počtu Porovnání)</w:t>
      </w:r>
      <w:r w:rsidR="00E925D6" w:rsidRPr="006B5D19">
        <w:t>.</w:t>
      </w:r>
      <w:r w:rsidR="00E925D6" w:rsidRPr="000937F8">
        <w:t xml:space="preserve"> </w:t>
      </w:r>
      <w:r w:rsidR="00636AF2" w:rsidRPr="000937F8">
        <w:t xml:space="preserve">Níže uvedený graf znázorňuje výskyt alespoň jedné anomálie podle podílu </w:t>
      </w:r>
      <w:r w:rsidR="00962A95">
        <w:t>na </w:t>
      </w:r>
      <w:r w:rsidR="00636AF2" w:rsidRPr="000937F8">
        <w:t xml:space="preserve">trhu. </w:t>
      </w:r>
      <w:r w:rsidR="00962A95">
        <w:t>Z </w:t>
      </w:r>
      <w:r w:rsidR="00636AF2" w:rsidRPr="000937F8">
        <w:t>hlediska objemu pitné vody fakturované nebyly nalezeny žádné anomálie</w:t>
      </w:r>
      <w:r w:rsidR="00DE53F8">
        <w:t xml:space="preserve"> u </w:t>
      </w:r>
      <w:r w:rsidR="0099760E">
        <w:t>17,3</w:t>
      </w:r>
      <w:r w:rsidR="00636AF2" w:rsidRPr="000937F8">
        <w:t xml:space="preserve"> % analyzovanéh</w:t>
      </w:r>
      <w:r w:rsidR="00962A95">
        <w:t>o </w:t>
      </w:r>
      <w:r w:rsidR="00636AF2" w:rsidRPr="000937F8">
        <w:t xml:space="preserve">trhu </w:t>
      </w:r>
      <w:r w:rsidR="00CD5DCF">
        <w:t xml:space="preserve">(tj. </w:t>
      </w:r>
      <w:r w:rsidR="0099760E">
        <w:t>81,69</w:t>
      </w:r>
      <w:r w:rsidR="00636AF2" w:rsidRPr="000937F8">
        <w:t xml:space="preserve"> </w:t>
      </w:r>
      <w:r w:rsidR="00636AF2">
        <w:t>mil. m</w:t>
      </w:r>
      <w:r w:rsidR="00636AF2" w:rsidRPr="00E27252">
        <w:rPr>
          <w:vertAlign w:val="superscript"/>
        </w:rPr>
        <w:t>3</w:t>
      </w:r>
      <w:r w:rsidR="00636AF2" w:rsidRPr="000937F8">
        <w:t xml:space="preserve"> </w:t>
      </w:r>
      <w:r w:rsidR="00CD5DCF" w:rsidRPr="000937F8">
        <w:t>fakturované</w:t>
      </w:r>
      <w:r w:rsidR="00657FB0">
        <w:t xml:space="preserve"> </w:t>
      </w:r>
      <w:r w:rsidR="00636AF2" w:rsidRPr="000937F8">
        <w:t>vody</w:t>
      </w:r>
      <w:r w:rsidR="00CD5DCF">
        <w:t>).</w:t>
      </w:r>
    </w:p>
    <w:p w14:paraId="447DEBDF" w14:textId="459726DC" w:rsidR="003A3BF8" w:rsidRPr="00F15643" w:rsidRDefault="00A37FCB" w:rsidP="00636AF2">
      <w:pPr>
        <w:pStyle w:val="NORMLN0"/>
        <w:rPr>
          <w:rStyle w:val="NORMLNChar"/>
        </w:rPr>
      </w:pPr>
      <w:r>
        <w:rPr>
          <w:rStyle w:val="NORMLNChar"/>
        </w:rPr>
        <w:lastRenderedPageBreak/>
        <w:object w:dxaOrig="1440" w:dyaOrig="1440" w14:anchorId="4637F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20.65pt;margin-top:93.65pt;width:493.8pt;height:424.8pt;z-index:251676672;mso-position-horizontal-relative:text;mso-position-vertical-relative:text">
            <v:imagedata r:id="rId13" o:title=""/>
            <w10:wrap type="topAndBottom"/>
          </v:shape>
          <o:OLEObject Type="Embed" ProgID="Excel.Sheet.12" ShapeID="_x0000_s1029" DrawAspect="Content" ObjectID="_1662960751" r:id="rId14"/>
        </w:object>
      </w:r>
      <w:r w:rsidR="00636AF2" w:rsidRPr="00F15643">
        <w:rPr>
          <w:rStyle w:val="NORMLNChar"/>
        </w:rPr>
        <w:t xml:space="preserve">Následující tabulka uvádí četnost výskytu </w:t>
      </w:r>
      <w:r w:rsidR="00911ACB">
        <w:rPr>
          <w:rStyle w:val="NORMLNChar"/>
        </w:rPr>
        <w:t>jednotlivých</w:t>
      </w:r>
      <w:r w:rsidR="00911ACB" w:rsidRPr="00F15643">
        <w:rPr>
          <w:rStyle w:val="NORMLNChar"/>
        </w:rPr>
        <w:t xml:space="preserve"> </w:t>
      </w:r>
      <w:r w:rsidR="00636AF2" w:rsidRPr="00F15643">
        <w:rPr>
          <w:rStyle w:val="NORMLNChar"/>
        </w:rPr>
        <w:t>anomálií</w:t>
      </w:r>
      <w:r w:rsidR="0070633D">
        <w:rPr>
          <w:rStyle w:val="NORMLNChar"/>
        </w:rPr>
        <w:t xml:space="preserve"> spolu s objemy fakturované vody uvedených </w:t>
      </w:r>
      <w:r w:rsidR="00962A95">
        <w:rPr>
          <w:rStyle w:val="NORMLNChar"/>
        </w:rPr>
        <w:t>na </w:t>
      </w:r>
      <w:r w:rsidR="0070633D">
        <w:rPr>
          <w:rStyle w:val="NORMLNChar"/>
        </w:rPr>
        <w:t xml:space="preserve">Porovnáních a s podílem dané anomálie </w:t>
      </w:r>
      <w:r w:rsidR="00962A95">
        <w:rPr>
          <w:rStyle w:val="NORMLNChar"/>
        </w:rPr>
        <w:t>na </w:t>
      </w:r>
      <w:r w:rsidR="0070633D">
        <w:rPr>
          <w:rStyle w:val="NORMLNChar"/>
        </w:rPr>
        <w:t>celkovém objemu fakturované vody.</w:t>
      </w:r>
      <w:r w:rsidR="00636AF2" w:rsidRPr="00F15643">
        <w:rPr>
          <w:rStyle w:val="NORMLNChar"/>
        </w:rPr>
        <w:t xml:space="preserve"> </w:t>
      </w:r>
      <w:r w:rsidR="0070633D">
        <w:rPr>
          <w:rStyle w:val="NORMLNChar"/>
        </w:rPr>
        <w:t>Anomálie v</w:t>
      </w:r>
      <w:r w:rsidR="003A3BF8" w:rsidRPr="00F15643">
        <w:rPr>
          <w:rStyle w:val="NORMLNChar"/>
        </w:rPr>
        <w:t xml:space="preserve">ypovídají </w:t>
      </w:r>
      <w:r w:rsidR="00962A95">
        <w:rPr>
          <w:rStyle w:val="NORMLNChar"/>
        </w:rPr>
        <w:t>o </w:t>
      </w:r>
      <w:r w:rsidR="00347A45">
        <w:rPr>
          <w:rStyle w:val="NORMLNChar"/>
        </w:rPr>
        <w:t>stavu infrastruktury,</w:t>
      </w:r>
      <w:r w:rsidR="003A3BF8" w:rsidRPr="00F15643">
        <w:rPr>
          <w:rStyle w:val="NORMLNChar"/>
        </w:rPr>
        <w:t xml:space="preserve"> </w:t>
      </w:r>
      <w:r w:rsidR="00962A95">
        <w:rPr>
          <w:rStyle w:val="NORMLNChar"/>
        </w:rPr>
        <w:t>o </w:t>
      </w:r>
      <w:r w:rsidR="003A3BF8" w:rsidRPr="00F15643">
        <w:rPr>
          <w:rStyle w:val="NORMLNChar"/>
        </w:rPr>
        <w:t>možném nevyváženém nastavení obchodních vztahů mezi vlastníky a provo</w:t>
      </w:r>
      <w:r w:rsidR="00347A45">
        <w:rPr>
          <w:rStyle w:val="NORMLNChar"/>
        </w:rPr>
        <w:t>zovateli</w:t>
      </w:r>
      <w:r w:rsidR="003A3BF8" w:rsidRPr="00F15643">
        <w:rPr>
          <w:rStyle w:val="NORMLNChar"/>
        </w:rPr>
        <w:t xml:space="preserve"> </w:t>
      </w:r>
      <w:r w:rsidR="00347A45">
        <w:rPr>
          <w:rStyle w:val="NORMLNChar"/>
        </w:rPr>
        <w:t xml:space="preserve">a </w:t>
      </w:r>
      <w:r w:rsidR="00F15643" w:rsidRPr="00F15643">
        <w:rPr>
          <w:rStyle w:val="NORMLNChar"/>
        </w:rPr>
        <w:t>sledují výskyt zápornéh</w:t>
      </w:r>
      <w:r w:rsidR="00962A95">
        <w:rPr>
          <w:rStyle w:val="NORMLNChar"/>
        </w:rPr>
        <w:t>o </w:t>
      </w:r>
      <w:r w:rsidR="00F15643" w:rsidRPr="00F15643">
        <w:rPr>
          <w:rStyle w:val="NORMLNChar"/>
        </w:rPr>
        <w:t>kalkulačníh</w:t>
      </w:r>
      <w:r w:rsidR="00962A95">
        <w:rPr>
          <w:rStyle w:val="NORMLNChar"/>
        </w:rPr>
        <w:t>o </w:t>
      </w:r>
      <w:r w:rsidR="00F15643" w:rsidRPr="00F15643">
        <w:rPr>
          <w:rStyle w:val="NORMLNChar"/>
        </w:rPr>
        <w:t>zisku</w:t>
      </w:r>
      <w:r w:rsidR="0085289B">
        <w:rPr>
          <w:rStyle w:val="NORMLNChar"/>
        </w:rPr>
        <w:t xml:space="preserve">. </w:t>
      </w:r>
      <w:r w:rsidR="00F15643" w:rsidRPr="00F15643">
        <w:rPr>
          <w:rStyle w:val="NORMLNChar"/>
        </w:rPr>
        <w:t>Jsou t</w:t>
      </w:r>
      <w:r w:rsidR="00962A95">
        <w:rPr>
          <w:rStyle w:val="NORMLNChar"/>
        </w:rPr>
        <w:t>o </w:t>
      </w:r>
      <w:r w:rsidR="00F15643" w:rsidRPr="00F15643">
        <w:rPr>
          <w:rStyle w:val="NORMLNChar"/>
        </w:rPr>
        <w:t>oblasti, které přím</w:t>
      </w:r>
      <w:r w:rsidR="00962A95">
        <w:rPr>
          <w:rStyle w:val="NORMLNChar"/>
        </w:rPr>
        <w:t>o </w:t>
      </w:r>
      <w:r w:rsidR="00F15643" w:rsidRPr="00F15643">
        <w:rPr>
          <w:rStyle w:val="NORMLNChar"/>
        </w:rPr>
        <w:t xml:space="preserve">ovlivňují možnost vlastníka vytvářet </w:t>
      </w:r>
      <w:r w:rsidR="00EB3A59">
        <w:rPr>
          <w:rStyle w:val="NORMLNChar"/>
        </w:rPr>
        <w:t>P</w:t>
      </w:r>
      <w:r w:rsidR="00962A95">
        <w:rPr>
          <w:rStyle w:val="NORMLNChar"/>
        </w:rPr>
        <w:t>O z </w:t>
      </w:r>
      <w:r w:rsidR="00EB3A59">
        <w:rPr>
          <w:rStyle w:val="NORMLNChar"/>
        </w:rPr>
        <w:t>vodnéh</w:t>
      </w:r>
      <w:r w:rsidR="00962A95">
        <w:rPr>
          <w:rStyle w:val="NORMLNChar"/>
        </w:rPr>
        <w:t>o v </w:t>
      </w:r>
      <w:r w:rsidR="00F15643" w:rsidRPr="00F15643">
        <w:rPr>
          <w:rStyle w:val="NORMLNChar"/>
        </w:rPr>
        <w:t xml:space="preserve">potřebné výši. </w:t>
      </w:r>
    </w:p>
    <w:p w14:paraId="260BEF39" w14:textId="77777777" w:rsidR="007124D0" w:rsidRDefault="007124D0" w:rsidP="00E04E0A">
      <w:pPr>
        <w:spacing w:before="0" w:after="160" w:line="259" w:lineRule="auto"/>
        <w:ind w:firstLine="567"/>
        <w:contextualSpacing w:val="0"/>
        <w:rPr>
          <w:rStyle w:val="NORMLNChar"/>
        </w:rPr>
      </w:pPr>
    </w:p>
    <w:p w14:paraId="5B8C06C2" w14:textId="556530BF" w:rsidR="003E5E93" w:rsidRPr="00E04E0A" w:rsidRDefault="008E6235" w:rsidP="00E04E0A">
      <w:pPr>
        <w:spacing w:before="0" w:after="160" w:line="259" w:lineRule="auto"/>
        <w:ind w:firstLine="567"/>
        <w:contextualSpacing w:val="0"/>
        <w:rPr>
          <w:rStyle w:val="NORMLNChar"/>
        </w:rPr>
      </w:pPr>
      <w:r w:rsidRPr="00E04E0A">
        <w:rPr>
          <w:rStyle w:val="NORMLNChar"/>
        </w:rPr>
        <w:t xml:space="preserve">První dvě </w:t>
      </w:r>
      <w:r w:rsidR="00C27569" w:rsidRPr="00E04E0A">
        <w:rPr>
          <w:rStyle w:val="NORMLNChar"/>
        </w:rPr>
        <w:t>podle objemu fakturov</w:t>
      </w:r>
      <w:r w:rsidR="009D1B39" w:rsidRPr="00E04E0A">
        <w:rPr>
          <w:rStyle w:val="NORMLNChar"/>
        </w:rPr>
        <w:t>a</w:t>
      </w:r>
      <w:r w:rsidR="00C27569" w:rsidRPr="00E04E0A">
        <w:rPr>
          <w:rStyle w:val="NORMLNChar"/>
        </w:rPr>
        <w:t xml:space="preserve">né vody </w:t>
      </w:r>
      <w:r w:rsidRPr="00E04E0A">
        <w:rPr>
          <w:rStyle w:val="NORMLNChar"/>
        </w:rPr>
        <w:t>nejvýznam</w:t>
      </w:r>
      <w:r w:rsidR="009D1B39" w:rsidRPr="00E04E0A">
        <w:rPr>
          <w:rStyle w:val="NORMLNChar"/>
        </w:rPr>
        <w:t>n</w:t>
      </w:r>
      <w:r w:rsidRPr="00E04E0A">
        <w:rPr>
          <w:rStyle w:val="NORMLNChar"/>
        </w:rPr>
        <w:t>ější ano</w:t>
      </w:r>
      <w:r w:rsidR="003E34AC" w:rsidRPr="00E04E0A">
        <w:rPr>
          <w:rStyle w:val="NORMLNChar"/>
        </w:rPr>
        <w:t>m</w:t>
      </w:r>
      <w:r w:rsidRPr="00E04E0A">
        <w:rPr>
          <w:rStyle w:val="NORMLNChar"/>
        </w:rPr>
        <w:t>álie jsou stejné jak</w:t>
      </w:r>
      <w:r w:rsidR="00962A95" w:rsidRPr="00E04E0A">
        <w:rPr>
          <w:rStyle w:val="NORMLNChar"/>
        </w:rPr>
        <w:t>o v </w:t>
      </w:r>
      <w:r w:rsidRPr="00E04E0A">
        <w:rPr>
          <w:rStyle w:val="NORMLNChar"/>
        </w:rPr>
        <w:t>loňském roce</w:t>
      </w:r>
      <w:r w:rsidR="00C27569" w:rsidRPr="00E04E0A">
        <w:rPr>
          <w:rStyle w:val="NORMLNChar"/>
        </w:rPr>
        <w:t>,</w:t>
      </w:r>
      <w:r w:rsidRPr="00E04E0A">
        <w:rPr>
          <w:rStyle w:val="NORMLNChar"/>
        </w:rPr>
        <w:t xml:space="preserve"> jen objemy fakturované vody a podíly zasaženéh</w:t>
      </w:r>
      <w:r w:rsidR="00962A95" w:rsidRPr="00E04E0A">
        <w:rPr>
          <w:rStyle w:val="NORMLNChar"/>
        </w:rPr>
        <w:t>o </w:t>
      </w:r>
      <w:r w:rsidRPr="00E04E0A">
        <w:rPr>
          <w:rStyle w:val="NORMLNChar"/>
        </w:rPr>
        <w:t xml:space="preserve">trhu mírně poklesly. </w:t>
      </w:r>
      <w:r w:rsidR="00962A95" w:rsidRPr="00E04E0A">
        <w:rPr>
          <w:rStyle w:val="NORMLNChar"/>
        </w:rPr>
        <w:t>Na </w:t>
      </w:r>
      <w:r w:rsidR="00C27569" w:rsidRPr="00E04E0A">
        <w:rPr>
          <w:rStyle w:val="NORMLNChar"/>
        </w:rPr>
        <w:t>významnosti posílila</w:t>
      </w:r>
      <w:r w:rsidRPr="00E04E0A">
        <w:rPr>
          <w:rStyle w:val="NORMLNChar"/>
        </w:rPr>
        <w:t xml:space="preserve"> nedostatečná tvorba PO, která </w:t>
      </w:r>
      <w:r w:rsidR="00962A95" w:rsidRPr="00E04E0A">
        <w:rPr>
          <w:rStyle w:val="NORMLNChar"/>
        </w:rPr>
        <w:t>z </w:t>
      </w:r>
      <w:r w:rsidRPr="00E04E0A">
        <w:rPr>
          <w:rStyle w:val="NORMLNChar"/>
        </w:rPr>
        <w:t>11,48 % podílu zasaženéh</w:t>
      </w:r>
      <w:r w:rsidR="00962A95" w:rsidRPr="00E04E0A">
        <w:rPr>
          <w:rStyle w:val="NORMLNChar"/>
        </w:rPr>
        <w:t>o </w:t>
      </w:r>
      <w:r w:rsidRPr="00E04E0A">
        <w:rPr>
          <w:rStyle w:val="NORMLNChar"/>
        </w:rPr>
        <w:t xml:space="preserve">trhu vzrostla </w:t>
      </w:r>
      <w:r w:rsidR="00962A95" w:rsidRPr="00E04E0A">
        <w:rPr>
          <w:rStyle w:val="NORMLNChar"/>
        </w:rPr>
        <w:t>na </w:t>
      </w:r>
      <w:r w:rsidRPr="00E04E0A">
        <w:rPr>
          <w:rStyle w:val="NORMLNChar"/>
        </w:rPr>
        <w:t>24,24 %</w:t>
      </w:r>
      <w:r w:rsidR="00C27569" w:rsidRPr="00E04E0A">
        <w:rPr>
          <w:rStyle w:val="NORMLNChar"/>
        </w:rPr>
        <w:t xml:space="preserve"> (</w:t>
      </w:r>
      <w:r w:rsidRPr="00E04E0A">
        <w:rPr>
          <w:rStyle w:val="NORMLNChar"/>
        </w:rPr>
        <w:t>dán</w:t>
      </w:r>
      <w:r w:rsidR="00962A95" w:rsidRPr="00E04E0A">
        <w:rPr>
          <w:rStyle w:val="NORMLNChar"/>
        </w:rPr>
        <w:t>o </w:t>
      </w:r>
      <w:r w:rsidRPr="00E04E0A">
        <w:rPr>
          <w:rStyle w:val="NORMLNChar"/>
        </w:rPr>
        <w:t>nárůstem počtu</w:t>
      </w:r>
      <w:r w:rsidR="00C27569" w:rsidRPr="00E04E0A">
        <w:rPr>
          <w:rStyle w:val="NORMLNChar"/>
        </w:rPr>
        <w:t xml:space="preserve"> an</w:t>
      </w:r>
      <w:r w:rsidR="003E34AC" w:rsidRPr="00E04E0A">
        <w:rPr>
          <w:rStyle w:val="NORMLNChar"/>
        </w:rPr>
        <w:t>a</w:t>
      </w:r>
      <w:r w:rsidR="00C27569" w:rsidRPr="00E04E0A">
        <w:rPr>
          <w:rStyle w:val="NORMLNChar"/>
        </w:rPr>
        <w:t>lyzovaných</w:t>
      </w:r>
      <w:r w:rsidRPr="00E04E0A">
        <w:rPr>
          <w:rStyle w:val="NORMLNChar"/>
        </w:rPr>
        <w:t xml:space="preserve"> Porovnání </w:t>
      </w:r>
      <w:r w:rsidR="00962A95" w:rsidRPr="00E04E0A">
        <w:rPr>
          <w:rStyle w:val="NORMLNChar"/>
        </w:rPr>
        <w:t>ve </w:t>
      </w:r>
      <w:r w:rsidRPr="00E04E0A">
        <w:rPr>
          <w:rStyle w:val="NORMLNChar"/>
        </w:rPr>
        <w:t>vlastnických</w:t>
      </w:r>
      <w:r w:rsidR="00435A92" w:rsidRPr="00E04E0A">
        <w:rPr>
          <w:rStyle w:val="NORMLNChar"/>
        </w:rPr>
        <w:t xml:space="preserve"> </w:t>
      </w:r>
      <w:r w:rsidRPr="00E04E0A">
        <w:rPr>
          <w:rStyle w:val="NORMLNChar"/>
        </w:rPr>
        <w:t>skupinách s nižší hodnotou infrastruktury</w:t>
      </w:r>
      <w:r w:rsidR="00C27569" w:rsidRPr="00E04E0A">
        <w:rPr>
          <w:rStyle w:val="NORMLNChar"/>
        </w:rPr>
        <w:t>)</w:t>
      </w:r>
      <w:r w:rsidRPr="00E04E0A">
        <w:rPr>
          <w:rStyle w:val="NORMLNChar"/>
        </w:rPr>
        <w:t>.</w:t>
      </w:r>
      <w:r w:rsidR="00F30661" w:rsidRPr="00E04E0A">
        <w:rPr>
          <w:rStyle w:val="NORMLNChar"/>
        </w:rPr>
        <w:t xml:space="preserve"> </w:t>
      </w:r>
      <w:r w:rsidR="00C27569" w:rsidRPr="00E04E0A">
        <w:rPr>
          <w:rStyle w:val="NORMLNChar"/>
        </w:rPr>
        <w:t>Stejně jak</w:t>
      </w:r>
      <w:r w:rsidR="00962A95" w:rsidRPr="00E04E0A">
        <w:rPr>
          <w:rStyle w:val="NORMLNChar"/>
        </w:rPr>
        <w:t>o v </w:t>
      </w:r>
      <w:r w:rsidR="00C27569" w:rsidRPr="00E04E0A">
        <w:rPr>
          <w:rStyle w:val="NORMLNChar"/>
        </w:rPr>
        <w:t>loňském roce je</w:t>
      </w:r>
      <w:r w:rsidRPr="00E04E0A">
        <w:rPr>
          <w:rStyle w:val="NORMLNChar"/>
        </w:rPr>
        <w:t xml:space="preserve"> </w:t>
      </w:r>
      <w:r w:rsidR="00636AF2" w:rsidRPr="00E04E0A">
        <w:rPr>
          <w:rStyle w:val="NORMLNChar"/>
        </w:rPr>
        <w:t xml:space="preserve">možné konstatovat, že vlastníci VIM </w:t>
      </w:r>
      <w:r w:rsidR="00962A95" w:rsidRPr="00E04E0A">
        <w:rPr>
          <w:rStyle w:val="NORMLNChar"/>
        </w:rPr>
        <w:t>při </w:t>
      </w:r>
      <w:r w:rsidR="00636AF2" w:rsidRPr="00E04E0A">
        <w:rPr>
          <w:rStyle w:val="NORMLNChar"/>
        </w:rPr>
        <w:t xml:space="preserve">stanovování ceny </w:t>
      </w:r>
      <w:r w:rsidR="00962A95" w:rsidRPr="00E04E0A">
        <w:rPr>
          <w:rStyle w:val="NORMLNChar"/>
        </w:rPr>
        <w:t>pro </w:t>
      </w:r>
      <w:r w:rsidR="00636AF2" w:rsidRPr="00E04E0A">
        <w:rPr>
          <w:rStyle w:val="NORMLNChar"/>
        </w:rPr>
        <w:t>vodné a sjednávání výše nájemnéh</w:t>
      </w:r>
      <w:r w:rsidR="00962A95" w:rsidRPr="00E04E0A">
        <w:rPr>
          <w:rStyle w:val="NORMLNChar"/>
        </w:rPr>
        <w:t>o </w:t>
      </w:r>
      <w:r w:rsidR="00636AF2" w:rsidRPr="00E04E0A">
        <w:rPr>
          <w:rStyle w:val="NORMLNChar"/>
        </w:rPr>
        <w:t>nesledují cíl dosažení samofinancování infrastruktury, čast</w:t>
      </w:r>
      <w:r w:rsidR="00962A95" w:rsidRPr="00E04E0A">
        <w:rPr>
          <w:rStyle w:val="NORMLNChar"/>
        </w:rPr>
        <w:t>o </w:t>
      </w:r>
      <w:r w:rsidR="00636AF2" w:rsidRPr="00E04E0A">
        <w:rPr>
          <w:rStyle w:val="NORMLNChar"/>
        </w:rPr>
        <w:t xml:space="preserve">nevykazují informace </w:t>
      </w:r>
      <w:r w:rsidR="00962A95" w:rsidRPr="00E04E0A">
        <w:rPr>
          <w:rStyle w:val="NORMLNChar"/>
        </w:rPr>
        <w:t>o </w:t>
      </w:r>
      <w:r w:rsidR="00636AF2" w:rsidRPr="00E04E0A">
        <w:rPr>
          <w:rStyle w:val="NORMLNChar"/>
        </w:rPr>
        <w:t xml:space="preserve">tvorbě </w:t>
      </w:r>
      <w:r w:rsidR="00EB3A59" w:rsidRPr="00E04E0A">
        <w:rPr>
          <w:rStyle w:val="NORMLNChar"/>
        </w:rPr>
        <w:t>P</w:t>
      </w:r>
      <w:r w:rsidR="00962A95" w:rsidRPr="00E04E0A">
        <w:rPr>
          <w:rStyle w:val="NORMLNChar"/>
        </w:rPr>
        <w:t>O </w:t>
      </w:r>
      <w:r w:rsidR="00636AF2" w:rsidRPr="00E04E0A">
        <w:rPr>
          <w:rStyle w:val="NORMLNChar"/>
        </w:rPr>
        <w:t xml:space="preserve">a jejich čerpání </w:t>
      </w:r>
      <w:r w:rsidR="00962A95" w:rsidRPr="00E04E0A">
        <w:rPr>
          <w:rStyle w:val="NORMLNChar"/>
        </w:rPr>
        <w:t>na </w:t>
      </w:r>
      <w:r w:rsidR="00CD5DCF" w:rsidRPr="00E04E0A">
        <w:rPr>
          <w:rStyle w:val="NORMLNChar"/>
        </w:rPr>
        <w:t xml:space="preserve">řádku 20 Porovnání a </w:t>
      </w:r>
      <w:r w:rsidR="00962A95" w:rsidRPr="00E04E0A">
        <w:rPr>
          <w:rStyle w:val="NORMLNChar"/>
        </w:rPr>
        <w:t>při </w:t>
      </w:r>
      <w:r w:rsidR="00636AF2" w:rsidRPr="00E04E0A">
        <w:rPr>
          <w:rStyle w:val="NORMLNChar"/>
        </w:rPr>
        <w:t xml:space="preserve">stanovování konečné spotřebitelské ceny běžně </w:t>
      </w:r>
      <w:r w:rsidR="00F30661" w:rsidRPr="00E04E0A">
        <w:rPr>
          <w:rStyle w:val="NORMLNChar"/>
        </w:rPr>
        <w:t xml:space="preserve">přistupují </w:t>
      </w:r>
      <w:r w:rsidR="00962A95" w:rsidRPr="00E04E0A">
        <w:rPr>
          <w:rStyle w:val="NORMLNChar"/>
        </w:rPr>
        <w:t>k </w:t>
      </w:r>
      <w:r w:rsidR="00F30661" w:rsidRPr="00E04E0A">
        <w:rPr>
          <w:rStyle w:val="NORMLNChar"/>
        </w:rPr>
        <w:t>její dotaci.</w:t>
      </w:r>
      <w:r w:rsidR="00880D37" w:rsidRPr="00E04E0A">
        <w:rPr>
          <w:rStyle w:val="NORMLNChar"/>
        </w:rPr>
        <w:t xml:space="preserve"> Opětovně nejvýznamnější anomálii podle objemu fakturované vody</w:t>
      </w:r>
      <w:r w:rsidR="00717E8C" w:rsidRPr="00E04E0A">
        <w:rPr>
          <w:rStyle w:val="NORMLNChar"/>
        </w:rPr>
        <w:t xml:space="preserve"> </w:t>
      </w:r>
      <w:r w:rsidR="00C27569" w:rsidRPr="00E04E0A">
        <w:rPr>
          <w:rStyle w:val="NORMLNChar"/>
        </w:rPr>
        <w:t xml:space="preserve">- </w:t>
      </w:r>
      <w:r w:rsidR="00880D37" w:rsidRPr="00E04E0A">
        <w:rPr>
          <w:rStyle w:val="NORMLNChar"/>
        </w:rPr>
        <w:t xml:space="preserve">vysoký počet poruch </w:t>
      </w:r>
      <w:r w:rsidR="00962A95" w:rsidRPr="00E04E0A">
        <w:rPr>
          <w:rStyle w:val="NORMLNChar"/>
        </w:rPr>
        <w:t>na </w:t>
      </w:r>
      <w:r w:rsidR="00880D37" w:rsidRPr="00E04E0A">
        <w:rPr>
          <w:rStyle w:val="NORMLNChar"/>
        </w:rPr>
        <w:t>1 km rozvodné sítě</w:t>
      </w:r>
      <w:r w:rsidR="003E34AC" w:rsidRPr="00E04E0A">
        <w:rPr>
          <w:rStyle w:val="NORMLNChar"/>
        </w:rPr>
        <w:t xml:space="preserve"> l</w:t>
      </w:r>
      <w:r w:rsidR="00962A95" w:rsidRPr="00E04E0A">
        <w:rPr>
          <w:rStyle w:val="NORMLNChar"/>
        </w:rPr>
        <w:t>ze </w:t>
      </w:r>
      <w:r w:rsidR="003E34AC" w:rsidRPr="00E04E0A">
        <w:rPr>
          <w:rStyle w:val="NORMLNChar"/>
        </w:rPr>
        <w:t>jen tě</w:t>
      </w:r>
      <w:r w:rsidR="00880D37" w:rsidRPr="00E04E0A">
        <w:rPr>
          <w:rStyle w:val="NORMLNChar"/>
        </w:rPr>
        <w:t>žk</w:t>
      </w:r>
      <w:r w:rsidR="00962A95" w:rsidRPr="00E04E0A">
        <w:rPr>
          <w:rStyle w:val="NORMLNChar"/>
        </w:rPr>
        <w:t>o </w:t>
      </w:r>
      <w:r w:rsidR="00880D37" w:rsidRPr="00E04E0A">
        <w:rPr>
          <w:rStyle w:val="NORMLNChar"/>
        </w:rPr>
        <w:t xml:space="preserve">jednoznačně interpretovat </w:t>
      </w:r>
      <w:r w:rsidR="00962A95" w:rsidRPr="00E04E0A">
        <w:rPr>
          <w:rStyle w:val="NORMLNChar"/>
        </w:rPr>
        <w:t>z </w:t>
      </w:r>
      <w:r w:rsidR="00880D37" w:rsidRPr="00E04E0A">
        <w:rPr>
          <w:rStyle w:val="NORMLNChar"/>
        </w:rPr>
        <w:t xml:space="preserve">důvodu </w:t>
      </w:r>
      <w:r w:rsidR="00880D37" w:rsidRPr="00E04E0A">
        <w:rPr>
          <w:rStyle w:val="NORMLNChar"/>
        </w:rPr>
        <w:lastRenderedPageBreak/>
        <w:t>možnéh</w:t>
      </w:r>
      <w:r w:rsidR="00962A95" w:rsidRPr="00E04E0A">
        <w:rPr>
          <w:rStyle w:val="NORMLNChar"/>
        </w:rPr>
        <w:t>o </w:t>
      </w:r>
      <w:r w:rsidR="00880D37" w:rsidRPr="00E04E0A">
        <w:rPr>
          <w:rStyle w:val="NORMLNChar"/>
        </w:rPr>
        <w:t>rozdílnéh</w:t>
      </w:r>
      <w:r w:rsidR="00962A95" w:rsidRPr="00E04E0A">
        <w:rPr>
          <w:rStyle w:val="NORMLNChar"/>
        </w:rPr>
        <w:t>o </w:t>
      </w:r>
      <w:r w:rsidR="00880D37" w:rsidRPr="00E04E0A">
        <w:rPr>
          <w:rStyle w:val="NORMLNChar"/>
        </w:rPr>
        <w:t>chápání pojmu porucha. Nicméně jak</w:t>
      </w:r>
      <w:r w:rsidR="00962A95" w:rsidRPr="00E04E0A">
        <w:rPr>
          <w:rStyle w:val="NORMLNChar"/>
        </w:rPr>
        <w:t>o </w:t>
      </w:r>
      <w:r w:rsidR="00880D37" w:rsidRPr="00E04E0A">
        <w:rPr>
          <w:rStyle w:val="NORMLNChar"/>
        </w:rPr>
        <w:t xml:space="preserve">pozitivní se jeví poznatek, že se její </w:t>
      </w:r>
      <w:r w:rsidR="0085289B" w:rsidRPr="00E04E0A">
        <w:rPr>
          <w:rStyle w:val="NORMLNChar"/>
        </w:rPr>
        <w:t>průměrná hodnota (vi</w:t>
      </w:r>
      <w:r w:rsidR="00962A95" w:rsidRPr="00E04E0A">
        <w:rPr>
          <w:rStyle w:val="NORMLNChar"/>
        </w:rPr>
        <w:t>z </w:t>
      </w:r>
      <w:r w:rsidR="0085289B" w:rsidRPr="00E04E0A">
        <w:rPr>
          <w:rStyle w:val="NORMLNChar"/>
        </w:rPr>
        <w:t>kapitola 3.1)</w:t>
      </w:r>
      <w:r w:rsidR="00880D37" w:rsidRPr="00E04E0A">
        <w:rPr>
          <w:rStyle w:val="NORMLNChar"/>
        </w:rPr>
        <w:t>, výskyt a podíl zasaženéh</w:t>
      </w:r>
      <w:r w:rsidR="00962A95" w:rsidRPr="00E04E0A">
        <w:rPr>
          <w:rStyle w:val="NORMLNChar"/>
        </w:rPr>
        <w:t>o </w:t>
      </w:r>
      <w:r w:rsidR="00880D37" w:rsidRPr="00E04E0A">
        <w:rPr>
          <w:rStyle w:val="NORMLNChar"/>
        </w:rPr>
        <w:t>trhu významně nemění.</w:t>
      </w:r>
      <w:r w:rsidR="003E5E93" w:rsidRPr="00E04E0A">
        <w:rPr>
          <w:rStyle w:val="NORMLNChar"/>
        </w:rPr>
        <w:t xml:space="preserve"> </w:t>
      </w:r>
    </w:p>
    <w:p w14:paraId="25EC31FF" w14:textId="6B9E0470" w:rsidR="00880D37" w:rsidRDefault="00846B96" w:rsidP="00E306C9">
      <w:pPr>
        <w:pStyle w:val="NORMLN0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0292EFB" wp14:editId="7D3E03D3">
            <wp:simplePos x="0" y="0"/>
            <wp:positionH relativeFrom="margin">
              <wp:align>center</wp:align>
            </wp:positionH>
            <wp:positionV relativeFrom="paragraph">
              <wp:posOffset>453876</wp:posOffset>
            </wp:positionV>
            <wp:extent cx="6602095" cy="7931785"/>
            <wp:effectExtent l="0" t="0" r="8255" b="0"/>
            <wp:wrapTopAndBottom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5B5141FE-6A3D-48B6-8849-4628BE9B7A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A95">
        <w:rPr>
          <w:noProof/>
        </w:rPr>
        <w:t>V </w:t>
      </w:r>
      <w:r w:rsidR="003E5E93">
        <w:rPr>
          <w:noProof/>
        </w:rPr>
        <w:t>následujícím grafu jsou uvedeny jednotlivé anomálie podle</w:t>
      </w:r>
      <w:r w:rsidR="00347A45">
        <w:rPr>
          <w:noProof/>
        </w:rPr>
        <w:t xml:space="preserve"> podílu objemu</w:t>
      </w:r>
      <w:r w:rsidR="003E5E93">
        <w:rPr>
          <w:noProof/>
        </w:rPr>
        <w:t xml:space="preserve"> zasažené fakturované vody </w:t>
      </w:r>
      <w:r w:rsidR="00962A95">
        <w:rPr>
          <w:noProof/>
        </w:rPr>
        <w:t>na </w:t>
      </w:r>
      <w:r w:rsidR="003E5E93">
        <w:rPr>
          <w:noProof/>
        </w:rPr>
        <w:t>celkovém objemu fakturované vody analyzovanéh</w:t>
      </w:r>
      <w:r w:rsidR="00962A95">
        <w:rPr>
          <w:noProof/>
        </w:rPr>
        <w:t>o </w:t>
      </w:r>
      <w:r w:rsidR="003E5E93">
        <w:rPr>
          <w:noProof/>
        </w:rPr>
        <w:t>trhu.</w:t>
      </w:r>
    </w:p>
    <w:p w14:paraId="41FCB8EC" w14:textId="594CBCA1" w:rsidR="00636AF2" w:rsidRPr="00C62639" w:rsidRDefault="00636AF2" w:rsidP="000C453E">
      <w:pPr>
        <w:pStyle w:val="Nadpis3"/>
        <w:rPr>
          <w:noProof/>
        </w:rPr>
      </w:pPr>
      <w:bookmarkStart w:id="59" w:name="_Toc963483"/>
      <w:bookmarkStart w:id="60" w:name="_Toc34210393"/>
      <w:r w:rsidRPr="00C62639">
        <w:rPr>
          <w:noProof/>
        </w:rPr>
        <w:lastRenderedPageBreak/>
        <w:t xml:space="preserve">Nedostatečná tvorba prostředků </w:t>
      </w:r>
      <w:r w:rsidR="00962A95">
        <w:rPr>
          <w:noProof/>
        </w:rPr>
        <w:t>na </w:t>
      </w:r>
      <w:r w:rsidRPr="00C62639">
        <w:rPr>
          <w:noProof/>
        </w:rPr>
        <w:t>obnovu</w:t>
      </w:r>
      <w:bookmarkEnd w:id="59"/>
      <w:bookmarkEnd w:id="60"/>
      <w:r>
        <w:rPr>
          <w:noProof/>
        </w:rPr>
        <w:t xml:space="preserve"> </w:t>
      </w:r>
    </w:p>
    <w:p w14:paraId="174F0756" w14:textId="253F6C68" w:rsidR="00657FB0" w:rsidRDefault="00657FB0" w:rsidP="00636AF2">
      <w:pPr>
        <w:pStyle w:val="NORMLN0"/>
      </w:pPr>
    </w:p>
    <w:p w14:paraId="4DD91A4D" w14:textId="0C908B25" w:rsidR="00636AF2" w:rsidRDefault="00BB4265" w:rsidP="00636AF2">
      <w:pPr>
        <w:pStyle w:val="NORMLN0"/>
      </w:pPr>
      <w:r w:rsidRPr="00CF09CB">
        <w:t>Nedostatečná tvorba prostředků</w:t>
      </w:r>
      <w:r>
        <w:t xml:space="preserve"> je důležitým ukazatelem upozorňujícím </w:t>
      </w:r>
      <w:r w:rsidR="00962A95">
        <w:t>na </w:t>
      </w:r>
      <w:r>
        <w:t xml:space="preserve">přístup vlastníků </w:t>
      </w:r>
      <w:r w:rsidR="00962A95">
        <w:t>k </w:t>
      </w:r>
      <w:r>
        <w:t xml:space="preserve">vlastněnému VIM </w:t>
      </w:r>
      <w:r w:rsidR="00962A95">
        <w:t>z </w:t>
      </w:r>
      <w:r>
        <w:t xml:space="preserve">hlediska systematické péče </w:t>
      </w:r>
      <w:r w:rsidR="00962A95">
        <w:t>o </w:t>
      </w:r>
      <w:r>
        <w:t>sta</w:t>
      </w:r>
      <w:r w:rsidR="00962A95">
        <w:t>v </w:t>
      </w:r>
      <w:r w:rsidR="00347A45">
        <w:t>VIM</w:t>
      </w:r>
      <w:r>
        <w:t xml:space="preserve">, </w:t>
      </w:r>
      <w:r w:rsidR="00962A95">
        <w:t>z </w:t>
      </w:r>
      <w:r>
        <w:t xml:space="preserve">hlediska plnění si zákonné povinnosti vlastníka a také </w:t>
      </w:r>
      <w:r w:rsidR="00962A95">
        <w:t>z </w:t>
      </w:r>
      <w:r>
        <w:t>hlediska naplňování záměru regulace – dosažení samofinancovatelnosti infrastruktury.</w:t>
      </w:r>
      <w:r w:rsidR="00371EFB">
        <w:t xml:space="preserve"> </w:t>
      </w:r>
      <w:r w:rsidR="00636AF2" w:rsidRPr="004E369D">
        <w:t xml:space="preserve">Celková výše chybějících </w:t>
      </w:r>
      <w:r w:rsidR="00EB3A59">
        <w:t>P</w:t>
      </w:r>
      <w:r w:rsidR="00962A95">
        <w:t>O </w:t>
      </w:r>
      <w:r w:rsidR="00636AF2" w:rsidRPr="004E369D">
        <w:t xml:space="preserve">činí </w:t>
      </w:r>
      <w:r>
        <w:t>532,36</w:t>
      </w:r>
      <w:r w:rsidR="00636AF2" w:rsidRPr="004E369D">
        <w:t xml:space="preserve"> mil. Kč. Celkové </w:t>
      </w:r>
      <w:r w:rsidR="00636AF2">
        <w:t xml:space="preserve">tržby </w:t>
      </w:r>
      <w:r w:rsidR="00962A95">
        <w:t>za </w:t>
      </w:r>
      <w:r w:rsidR="00636AF2">
        <w:t xml:space="preserve">vodné </w:t>
      </w:r>
      <w:r w:rsidR="00962A95">
        <w:t>v </w:t>
      </w:r>
      <w:r w:rsidR="00636AF2">
        <w:t>roce 201</w:t>
      </w:r>
      <w:r>
        <w:t>8</w:t>
      </w:r>
      <w:r w:rsidR="00636AF2">
        <w:t xml:space="preserve"> činily</w:t>
      </w:r>
      <w:r w:rsidR="00636AF2" w:rsidRPr="004E369D">
        <w:t xml:space="preserve"> </w:t>
      </w:r>
      <w:r>
        <w:t>18,9</w:t>
      </w:r>
      <w:r w:rsidR="00636AF2" w:rsidRPr="004E369D">
        <w:t xml:space="preserve"> mld. Kč</w:t>
      </w:r>
      <w:r w:rsidR="00636AF2">
        <w:t xml:space="preserve">. </w:t>
      </w:r>
      <w:r w:rsidR="00962A95">
        <w:t>Pro </w:t>
      </w:r>
      <w:r w:rsidR="00636AF2">
        <w:t xml:space="preserve">zabezpečení minimální teoretické výše </w:t>
      </w:r>
      <w:r w:rsidR="00EB3A59">
        <w:t>P</w:t>
      </w:r>
      <w:r w:rsidR="00962A95">
        <w:t>O </w:t>
      </w:r>
      <w:r w:rsidR="00E858CC">
        <w:t xml:space="preserve">by </w:t>
      </w:r>
      <w:r w:rsidR="00636AF2">
        <w:t xml:space="preserve">měly tržby </w:t>
      </w:r>
      <w:r w:rsidR="00962A95">
        <w:t>za </w:t>
      </w:r>
      <w:r w:rsidR="00636AF2">
        <w:t xml:space="preserve">vodné být </w:t>
      </w:r>
      <w:r w:rsidR="00962A95">
        <w:t>o </w:t>
      </w:r>
      <w:r w:rsidR="00636AF2" w:rsidRPr="004E369D">
        <w:t xml:space="preserve">chybějící </w:t>
      </w:r>
      <w:r w:rsidR="00EB3A59">
        <w:t>P</w:t>
      </w:r>
      <w:r w:rsidR="00962A95">
        <w:t>O </w:t>
      </w:r>
      <w:r w:rsidR="00636AF2" w:rsidRPr="004E369D">
        <w:t xml:space="preserve">(tj. </w:t>
      </w:r>
      <w:r w:rsidR="00962A95">
        <w:t>o </w:t>
      </w:r>
      <w:r w:rsidR="00636AF2" w:rsidRPr="004E369D">
        <w:t>2,</w:t>
      </w:r>
      <w:r w:rsidR="00331B50">
        <w:t>8</w:t>
      </w:r>
      <w:r w:rsidR="00636AF2" w:rsidRPr="004E369D">
        <w:t xml:space="preserve"> %) vyšší. </w:t>
      </w:r>
      <w:r w:rsidR="00962A95">
        <w:t>Na </w:t>
      </w:r>
      <w:r w:rsidR="00636AF2">
        <w:t>1 m</w:t>
      </w:r>
      <w:r w:rsidR="00636AF2" w:rsidRPr="000C0870">
        <w:rPr>
          <w:vertAlign w:val="superscript"/>
        </w:rPr>
        <w:t>3</w:t>
      </w:r>
      <w:r w:rsidR="00636AF2">
        <w:rPr>
          <w:vertAlign w:val="superscript"/>
        </w:rPr>
        <w:t xml:space="preserve"> </w:t>
      </w:r>
      <w:r w:rsidR="00636AF2">
        <w:t>fakturované vody podle analyzovaných Porovnání připadá zjednodušeným výpočtem 1</w:t>
      </w:r>
      <w:r w:rsidR="00331B50">
        <w:t>,12</w:t>
      </w:r>
      <w:r w:rsidR="00636AF2">
        <w:t xml:space="preserve"> Kč chybějících </w:t>
      </w:r>
      <w:r w:rsidR="00EB3A59">
        <w:t>PO</w:t>
      </w:r>
      <w:r w:rsidR="00636AF2">
        <w:t>.</w:t>
      </w:r>
    </w:p>
    <w:p w14:paraId="1CD2CE52" w14:textId="2883F15C" w:rsidR="00636AF2" w:rsidRDefault="00A37FCB" w:rsidP="00636AF2">
      <w:pPr>
        <w:pStyle w:val="NORMLN0"/>
      </w:pPr>
      <w:r>
        <w:rPr>
          <w:noProof/>
        </w:rPr>
        <w:object w:dxaOrig="1440" w:dyaOrig="1440" w14:anchorId="409EBD6F">
          <v:shape id="_x0000_s1030" type="#_x0000_t75" style="position:absolute;left:0;text-align:left;margin-left:-31pt;margin-top:79.2pt;width:524.5pt;height:210.5pt;z-index:251679744;mso-position-horizontal-relative:text;mso-position-vertical-relative:text">
            <v:imagedata r:id="rId16" o:title=""/>
            <w10:wrap type="topAndBottom"/>
          </v:shape>
          <o:OLEObject Type="Embed" ProgID="Excel.Sheet.12" ShapeID="_x0000_s1030" DrawAspect="Content" ObjectID="_1662960752" r:id="rId17"/>
        </w:object>
      </w:r>
      <w:r w:rsidR="000C453E">
        <w:t xml:space="preserve">Výpočet chybějících </w:t>
      </w:r>
      <w:r w:rsidR="00EB3A59">
        <w:t>P</w:t>
      </w:r>
      <w:r w:rsidR="00962A95">
        <w:t>O </w:t>
      </w:r>
      <w:r w:rsidR="00EB3A59">
        <w:t>s</w:t>
      </w:r>
      <w:r w:rsidR="000C453E">
        <w:t xml:space="preserve">počívá </w:t>
      </w:r>
      <w:r w:rsidR="00962A95">
        <w:t>v </w:t>
      </w:r>
      <w:r w:rsidR="000C453E">
        <w:t>rozdílu mezi minimální teoretickou výší prostředků obnovy (výpočet vi</w:t>
      </w:r>
      <w:r w:rsidR="00962A95">
        <w:t>z </w:t>
      </w:r>
      <w:r w:rsidR="000C453E">
        <w:t xml:space="preserve">kapitola </w:t>
      </w:r>
      <w:r w:rsidR="000C453E" w:rsidRPr="0056678A">
        <w:t>1</w:t>
      </w:r>
      <w:r w:rsidR="0027331C" w:rsidRPr="0056678A">
        <w:t>0</w:t>
      </w:r>
      <w:r w:rsidR="000C453E" w:rsidRPr="0056678A">
        <w:t>.</w:t>
      </w:r>
      <w:r w:rsidR="0027331C" w:rsidRPr="0056678A">
        <w:t>2</w:t>
      </w:r>
      <w:r w:rsidR="000C453E" w:rsidRPr="0056678A">
        <w:t>)</w:t>
      </w:r>
      <w:r w:rsidR="000C453E">
        <w:t xml:space="preserve"> a skutečnou výší prostředků obnovy generovanou </w:t>
      </w:r>
      <w:r w:rsidR="00962A95">
        <w:t>ve </w:t>
      </w:r>
      <w:r w:rsidR="009D1B39">
        <w:t>vodném (výpočet vi</w:t>
      </w:r>
      <w:r w:rsidR="00962A95">
        <w:t>z </w:t>
      </w:r>
      <w:r w:rsidR="009D1B39">
        <w:t>kapitola 10.3</w:t>
      </w:r>
      <w:r w:rsidR="000C453E">
        <w:t xml:space="preserve">). </w:t>
      </w:r>
      <w:r w:rsidR="00636AF2">
        <w:t xml:space="preserve">Přehled výše chybějících prostředků </w:t>
      </w:r>
      <w:r w:rsidR="00962A95">
        <w:t>na </w:t>
      </w:r>
      <w:r w:rsidR="00636AF2">
        <w:t xml:space="preserve">obnovu </w:t>
      </w:r>
      <w:r w:rsidR="00962A95">
        <w:t>v </w:t>
      </w:r>
      <w:r w:rsidR="00636AF2">
        <w:t xml:space="preserve">mil. Kč </w:t>
      </w:r>
      <w:r w:rsidR="00962A95">
        <w:t>v </w:t>
      </w:r>
      <w:r w:rsidR="00636AF2">
        <w:t xml:space="preserve">členění podle modelu provozování a jednotlivých skupin vlastníků je uveden </w:t>
      </w:r>
      <w:r w:rsidR="00962A95">
        <w:t>v </w:t>
      </w:r>
      <w:r w:rsidR="00636AF2">
        <w:t xml:space="preserve">následující tabulce. </w:t>
      </w:r>
    </w:p>
    <w:p w14:paraId="5E41EB2A" w14:textId="77777777" w:rsidR="00657FB0" w:rsidRDefault="00657FB0" w:rsidP="00636AF2">
      <w:pPr>
        <w:pStyle w:val="NORMLN0"/>
      </w:pPr>
    </w:p>
    <w:p w14:paraId="21E7A01F" w14:textId="77777777" w:rsidR="008E5EE1" w:rsidRDefault="008E5EE1" w:rsidP="00636AF2">
      <w:pPr>
        <w:pStyle w:val="NORMLN0"/>
      </w:pPr>
    </w:p>
    <w:p w14:paraId="4DF69463" w14:textId="369E6577" w:rsidR="00636AF2" w:rsidRDefault="000C453E" w:rsidP="00636AF2">
      <w:pPr>
        <w:pStyle w:val="NORMLN0"/>
      </w:pPr>
      <w:r>
        <w:t>N</w:t>
      </w:r>
      <w:r w:rsidR="00636AF2">
        <w:t xml:space="preserve">ejvíce </w:t>
      </w:r>
      <w:r w:rsidR="00613A31">
        <w:t xml:space="preserve">chybějících </w:t>
      </w:r>
      <w:r w:rsidR="00EB3A59">
        <w:t>P</w:t>
      </w:r>
      <w:r w:rsidR="00962A95">
        <w:t>O </w:t>
      </w:r>
      <w:r w:rsidR="0085289B">
        <w:t>byl</w:t>
      </w:r>
      <w:r w:rsidR="00962A95">
        <w:t>o </w:t>
      </w:r>
      <w:r w:rsidR="0085289B">
        <w:t>identifikován</w:t>
      </w:r>
      <w:r w:rsidR="00962A95">
        <w:t>o</w:t>
      </w:r>
      <w:r w:rsidR="00DE53F8">
        <w:t xml:space="preserve"> u </w:t>
      </w:r>
      <w:r w:rsidR="0085289B">
        <w:t>Porovnání</w:t>
      </w:r>
      <w:r w:rsidR="00636AF2">
        <w:t xml:space="preserve"> </w:t>
      </w:r>
      <w:r w:rsidR="00962A95">
        <w:t>ve </w:t>
      </w:r>
      <w:r w:rsidR="00636AF2">
        <w:t>IV. vlastnické skupině</w:t>
      </w:r>
      <w:r w:rsidR="00371EFB">
        <w:t xml:space="preserve"> </w:t>
      </w:r>
      <w:r>
        <w:t> (</w:t>
      </w:r>
      <w:r w:rsidR="000D5434">
        <w:t>921</w:t>
      </w:r>
      <w:r w:rsidR="00636AF2">
        <w:t> Porovnání</w:t>
      </w:r>
      <w:r>
        <w:t>, tj.</w:t>
      </w:r>
      <w:r w:rsidR="00636AF2">
        <w:t xml:space="preserve"> </w:t>
      </w:r>
      <w:r w:rsidR="000D5434">
        <w:t>83,27</w:t>
      </w:r>
      <w:r w:rsidR="00636AF2">
        <w:t xml:space="preserve"> % Porovnání skupiny). </w:t>
      </w:r>
      <w:r w:rsidR="00962A95">
        <w:t>Z </w:t>
      </w:r>
      <w:r w:rsidR="00636AF2">
        <w:t xml:space="preserve">hlediska modelu provozování se problém nedostatečné tvorby </w:t>
      </w:r>
      <w:r w:rsidR="00EB3A59">
        <w:t>P</w:t>
      </w:r>
      <w:r w:rsidR="00962A95">
        <w:t>O </w:t>
      </w:r>
      <w:r w:rsidR="00636AF2">
        <w:t xml:space="preserve">nejvíce vyskytuje </w:t>
      </w:r>
      <w:r w:rsidR="00962A95">
        <w:t>v </w:t>
      </w:r>
      <w:r w:rsidR="0085289B">
        <w:t xml:space="preserve">čistě </w:t>
      </w:r>
      <w:r w:rsidR="00636AF2">
        <w:t>oddílném modelu provozování.</w:t>
      </w:r>
    </w:p>
    <w:p w14:paraId="07A76C9D" w14:textId="77777777" w:rsidR="00657FB0" w:rsidRDefault="00657FB0" w:rsidP="00636AF2">
      <w:pPr>
        <w:pStyle w:val="NORMLN0"/>
      </w:pPr>
    </w:p>
    <w:p w14:paraId="3CFE83EC" w14:textId="29E487F2" w:rsidR="0016531C" w:rsidRDefault="00636AF2" w:rsidP="00636AF2">
      <w:pPr>
        <w:pStyle w:val="NORMLN0"/>
      </w:pPr>
      <w:r>
        <w:t xml:space="preserve">Následující tabulky </w:t>
      </w:r>
      <w:r w:rsidR="00C04086">
        <w:t>s</w:t>
      </w:r>
      <w:r w:rsidR="0016531C">
        <w:t>rovná</w:t>
      </w:r>
      <w:r w:rsidR="00C04086">
        <w:t>vají</w:t>
      </w:r>
      <w:r w:rsidR="0016531C">
        <w:t xml:space="preserve"> </w:t>
      </w:r>
      <w:r>
        <w:t>průměrn</w:t>
      </w:r>
      <w:r w:rsidR="00C04086">
        <w:t>é</w:t>
      </w:r>
      <w:r>
        <w:t xml:space="preserve"> hodnot</w:t>
      </w:r>
      <w:r w:rsidR="00C04086">
        <w:t>y</w:t>
      </w:r>
      <w:r>
        <w:t xml:space="preserve"> </w:t>
      </w:r>
      <w:r w:rsidR="000C453E">
        <w:t xml:space="preserve">vybraných ukazatelů </w:t>
      </w:r>
      <w:r w:rsidR="00C04086">
        <w:t xml:space="preserve">spočtené </w:t>
      </w:r>
      <w:r w:rsidR="00962A95">
        <w:t>za </w:t>
      </w:r>
      <w:r w:rsidR="00C04086">
        <w:t xml:space="preserve">Porovnání s dostatečnou tvorbou </w:t>
      </w:r>
      <w:r w:rsidR="00EB3A59">
        <w:t>P</w:t>
      </w:r>
      <w:r w:rsidR="00962A95">
        <w:t>O </w:t>
      </w:r>
      <w:r w:rsidR="00C04086">
        <w:t xml:space="preserve">a </w:t>
      </w:r>
      <w:r w:rsidR="00962A95">
        <w:t>za </w:t>
      </w:r>
      <w:r w:rsidR="00C04086">
        <w:t xml:space="preserve">Porovnání s nedostatečnou tvorbou </w:t>
      </w:r>
      <w:r w:rsidR="00EB3A59">
        <w:t>P</w:t>
      </w:r>
      <w:r w:rsidR="00962A95">
        <w:t>O </w:t>
      </w:r>
      <w:r w:rsidR="00C04086">
        <w:t>(členění dle vlastnických skupin).</w:t>
      </w:r>
      <w:r w:rsidR="00371EFB">
        <w:t xml:space="preserve"> </w:t>
      </w:r>
    </w:p>
    <w:p w14:paraId="0B17DA1E" w14:textId="77777777" w:rsidR="00657FB0" w:rsidRDefault="00657FB0">
      <w:pPr>
        <w:spacing w:before="0" w:after="160" w:line="259" w:lineRule="auto"/>
        <w:contextualSpacing w:val="0"/>
        <w:jc w:val="left"/>
        <w:rPr>
          <w:szCs w:val="20"/>
        </w:rPr>
      </w:pPr>
      <w:r>
        <w:br w:type="page"/>
      </w:r>
    </w:p>
    <w:tbl>
      <w:tblPr>
        <w:tblW w:w="501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1039"/>
        <w:gridCol w:w="995"/>
        <w:gridCol w:w="1458"/>
        <w:gridCol w:w="1316"/>
        <w:gridCol w:w="1176"/>
        <w:gridCol w:w="1041"/>
      </w:tblGrid>
      <w:tr w:rsidR="00027EFA" w:rsidRPr="00027EFA" w14:paraId="7410F873" w14:textId="77777777" w:rsidTr="0006430B">
        <w:trPr>
          <w:trHeight w:val="254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D175B29" w14:textId="77777777" w:rsidR="00027EFA" w:rsidRPr="00027EFA" w:rsidRDefault="00027EFA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lastRenderedPageBreak/>
              <w:t>DOSTATEČNÁ MINIMÁLNÍ TVORBA</w:t>
            </w:r>
          </w:p>
        </w:tc>
      </w:tr>
      <w:tr w:rsidR="0006430B" w:rsidRPr="00027EFA" w14:paraId="670E6ECC" w14:textId="77777777" w:rsidTr="0006430B">
        <w:trPr>
          <w:trHeight w:val="1976"/>
          <w:jc w:val="center"/>
        </w:trPr>
        <w:tc>
          <w:tcPr>
            <w:tcW w:w="113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4A185BB2" w14:textId="1FDBCC01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SKUPI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NA 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VLASTNÍKŮ</w:t>
            </w:r>
          </w:p>
        </w:tc>
        <w:tc>
          <w:tcPr>
            <w:tcW w:w="572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2382A8B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POČET POROVNÁNÍ</w:t>
            </w: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668E266D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PRŮMĚRNÁ HODNOTA OKF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7665102A" w14:textId="73CA2C56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PRŮMĚRNÁ CE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NA PRO 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VODNÉ (KČ/M3)</w:t>
            </w:r>
          </w:p>
        </w:tc>
        <w:tc>
          <w:tcPr>
            <w:tcW w:w="72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1E2A2308" w14:textId="00C77E5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PRŮMĚRNÁ HODNOTA JEDNOTKOVÝCH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 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NÁKLADŮ (KČ/M3)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472C4"/>
            <w:vAlign w:val="center"/>
            <w:hideMark/>
          </w:tcPr>
          <w:p w14:paraId="518EA27A" w14:textId="3A6584AF" w:rsidR="0006430B" w:rsidRPr="00027EFA" w:rsidRDefault="0006430B" w:rsidP="00D857B4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PRŮMĚRNÁ VÝŠE TEORETICKÉ CENY 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PŘI POKRYTÍ PROSTŘEDKŮ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 OBNOVY 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PŘI 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NULOVÉM ZISKU (KČ/M3)</w:t>
            </w:r>
          </w:p>
        </w:tc>
        <w:tc>
          <w:tcPr>
            <w:tcW w:w="57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08F62C4E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POČET POROVNÁNÍ SE ZÁPORNÝM ZISKEM</w:t>
            </w:r>
          </w:p>
        </w:tc>
      </w:tr>
      <w:tr w:rsidR="0006430B" w:rsidRPr="00027EFA" w14:paraId="7A189060" w14:textId="77777777" w:rsidTr="0006430B">
        <w:trPr>
          <w:trHeight w:val="267"/>
          <w:jc w:val="center"/>
        </w:trPr>
        <w:tc>
          <w:tcPr>
            <w:tcW w:w="113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FBD665F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I.SKUPINA(&gt;10 000MIL.KČ)</w:t>
            </w:r>
          </w:p>
        </w:tc>
        <w:tc>
          <w:tcPr>
            <w:tcW w:w="57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00D115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05E433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1,20</w:t>
            </w:r>
          </w:p>
        </w:tc>
        <w:tc>
          <w:tcPr>
            <w:tcW w:w="8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B45795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39,54</w:t>
            </w:r>
          </w:p>
        </w:tc>
        <w:tc>
          <w:tcPr>
            <w:tcW w:w="7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34BADDB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33,26</w:t>
            </w:r>
          </w:p>
        </w:tc>
        <w:tc>
          <w:tcPr>
            <w:tcW w:w="64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19598274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33,27</w:t>
            </w:r>
          </w:p>
        </w:tc>
        <w:tc>
          <w:tcPr>
            <w:tcW w:w="5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56AE5C5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6430B" w:rsidRPr="00027EFA" w14:paraId="66354425" w14:textId="77777777" w:rsidTr="0006430B">
        <w:trPr>
          <w:trHeight w:val="254"/>
          <w:jc w:val="center"/>
        </w:trPr>
        <w:tc>
          <w:tcPr>
            <w:tcW w:w="113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B67A3DF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II.SKUPINA(&gt;1 000MIL.KČ)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206523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78BF3C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1,08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F13C1F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39,55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40585F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36,79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22F0142B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36,79</w:t>
            </w:r>
          </w:p>
        </w:tc>
        <w:tc>
          <w:tcPr>
            <w:tcW w:w="573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14:paraId="1D12683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6430B" w:rsidRPr="00027EFA" w14:paraId="4D744628" w14:textId="77777777" w:rsidTr="0006430B">
        <w:trPr>
          <w:trHeight w:val="254"/>
          <w:jc w:val="center"/>
        </w:trPr>
        <w:tc>
          <w:tcPr>
            <w:tcW w:w="113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4843FCC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III.SKUPINA(&gt;100MIL.KČ)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0902E5C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64F2A3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613023B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37,13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249619B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35,80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04325EC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35,82</w:t>
            </w:r>
          </w:p>
        </w:tc>
        <w:tc>
          <w:tcPr>
            <w:tcW w:w="573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2B67F023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06430B" w:rsidRPr="00027EFA" w14:paraId="307EBEC9" w14:textId="77777777" w:rsidTr="0006430B">
        <w:trPr>
          <w:trHeight w:val="254"/>
          <w:jc w:val="center"/>
        </w:trPr>
        <w:tc>
          <w:tcPr>
            <w:tcW w:w="113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00B44567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IV.SKUPINA(&gt;10MIL.KČ)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ED71DDE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185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DA18FE3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A19CC5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38,38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AC047A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39,36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D896779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39,50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954AD0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17</w:t>
            </w:r>
          </w:p>
        </w:tc>
      </w:tr>
      <w:tr w:rsidR="0006430B" w:rsidRPr="00027EFA" w14:paraId="06E1E7DB" w14:textId="77777777" w:rsidTr="0006430B">
        <w:trPr>
          <w:trHeight w:val="254"/>
          <w:jc w:val="center"/>
        </w:trPr>
        <w:tc>
          <w:tcPr>
            <w:tcW w:w="113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969E550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V.SKUPINA(&gt;1MIL.KČ)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E8EDBB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165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98F06E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F0840C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34,63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AA9037C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37,32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10F7579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37,50</w:t>
            </w:r>
          </w:p>
        </w:tc>
        <w:tc>
          <w:tcPr>
            <w:tcW w:w="573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137B93CD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25</w:t>
            </w:r>
          </w:p>
        </w:tc>
      </w:tr>
      <w:tr w:rsidR="0006430B" w:rsidRPr="00027EFA" w14:paraId="3F5E5196" w14:textId="77777777" w:rsidTr="0006430B">
        <w:trPr>
          <w:trHeight w:val="254"/>
          <w:jc w:val="center"/>
        </w:trPr>
        <w:tc>
          <w:tcPr>
            <w:tcW w:w="113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38881DF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VI.SKUPINA(&lt;1MIL.KČ)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46EAFC29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FD89AEB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3BC0408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42,12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0EF39ED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39,58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3227D2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38,08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92BC62C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06430B" w:rsidRPr="00027EFA" w14:paraId="1179D237" w14:textId="77777777" w:rsidTr="0006430B">
        <w:trPr>
          <w:trHeight w:val="254"/>
          <w:jc w:val="center"/>
        </w:trPr>
        <w:tc>
          <w:tcPr>
            <w:tcW w:w="113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06CCBE6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8D6F95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467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A276C3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1,04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56E96D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37,09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E9DF71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37,93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1D1E368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38,00</w:t>
            </w:r>
          </w:p>
        </w:tc>
        <w:tc>
          <w:tcPr>
            <w:tcW w:w="573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center"/>
            <w:hideMark/>
          </w:tcPr>
          <w:p w14:paraId="0247A46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44</w:t>
            </w:r>
          </w:p>
        </w:tc>
      </w:tr>
    </w:tbl>
    <w:p w14:paraId="09824B92" w14:textId="77777777" w:rsidR="00636AF2" w:rsidRDefault="00636AF2" w:rsidP="00027EFA">
      <w:pPr>
        <w:pStyle w:val="NORMLN0"/>
        <w:ind w:firstLine="0"/>
      </w:pPr>
    </w:p>
    <w:tbl>
      <w:tblPr>
        <w:tblW w:w="49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1039"/>
        <w:gridCol w:w="995"/>
        <w:gridCol w:w="1458"/>
        <w:gridCol w:w="1316"/>
        <w:gridCol w:w="1113"/>
        <w:gridCol w:w="1039"/>
      </w:tblGrid>
      <w:tr w:rsidR="00027EFA" w:rsidRPr="00027EFA" w14:paraId="38DB0387" w14:textId="77777777" w:rsidTr="0006430B">
        <w:trPr>
          <w:trHeight w:val="242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E9CE4"/>
            <w:noWrap/>
            <w:vAlign w:val="bottom"/>
            <w:hideMark/>
          </w:tcPr>
          <w:p w14:paraId="6699E45F" w14:textId="77777777" w:rsidR="00027EFA" w:rsidRPr="00027EFA" w:rsidRDefault="00027EFA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NEDOSTATEČNÁ MINIMÁLNÍ TVORBA</w:t>
            </w:r>
          </w:p>
        </w:tc>
      </w:tr>
      <w:tr w:rsidR="0006430B" w:rsidRPr="00027EFA" w14:paraId="6D01FA04" w14:textId="77777777" w:rsidTr="0006430B">
        <w:trPr>
          <w:trHeight w:val="1863"/>
          <w:jc w:val="center"/>
        </w:trPr>
        <w:tc>
          <w:tcPr>
            <w:tcW w:w="1143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C183DD"/>
            <w:vAlign w:val="center"/>
            <w:hideMark/>
          </w:tcPr>
          <w:p w14:paraId="452324EA" w14:textId="34FC4476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SKUPI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NA 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VLASTNÍKŮ</w:t>
            </w:r>
          </w:p>
        </w:tc>
        <w:tc>
          <w:tcPr>
            <w:tcW w:w="576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C183DD"/>
            <w:vAlign w:val="center"/>
            <w:hideMark/>
          </w:tcPr>
          <w:p w14:paraId="704BFACC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POČET POROVNÁNÍ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C183DD"/>
            <w:vAlign w:val="center"/>
            <w:hideMark/>
          </w:tcPr>
          <w:p w14:paraId="2DE1637D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PRŮMĚRNÁ HODNOTA OKF</w:t>
            </w:r>
          </w:p>
        </w:tc>
        <w:tc>
          <w:tcPr>
            <w:tcW w:w="808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C183DD"/>
            <w:vAlign w:val="center"/>
            <w:hideMark/>
          </w:tcPr>
          <w:p w14:paraId="3AB28428" w14:textId="4B1C8DFC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PRŮMĚRNÁ CE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NA PRO 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VODNÉ (KČ/M3)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C183DD"/>
            <w:vAlign w:val="center"/>
            <w:hideMark/>
          </w:tcPr>
          <w:p w14:paraId="6D84D2E3" w14:textId="55E7B5E1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PRŮMĚRNÁ HODNOTA JEDNOTKOVÝCH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 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NÁKLADŮ (KČ/M3)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C183DD"/>
            <w:vAlign w:val="center"/>
            <w:hideMark/>
          </w:tcPr>
          <w:p w14:paraId="1B9B3EEF" w14:textId="0B15D888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 xml:space="preserve">PRŮMĚRNÁ VÝŠE TEORETICKÉ CENY 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PŘI </w:t>
            </w: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POKRYTÍ PROSTŘEDKŮ OBNOVY A NULOVÉM ZISKU (KČ/M3)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C183DD"/>
            <w:vAlign w:val="center"/>
            <w:hideMark/>
          </w:tcPr>
          <w:p w14:paraId="4A48FC4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POČET POROVNÁNÍ SE ZÁPORNÝM ZISKEM</w:t>
            </w:r>
          </w:p>
        </w:tc>
      </w:tr>
      <w:tr w:rsidR="0006430B" w:rsidRPr="00027EFA" w14:paraId="1E7ACC39" w14:textId="77777777" w:rsidTr="0006430B">
        <w:trPr>
          <w:trHeight w:val="254"/>
          <w:jc w:val="center"/>
        </w:trPr>
        <w:tc>
          <w:tcPr>
            <w:tcW w:w="114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7FE15253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I.SKUPINA(&gt;10 000MIL.KČ)</w:t>
            </w:r>
          </w:p>
        </w:tc>
        <w:tc>
          <w:tcPr>
            <w:tcW w:w="57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0220497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5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2BB02CA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1,08</w:t>
            </w:r>
          </w:p>
        </w:tc>
        <w:tc>
          <w:tcPr>
            <w:tcW w:w="80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20AEFB1D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43,46</w:t>
            </w:r>
          </w:p>
        </w:tc>
        <w:tc>
          <w:tcPr>
            <w:tcW w:w="72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73E4413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40,30</w:t>
            </w:r>
          </w:p>
        </w:tc>
        <w:tc>
          <w:tcPr>
            <w:tcW w:w="61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BDD7EE" w:fill="C183DD"/>
            <w:noWrap/>
            <w:vAlign w:val="center"/>
            <w:hideMark/>
          </w:tcPr>
          <w:p w14:paraId="16A74908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40,31</w:t>
            </w:r>
          </w:p>
        </w:tc>
        <w:tc>
          <w:tcPr>
            <w:tcW w:w="5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C183DD"/>
            <w:noWrap/>
            <w:vAlign w:val="center"/>
            <w:hideMark/>
          </w:tcPr>
          <w:p w14:paraId="4FB2EEA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6430B" w:rsidRPr="00027EFA" w14:paraId="583960CE" w14:textId="77777777" w:rsidTr="0006430B">
        <w:trPr>
          <w:trHeight w:val="242"/>
          <w:jc w:val="center"/>
        </w:trPr>
        <w:tc>
          <w:tcPr>
            <w:tcW w:w="11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67F95FBA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II.SKUPINA(&gt;1 000MIL.KČ)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64DA452D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249CAAB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0,62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294CE586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39,69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060E196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38,32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DEBF7" w:fill="F0E1F7"/>
            <w:noWrap/>
            <w:vAlign w:val="center"/>
            <w:hideMark/>
          </w:tcPr>
          <w:p w14:paraId="65F04D9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148,82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F0E1F7"/>
            <w:noWrap/>
            <w:vAlign w:val="center"/>
            <w:hideMark/>
          </w:tcPr>
          <w:p w14:paraId="4C259106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06430B" w:rsidRPr="00027EFA" w14:paraId="6D8BB54A" w14:textId="77777777" w:rsidTr="0006430B">
        <w:trPr>
          <w:trHeight w:val="242"/>
          <w:jc w:val="center"/>
        </w:trPr>
        <w:tc>
          <w:tcPr>
            <w:tcW w:w="11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2C439F92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III.SKUPINA(&gt;100MIL.KČ)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394D6A9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6A0033A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0,76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24CA31A3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33,88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C183DD"/>
            <w:noWrap/>
            <w:vAlign w:val="center"/>
            <w:hideMark/>
          </w:tcPr>
          <w:p w14:paraId="7BDEF4E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33,16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DD7EE" w:fill="C183DD"/>
            <w:noWrap/>
            <w:vAlign w:val="center"/>
            <w:hideMark/>
          </w:tcPr>
          <w:p w14:paraId="3365648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128,34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C183DD"/>
            <w:noWrap/>
            <w:vAlign w:val="center"/>
            <w:hideMark/>
          </w:tcPr>
          <w:p w14:paraId="72742A6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06430B" w:rsidRPr="00027EFA" w14:paraId="79AED4EE" w14:textId="77777777" w:rsidTr="0006430B">
        <w:trPr>
          <w:trHeight w:val="242"/>
          <w:jc w:val="center"/>
        </w:trPr>
        <w:tc>
          <w:tcPr>
            <w:tcW w:w="11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23B6CC19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IV.SKUPINA(&gt;10MIL.KČ)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36C0AA6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921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18572584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0,66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6246ED7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29,47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561147D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37,45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DEBF7" w:fill="F0E1F7"/>
            <w:noWrap/>
            <w:vAlign w:val="center"/>
            <w:hideMark/>
          </w:tcPr>
          <w:p w14:paraId="6FFD2FB5" w14:textId="62F735F1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58</w:t>
            </w: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,15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F0E1F7"/>
            <w:noWrap/>
            <w:vAlign w:val="center"/>
            <w:hideMark/>
          </w:tcPr>
          <w:p w14:paraId="0507074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184</w:t>
            </w:r>
          </w:p>
        </w:tc>
      </w:tr>
      <w:tr w:rsidR="0006430B" w:rsidRPr="00027EFA" w14:paraId="1825EF73" w14:textId="77777777" w:rsidTr="0006430B">
        <w:trPr>
          <w:trHeight w:val="242"/>
          <w:jc w:val="center"/>
        </w:trPr>
        <w:tc>
          <w:tcPr>
            <w:tcW w:w="11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432B99C2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V.SKUPINA(&gt;1MIL.KČ)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7AB68582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472CCADB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0,60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1C6F0C8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26,56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6B3F554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41,42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DEBF7" w:fill="C183DD"/>
            <w:noWrap/>
            <w:vAlign w:val="center"/>
            <w:hideMark/>
          </w:tcPr>
          <w:p w14:paraId="77B76945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56,20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C183DD"/>
            <w:noWrap/>
            <w:vAlign w:val="center"/>
            <w:hideMark/>
          </w:tcPr>
          <w:p w14:paraId="48D46B5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145</w:t>
            </w:r>
          </w:p>
        </w:tc>
      </w:tr>
      <w:tr w:rsidR="0006430B" w:rsidRPr="00027EFA" w14:paraId="76A72587" w14:textId="77777777" w:rsidTr="0006430B">
        <w:trPr>
          <w:trHeight w:val="242"/>
          <w:jc w:val="center"/>
        </w:trPr>
        <w:tc>
          <w:tcPr>
            <w:tcW w:w="11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025FCD46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VI.SKUPINA(&lt;1MIL.KČ)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3052964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6B5BDCD6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0,62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3E33F3AE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26,25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F0E1F7"/>
            <w:noWrap/>
            <w:vAlign w:val="center"/>
            <w:hideMark/>
          </w:tcPr>
          <w:p w14:paraId="6A183073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55,28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DEBF7" w:fill="F0E1F7"/>
            <w:noWrap/>
            <w:vAlign w:val="center"/>
            <w:hideMark/>
          </w:tcPr>
          <w:p w14:paraId="3D07AE9A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61,30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F0E1F7"/>
            <w:noWrap/>
            <w:vAlign w:val="center"/>
            <w:hideMark/>
          </w:tcPr>
          <w:p w14:paraId="7CFFA699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06430B" w:rsidRPr="00027EFA" w14:paraId="58D7B712" w14:textId="77777777" w:rsidTr="0006430B">
        <w:trPr>
          <w:trHeight w:val="242"/>
          <w:jc w:val="center"/>
        </w:trPr>
        <w:tc>
          <w:tcPr>
            <w:tcW w:w="11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0557A641" w14:textId="77777777" w:rsidR="0006430B" w:rsidRPr="00027EFA" w:rsidRDefault="0006430B" w:rsidP="00027EFA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0E91C8FC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1564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09D815F6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0,64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41CF2A80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28,68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C183DD"/>
            <w:noWrap/>
            <w:vAlign w:val="center"/>
            <w:hideMark/>
          </w:tcPr>
          <w:p w14:paraId="439E49D1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38,82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DEBF7" w:fill="C183DD"/>
            <w:noWrap/>
            <w:vAlign w:val="center"/>
            <w:hideMark/>
          </w:tcPr>
          <w:p w14:paraId="2A829E2F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61,17</w:t>
            </w:r>
          </w:p>
        </w:tc>
        <w:tc>
          <w:tcPr>
            <w:tcW w:w="576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C183DD"/>
            <w:noWrap/>
            <w:vAlign w:val="center"/>
            <w:hideMark/>
          </w:tcPr>
          <w:p w14:paraId="74721D37" w14:textId="77777777" w:rsidR="0006430B" w:rsidRPr="00027EFA" w:rsidRDefault="0006430B" w:rsidP="00027EFA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EF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343</w:t>
            </w:r>
          </w:p>
        </w:tc>
      </w:tr>
    </w:tbl>
    <w:p w14:paraId="6697238D" w14:textId="4D1337C6" w:rsidR="000C453E" w:rsidRDefault="00386643" w:rsidP="000C453E">
      <w:pPr>
        <w:pStyle w:val="NORMLN0"/>
      </w:pPr>
      <w:r>
        <w:t>S výjimkou jednoh</w:t>
      </w:r>
      <w:r w:rsidR="00962A95">
        <w:t>o </w:t>
      </w:r>
      <w:r>
        <w:t>Porovnání</w:t>
      </w:r>
      <w:r w:rsidR="000C453E">
        <w:t xml:space="preserve"> je průměrná hodnota OKF</w:t>
      </w:r>
      <w:r w:rsidR="00DE53F8">
        <w:t xml:space="preserve"> u </w:t>
      </w:r>
      <w:r w:rsidR="00CB1E06">
        <w:t>Porovnání</w:t>
      </w:r>
      <w:r w:rsidR="000C453E">
        <w:t xml:space="preserve"> s nedostatečnou tvorbou </w:t>
      </w:r>
      <w:r w:rsidR="00EB3A59">
        <w:t>P</w:t>
      </w:r>
      <w:r w:rsidR="00962A95">
        <w:t>O </w:t>
      </w:r>
      <w:r>
        <w:t xml:space="preserve">menší </w:t>
      </w:r>
      <w:r w:rsidR="00962A95">
        <w:t>než </w:t>
      </w:r>
      <w:r w:rsidR="000C453E">
        <w:t>1 (</w:t>
      </w:r>
      <w:r w:rsidR="00B918E1">
        <w:t xml:space="preserve">tj. </w:t>
      </w:r>
      <w:r w:rsidR="00962A95">
        <w:t>v </w:t>
      </w:r>
      <w:r w:rsidR="00B918E1">
        <w:t xml:space="preserve">rozmezí </w:t>
      </w:r>
      <w:r w:rsidR="000C453E">
        <w:t>od 0,47 p</w:t>
      </w:r>
      <w:r w:rsidR="00962A95">
        <w:t>o </w:t>
      </w:r>
      <w:r w:rsidR="000C453E">
        <w:t xml:space="preserve">0,75), což upozorňuje </w:t>
      </w:r>
      <w:r w:rsidR="00962A95">
        <w:t>na </w:t>
      </w:r>
      <w:r w:rsidR="000C453E">
        <w:t>nes</w:t>
      </w:r>
      <w:r w:rsidR="00B918E1">
        <w:t xml:space="preserve">právné nastavení ceny </w:t>
      </w:r>
      <w:r w:rsidR="00962A95">
        <w:t>pro </w:t>
      </w:r>
      <w:r w:rsidR="00B918E1">
        <w:t>vodné,</w:t>
      </w:r>
      <w:r w:rsidR="00B918E1" w:rsidRPr="00B918E1">
        <w:t xml:space="preserve"> </w:t>
      </w:r>
      <w:r w:rsidR="00B918E1">
        <w:t>která nepokrývá jednotkové ÚVN a minimální teoretickou výši PO.</w:t>
      </w:r>
      <w:r w:rsidR="00347A45">
        <w:t xml:space="preserve"> U</w:t>
      </w:r>
      <w:r w:rsidR="00DE53F8">
        <w:t> </w:t>
      </w:r>
      <w:r w:rsidR="00B918E1">
        <w:t>Porovnání</w:t>
      </w:r>
      <w:r w:rsidR="000C453E">
        <w:t xml:space="preserve">, </w:t>
      </w:r>
      <w:r w:rsidR="00B918E1">
        <w:t>kde</w:t>
      </w:r>
      <w:r w:rsidR="000C453E">
        <w:t xml:space="preserve"> </w:t>
      </w:r>
      <w:r w:rsidR="00B918E1">
        <w:t>vodné pokrývá</w:t>
      </w:r>
      <w:r w:rsidR="000C453E">
        <w:t xml:space="preserve"> dostatečné množství </w:t>
      </w:r>
      <w:r w:rsidR="00EB3A59">
        <w:t>PO</w:t>
      </w:r>
      <w:r>
        <w:t>,</w:t>
      </w:r>
      <w:r w:rsidR="000C453E">
        <w:t xml:space="preserve"> je </w:t>
      </w:r>
      <w:r w:rsidR="00B918E1">
        <w:t>průměrná hodnota</w:t>
      </w:r>
      <w:r w:rsidR="000C453E">
        <w:t xml:space="preserve"> OKF větší </w:t>
      </w:r>
      <w:r w:rsidR="00962A95">
        <w:t>než </w:t>
      </w:r>
      <w:r w:rsidR="000C453E">
        <w:t xml:space="preserve">1. </w:t>
      </w:r>
    </w:p>
    <w:p w14:paraId="40A67BEC" w14:textId="4442E0EA" w:rsidR="00B823F7" w:rsidRDefault="00636AF2" w:rsidP="00636AF2">
      <w:pPr>
        <w:pStyle w:val="NORMLN0"/>
      </w:pPr>
      <w:r w:rsidRPr="004E369D">
        <w:t xml:space="preserve">Problém nedostatečné tvorby </w:t>
      </w:r>
      <w:r w:rsidR="00EB3A59">
        <w:t>P</w:t>
      </w:r>
      <w:r w:rsidR="00962A95">
        <w:t>O </w:t>
      </w:r>
      <w:r w:rsidRPr="004E369D">
        <w:t>může vlastní</w:t>
      </w:r>
      <w:r w:rsidR="00962A95">
        <w:t>k </w:t>
      </w:r>
      <w:r w:rsidRPr="004E369D">
        <w:t xml:space="preserve">řešit využitím řádku 4.4 </w:t>
      </w:r>
      <w:r w:rsidR="00962A95">
        <w:t>v </w:t>
      </w:r>
      <w:r w:rsidRPr="004E369D">
        <w:t xml:space="preserve">Porovnání </w:t>
      </w:r>
      <w:r w:rsidR="00962A95">
        <w:t>v </w:t>
      </w:r>
      <w:r w:rsidRPr="004E369D">
        <w:t xml:space="preserve">návaznosti </w:t>
      </w:r>
      <w:r w:rsidR="00962A95">
        <w:t>na </w:t>
      </w:r>
      <w:r w:rsidRPr="004E369D">
        <w:t>pečlivě zpracovaný PF</w:t>
      </w:r>
      <w:r w:rsidR="00962A95">
        <w:t>O </w:t>
      </w:r>
      <w:r>
        <w:t>(</w:t>
      </w:r>
      <w:r w:rsidR="00962A95">
        <w:t>za </w:t>
      </w:r>
      <w:r>
        <w:t>předpokladu, že koresponduje s plánem opra</w:t>
      </w:r>
      <w:r w:rsidR="00962A95">
        <w:t>v </w:t>
      </w:r>
      <w:r>
        <w:t xml:space="preserve">a investic s obnovujícím charakterem a nedojde </w:t>
      </w:r>
      <w:r w:rsidR="00962A95">
        <w:t>k </w:t>
      </w:r>
      <w:r>
        <w:t>porušení cenových předpisů)</w:t>
      </w:r>
      <w:r w:rsidRPr="004E369D">
        <w:t>, úpravou výše kalkulačníh</w:t>
      </w:r>
      <w:r w:rsidR="00962A95">
        <w:t>o </w:t>
      </w:r>
      <w:r w:rsidRPr="004E369D">
        <w:t xml:space="preserve">zisku stanovené </w:t>
      </w:r>
      <w:r w:rsidR="00962A95">
        <w:t>v </w:t>
      </w:r>
      <w:r w:rsidRPr="004E369D">
        <w:t xml:space="preserve">rámci kalkulace ceny </w:t>
      </w:r>
      <w:r w:rsidR="00962A95">
        <w:t>pro </w:t>
      </w:r>
      <w:r w:rsidRPr="004E369D">
        <w:t xml:space="preserve">vodné, zvýšenými náklady </w:t>
      </w:r>
      <w:r w:rsidR="00962A95">
        <w:t>na </w:t>
      </w:r>
      <w:r w:rsidRPr="004E369D">
        <w:t xml:space="preserve">opravy </w:t>
      </w:r>
      <w:r w:rsidRPr="00B53DD6">
        <w:t>a jejich započtení</w:t>
      </w:r>
      <w:r w:rsidR="00D045D8" w:rsidRPr="00B53DD6">
        <w:t>m</w:t>
      </w:r>
      <w:r w:rsidRPr="004E369D">
        <w:t xml:space="preserve"> d</w:t>
      </w:r>
      <w:r w:rsidR="00962A95">
        <w:t>o </w:t>
      </w:r>
      <w:r w:rsidRPr="004E369D">
        <w:t xml:space="preserve">ceny </w:t>
      </w:r>
      <w:r w:rsidR="00962A95">
        <w:t>pro </w:t>
      </w:r>
      <w:r w:rsidRPr="004E369D">
        <w:t>vodné</w:t>
      </w:r>
      <w:r w:rsidR="00D045D8">
        <w:t xml:space="preserve">, </w:t>
      </w:r>
      <w:r w:rsidRPr="004E369D">
        <w:t>což by zejmé</w:t>
      </w:r>
      <w:r w:rsidR="00962A95">
        <w:t>na</w:t>
      </w:r>
      <w:r w:rsidR="00DE53F8">
        <w:t xml:space="preserve"> u </w:t>
      </w:r>
      <w:r w:rsidRPr="004E369D">
        <w:t>menších vlastníků znamenal</w:t>
      </w:r>
      <w:r w:rsidR="00962A95">
        <w:t>o </w:t>
      </w:r>
      <w:r w:rsidRPr="004E369D">
        <w:t xml:space="preserve">zlepšení </w:t>
      </w:r>
      <w:r>
        <w:t xml:space="preserve">kvality </w:t>
      </w:r>
      <w:r w:rsidRPr="004E369D">
        <w:t xml:space="preserve">péče </w:t>
      </w:r>
      <w:r w:rsidR="00962A95">
        <w:t>o </w:t>
      </w:r>
      <w:r w:rsidRPr="004E369D">
        <w:t xml:space="preserve">VIM. </w:t>
      </w:r>
      <w:r w:rsidR="00962A95">
        <w:t>V </w:t>
      </w:r>
      <w:r w:rsidRPr="004E369D">
        <w:t xml:space="preserve">případě </w:t>
      </w:r>
      <w:r w:rsidR="00D045D8">
        <w:t xml:space="preserve">čistě </w:t>
      </w:r>
      <w:r w:rsidRPr="004E369D">
        <w:t>oddílnéh</w:t>
      </w:r>
      <w:r w:rsidR="00962A95">
        <w:t>o </w:t>
      </w:r>
      <w:r w:rsidRPr="004E369D">
        <w:t>a kombinovanéh</w:t>
      </w:r>
      <w:r w:rsidR="00962A95">
        <w:t>o </w:t>
      </w:r>
      <w:r w:rsidRPr="004E369D">
        <w:t xml:space="preserve">modelu provozování </w:t>
      </w:r>
      <w:r w:rsidR="00EB3A59">
        <w:t>je nutné</w:t>
      </w:r>
      <w:r w:rsidRPr="004E369D">
        <w:t xml:space="preserve"> tvorb</w:t>
      </w:r>
      <w:r w:rsidR="00EB3A59">
        <w:t>u</w:t>
      </w:r>
      <w:r w:rsidRPr="004E369D">
        <w:t xml:space="preserve"> </w:t>
      </w:r>
      <w:r w:rsidR="00EB3A59">
        <w:t>P</w:t>
      </w:r>
      <w:r w:rsidR="00962A95">
        <w:t>O </w:t>
      </w:r>
      <w:r w:rsidR="00EB3A59">
        <w:t>navýšit</w:t>
      </w:r>
      <w:r w:rsidRPr="004E369D">
        <w:t xml:space="preserve"> </w:t>
      </w:r>
      <w:r>
        <w:t>zejmé</w:t>
      </w:r>
      <w:r w:rsidR="00962A95">
        <w:t>na </w:t>
      </w:r>
      <w:r w:rsidRPr="004E369D">
        <w:t>odpovídajícím n</w:t>
      </w:r>
      <w:r w:rsidR="00EB3A59">
        <w:t>árůstem</w:t>
      </w:r>
      <w:r w:rsidRPr="004E369D">
        <w:t xml:space="preserve"> nájemnéh</w:t>
      </w:r>
      <w:r w:rsidR="00962A95">
        <w:t>o </w:t>
      </w:r>
      <w:r w:rsidRPr="004E369D">
        <w:t xml:space="preserve">VIM. </w:t>
      </w:r>
    </w:p>
    <w:p w14:paraId="4DECF4BC" w14:textId="3199241C" w:rsidR="00B823F7" w:rsidRDefault="00B823F7" w:rsidP="00B823F7">
      <w:pPr>
        <w:pStyle w:val="NORMLN0"/>
      </w:pPr>
      <w:r>
        <w:t>Dalším problémem zejmé</w:t>
      </w:r>
      <w:r w:rsidR="00962A95">
        <w:t>na</w:t>
      </w:r>
      <w:r w:rsidR="00DE53F8">
        <w:t xml:space="preserve"> u </w:t>
      </w:r>
      <w:r>
        <w:t>menších vlastníků může být nepřiměřené zatížení trvale žijící</w:t>
      </w:r>
      <w:r w:rsidR="00EE123E">
        <w:t>ch obyvatel</w:t>
      </w:r>
      <w:r>
        <w:t xml:space="preserve"> náklady </w:t>
      </w:r>
      <w:r w:rsidR="00962A95">
        <w:t>na </w:t>
      </w:r>
      <w:r>
        <w:t xml:space="preserve">VIM </w:t>
      </w:r>
      <w:r w:rsidR="00962A95">
        <w:t>v </w:t>
      </w:r>
      <w:r>
        <w:t>porovnání s odběrateli, kteří využívají služby nepravidelně (např. chalupáři, chataři). Tit</w:t>
      </w:r>
      <w:r w:rsidR="00962A95">
        <w:t>o </w:t>
      </w:r>
      <w:r>
        <w:t xml:space="preserve">odběratelé neparticipují </w:t>
      </w:r>
      <w:r w:rsidR="00962A95">
        <w:t>na </w:t>
      </w:r>
      <w:r>
        <w:t xml:space="preserve">nákladech souvisejících s obnovou </w:t>
      </w:r>
      <w:r>
        <w:lastRenderedPageBreak/>
        <w:t>VIM rovným dílem. Řešením je využívání dvousložkové ceny. Tat</w:t>
      </w:r>
      <w:r w:rsidR="00962A95">
        <w:t>o </w:t>
      </w:r>
      <w:r>
        <w:t>ce</w:t>
      </w:r>
      <w:r w:rsidR="00962A95">
        <w:t>na </w:t>
      </w:r>
      <w:r>
        <w:t xml:space="preserve">sama </w:t>
      </w:r>
      <w:r w:rsidR="00962A95">
        <w:t>o </w:t>
      </w:r>
      <w:r w:rsidR="00B53DD6">
        <w:t>sobě nezajišťuje vyšší tržby</w:t>
      </w:r>
      <w:r>
        <w:t xml:space="preserve">, ale zabezpečuje rovnoměrnost příspěvku všech uživatelů infrastruktury </w:t>
      </w:r>
      <w:r w:rsidR="00962A95">
        <w:t>na </w:t>
      </w:r>
      <w:r>
        <w:t xml:space="preserve">její dlouhodobé udržování a zvyšování ceny </w:t>
      </w:r>
      <w:r w:rsidR="00962A95">
        <w:t>za </w:t>
      </w:r>
      <w:r>
        <w:t>účelem tvorby P</w:t>
      </w:r>
      <w:r w:rsidR="00962A95">
        <w:t>O </w:t>
      </w:r>
      <w:r>
        <w:t>méně zatěžuje trvale žijící obyvatele.</w:t>
      </w:r>
    </w:p>
    <w:p w14:paraId="1675AEA2" w14:textId="07B167E9" w:rsidR="00B13EFA" w:rsidRPr="00876703" w:rsidRDefault="00EB3A59" w:rsidP="00636AF2">
      <w:pPr>
        <w:pStyle w:val="NORMLN0"/>
      </w:pPr>
      <w:r>
        <w:t xml:space="preserve">Jednou </w:t>
      </w:r>
      <w:r w:rsidR="00962A95">
        <w:t>z </w:t>
      </w:r>
      <w:r>
        <w:t>hlavních charakteristi</w:t>
      </w:r>
      <w:r w:rsidR="00962A95">
        <w:t>k </w:t>
      </w:r>
      <w:r>
        <w:t>Porovnání s nedostatečnou tvorbou P</w:t>
      </w:r>
      <w:r w:rsidR="00962A95">
        <w:t>O </w:t>
      </w:r>
      <w:r w:rsidR="006650A8">
        <w:t xml:space="preserve">je vykázaný </w:t>
      </w:r>
      <w:r w:rsidR="008E058B">
        <w:t xml:space="preserve">skutečný </w:t>
      </w:r>
      <w:r w:rsidR="006650A8">
        <w:t xml:space="preserve">záporný kalkulační zisk. </w:t>
      </w:r>
      <w:r w:rsidR="00B13EFA" w:rsidRPr="00B13EFA">
        <w:t xml:space="preserve">Proces nastavení ceny  je významně ovlivňován vlastníky VIM. Mnozí vlastníci se rozhodnou </w:t>
      </w:r>
      <w:r w:rsidR="00962A95">
        <w:t>pro </w:t>
      </w:r>
      <w:r w:rsidR="00FA53CA">
        <w:rPr>
          <w:b/>
        </w:rPr>
        <w:t>cílenou</w:t>
      </w:r>
      <w:r w:rsidR="00B13EFA" w:rsidRPr="00CF09CB">
        <w:rPr>
          <w:b/>
        </w:rPr>
        <w:t xml:space="preserve"> dotaci ceny</w:t>
      </w:r>
      <w:r w:rsidR="00B13EFA" w:rsidRPr="00B13EFA">
        <w:t>, co</w:t>
      </w:r>
      <w:r w:rsidR="006650A8">
        <w:t>ž</w:t>
      </w:r>
      <w:r w:rsidR="00B13EFA" w:rsidRPr="00B13EFA">
        <w:t xml:space="preserve"> se </w:t>
      </w:r>
      <w:r w:rsidR="00962A95">
        <w:t>v </w:t>
      </w:r>
      <w:r w:rsidR="00B13EFA" w:rsidRPr="00B13EFA">
        <w:t xml:space="preserve">kalkulaci ceny realizuje použitím </w:t>
      </w:r>
      <w:r w:rsidR="00B13EFA" w:rsidRPr="00B13EFA">
        <w:rPr>
          <w:b/>
        </w:rPr>
        <w:t>záporné hodnoty kalkulačníh</w:t>
      </w:r>
      <w:r w:rsidR="00962A95">
        <w:rPr>
          <w:b/>
        </w:rPr>
        <w:t>o </w:t>
      </w:r>
      <w:r w:rsidR="00B13EFA" w:rsidRPr="00B13EFA">
        <w:rPr>
          <w:b/>
        </w:rPr>
        <w:t>zisku</w:t>
      </w:r>
      <w:r w:rsidR="00B53DD6">
        <w:rPr>
          <w:b/>
        </w:rPr>
        <w:t xml:space="preserve"> </w:t>
      </w:r>
      <w:r w:rsidR="00B53DD6" w:rsidRPr="00B53DD6">
        <w:t>již při sestavování plánové kalkul</w:t>
      </w:r>
      <w:r w:rsidR="00B53DD6">
        <w:t>a</w:t>
      </w:r>
      <w:r w:rsidR="00B53DD6" w:rsidRPr="00B53DD6">
        <w:t>ce</w:t>
      </w:r>
      <w:r w:rsidR="00B13EFA" w:rsidRPr="00B13EFA">
        <w:rPr>
          <w:b/>
        </w:rPr>
        <w:t>.</w:t>
      </w:r>
      <w:r w:rsidR="00B13EFA" w:rsidRPr="00B13EFA">
        <w:t xml:space="preserve"> </w:t>
      </w:r>
      <w:r w:rsidR="00962A95">
        <w:t>Z </w:t>
      </w:r>
      <w:r>
        <w:t xml:space="preserve">hlediska záměru regulátora </w:t>
      </w:r>
      <w:r w:rsidR="008E058B">
        <w:t xml:space="preserve">méně závažnou příčinou dosažení </w:t>
      </w:r>
      <w:r>
        <w:t>zápornéh</w:t>
      </w:r>
      <w:r w:rsidR="00962A95">
        <w:t>o </w:t>
      </w:r>
      <w:r>
        <w:t>kalkulačníh</w:t>
      </w:r>
      <w:r w:rsidR="00962A95">
        <w:t>o </w:t>
      </w:r>
      <w:r>
        <w:t xml:space="preserve">zisku jsou </w:t>
      </w:r>
      <w:r w:rsidRPr="00CF09CB">
        <w:rPr>
          <w:b/>
        </w:rPr>
        <w:t>nepředvídané okolnosti</w:t>
      </w:r>
      <w:r w:rsidR="00FA53CA">
        <w:rPr>
          <w:b/>
        </w:rPr>
        <w:t xml:space="preserve"> (ztrátové hospodaření)</w:t>
      </w:r>
      <w:r>
        <w:t>.</w:t>
      </w:r>
      <w:r w:rsidR="00B13EFA" w:rsidRPr="00B13EFA">
        <w:t xml:space="preserve"> </w:t>
      </w:r>
    </w:p>
    <w:p w14:paraId="3BB94AA1" w14:textId="1F72FF23" w:rsidR="00B13EFA" w:rsidRPr="00876703" w:rsidRDefault="00962A95" w:rsidP="00636AF2">
      <w:pPr>
        <w:pStyle w:val="NORMLN0"/>
      </w:pPr>
      <w:r>
        <w:t>Z </w:t>
      </w:r>
      <w:r w:rsidR="00B13EFA" w:rsidRPr="00876703">
        <w:t>2 031</w:t>
      </w:r>
      <w:r w:rsidR="00636AF2" w:rsidRPr="0085289B">
        <w:t xml:space="preserve"> analyzovaných Porovnání se </w:t>
      </w:r>
      <w:r>
        <w:t>v </w:t>
      </w:r>
      <w:r w:rsidR="00B13EFA" w:rsidRPr="0085289B">
        <w:t>1 106</w:t>
      </w:r>
      <w:r w:rsidR="00636AF2" w:rsidRPr="0085289B">
        <w:t xml:space="preserve"> případech (tj. </w:t>
      </w:r>
      <w:r w:rsidR="00B13EFA" w:rsidRPr="0085289B">
        <w:t>54</w:t>
      </w:r>
      <w:r w:rsidR="00B13EFA" w:rsidRPr="00D045D8">
        <w:t>,46</w:t>
      </w:r>
      <w:r w:rsidR="00636AF2" w:rsidRPr="00D045D8">
        <w:t xml:space="preserve"> % Porovnání) vyskytuje záporná hodnota </w:t>
      </w:r>
      <w:r w:rsidR="006650A8">
        <w:t>skutečně dosaženéh</w:t>
      </w:r>
      <w:r>
        <w:t>o </w:t>
      </w:r>
      <w:r w:rsidR="00636AF2" w:rsidRPr="00876703">
        <w:t>kalkulačníh</w:t>
      </w:r>
      <w:r>
        <w:t>o </w:t>
      </w:r>
      <w:r w:rsidR="00636AF2" w:rsidRPr="00876703">
        <w:t xml:space="preserve">zisku. </w:t>
      </w:r>
      <w:r>
        <w:t>Z </w:t>
      </w:r>
      <w:r w:rsidR="00636AF2" w:rsidRPr="00876703">
        <w:t xml:space="preserve">hlediska objemu pitné vody fakturované se jedná </w:t>
      </w:r>
      <w:r>
        <w:t>o </w:t>
      </w:r>
      <w:r w:rsidR="00B13EFA" w:rsidRPr="00876703">
        <w:t>31,71</w:t>
      </w:r>
      <w:r w:rsidR="00636AF2" w:rsidRPr="00876703">
        <w:t> mil. m</w:t>
      </w:r>
      <w:r w:rsidR="00636AF2" w:rsidRPr="00876703">
        <w:rPr>
          <w:vertAlign w:val="superscript"/>
        </w:rPr>
        <w:t>3</w:t>
      </w:r>
      <w:r w:rsidR="00636AF2" w:rsidRPr="0085289B">
        <w:t xml:space="preserve">. </w:t>
      </w:r>
      <w:r w:rsidR="00636AF2" w:rsidRPr="00D045D8">
        <w:t>Zajímav</w:t>
      </w:r>
      <w:r w:rsidR="006650A8">
        <w:t>ou informací</w:t>
      </w:r>
      <w:r w:rsidR="00DE53F8">
        <w:t xml:space="preserve"> u </w:t>
      </w:r>
      <w:r w:rsidR="006650A8">
        <w:t>těcht</w:t>
      </w:r>
      <w:r>
        <w:t>o </w:t>
      </w:r>
      <w:r w:rsidR="006650A8">
        <w:t xml:space="preserve">Porovnání je </w:t>
      </w:r>
      <w:r w:rsidR="00636AF2" w:rsidRPr="00CF09CB">
        <w:t>plánovaný kalkulační zis</w:t>
      </w:r>
      <w:r>
        <w:t>k </w:t>
      </w:r>
      <w:r w:rsidR="00636AF2" w:rsidRPr="00876703">
        <w:t xml:space="preserve">vyjadřující skutečnost, zda vlastníci </w:t>
      </w:r>
      <w:r>
        <w:t>při </w:t>
      </w:r>
      <w:r w:rsidR="00636AF2" w:rsidRPr="00876703">
        <w:t xml:space="preserve">sestavování kalkulace ceny </w:t>
      </w:r>
      <w:r>
        <w:t>pro </w:t>
      </w:r>
      <w:r w:rsidR="00636AF2" w:rsidRPr="00876703">
        <w:t xml:space="preserve">vodné </w:t>
      </w:r>
      <w:r w:rsidR="006650A8">
        <w:t>ztrátu již plánovali.</w:t>
      </w:r>
      <w:r w:rsidR="00636AF2" w:rsidRPr="00876703">
        <w:t xml:space="preserve"> Tat</w:t>
      </w:r>
      <w:r>
        <w:t>o </w:t>
      </w:r>
      <w:r w:rsidR="00636AF2" w:rsidRPr="00876703">
        <w:t>skutečnost byla zjiště</w:t>
      </w:r>
      <w:r>
        <w:t>na</w:t>
      </w:r>
      <w:r w:rsidR="00DE53F8">
        <w:t xml:space="preserve"> u </w:t>
      </w:r>
      <w:r w:rsidR="00B13EFA" w:rsidRPr="00CF09CB">
        <w:t xml:space="preserve">421 </w:t>
      </w:r>
      <w:r w:rsidR="00636AF2" w:rsidRPr="00CF09CB">
        <w:t>Porovnání (</w:t>
      </w:r>
      <w:r w:rsidR="006650A8">
        <w:t xml:space="preserve">tj. </w:t>
      </w:r>
      <w:r w:rsidR="00B13EFA" w:rsidRPr="00CF09CB">
        <w:t>1,56</w:t>
      </w:r>
      <w:r w:rsidR="00636AF2" w:rsidRPr="00CF09CB">
        <w:t>% podíl trhu)</w:t>
      </w:r>
      <w:r w:rsidR="006650A8">
        <w:t xml:space="preserve"> s nejvyšším výskytem</w:t>
      </w:r>
      <w:r w:rsidR="00636AF2" w:rsidRPr="00876703">
        <w:t xml:space="preserve"> </w:t>
      </w:r>
      <w:r>
        <w:t>ve </w:t>
      </w:r>
      <w:r w:rsidR="00636AF2" w:rsidRPr="00876703">
        <w:t>IV. a V. vlastnické skupině.</w:t>
      </w:r>
      <w:r w:rsidR="00371EFB">
        <w:t xml:space="preserve"> </w:t>
      </w:r>
      <w:r w:rsidR="006650A8">
        <w:t>Neplánované ztrátové hospodaření</w:t>
      </w:r>
      <w:r w:rsidR="00B13EFA" w:rsidRPr="00CF09CB">
        <w:t xml:space="preserve"> </w:t>
      </w:r>
      <w:r w:rsidR="00B13EFA" w:rsidRPr="00876703">
        <w:t>byl</w:t>
      </w:r>
      <w:r>
        <w:t>o </w:t>
      </w:r>
      <w:r w:rsidR="00B13EFA" w:rsidRPr="00876703">
        <w:t>dosažen</w:t>
      </w:r>
      <w:r>
        <w:t>o</w:t>
      </w:r>
      <w:r w:rsidR="00DE53F8">
        <w:t xml:space="preserve"> u </w:t>
      </w:r>
      <w:r w:rsidR="00B13EFA" w:rsidRPr="00876703">
        <w:t>685 Porovnání (</w:t>
      </w:r>
      <w:r w:rsidR="006650A8">
        <w:t>tj.</w:t>
      </w:r>
      <w:r w:rsidR="00B13EFA" w:rsidRPr="00CF09CB">
        <w:t xml:space="preserve"> 5,06% podíl trhu). </w:t>
      </w:r>
      <w:r>
        <w:t>Pro </w:t>
      </w:r>
      <w:r w:rsidR="00B83E76" w:rsidRPr="00876703">
        <w:t>úplnost uvádíme, že</w:t>
      </w:r>
      <w:r w:rsidR="00DE53F8">
        <w:t xml:space="preserve"> u </w:t>
      </w:r>
      <w:r w:rsidR="00B83E76" w:rsidRPr="00876703">
        <w:t>30 Porovnání byl kalkulován nulový kalkulační zis</w:t>
      </w:r>
      <w:r>
        <w:t>k </w:t>
      </w:r>
      <w:r w:rsidR="00B83E76" w:rsidRPr="00876703">
        <w:t>a byl</w:t>
      </w:r>
      <w:r>
        <w:t>o </w:t>
      </w:r>
      <w:r w:rsidR="00B83E76" w:rsidRPr="00876703">
        <w:t>dosažen</w:t>
      </w:r>
      <w:r>
        <w:t>o </w:t>
      </w:r>
      <w:r w:rsidR="00B83E76" w:rsidRPr="00876703">
        <w:t>zisku (</w:t>
      </w:r>
      <w:r w:rsidR="006650A8">
        <w:t>tj.</w:t>
      </w:r>
      <w:r w:rsidR="00B83E76" w:rsidRPr="00CF09CB">
        <w:t xml:space="preserve"> 0,08% podíl trhu)</w:t>
      </w:r>
      <w:r w:rsidR="00B83E76" w:rsidRPr="00876703">
        <w:t xml:space="preserve">. </w:t>
      </w:r>
    </w:p>
    <w:p w14:paraId="4E70CACB" w14:textId="5FCD07B7" w:rsidR="00636AF2" w:rsidRPr="00B13EFA" w:rsidRDefault="00636AF2" w:rsidP="00636AF2">
      <w:pPr>
        <w:pStyle w:val="NORMLN0"/>
      </w:pPr>
      <w:r w:rsidRPr="00B13EFA">
        <w:t>Následující tabulka obsahuje</w:t>
      </w:r>
      <w:r w:rsidR="006650A8">
        <w:t xml:space="preserve"> informace </w:t>
      </w:r>
      <w:r w:rsidR="00962A95">
        <w:t>o </w:t>
      </w:r>
      <w:r w:rsidRPr="00B13EFA">
        <w:t>rozložení používání zápornéh</w:t>
      </w:r>
      <w:r w:rsidR="00962A95">
        <w:t>o</w:t>
      </w:r>
      <w:r w:rsidR="008E058B">
        <w:t xml:space="preserve"> </w:t>
      </w:r>
      <w:r w:rsidRPr="00B13EFA">
        <w:t>kalkulačníh</w:t>
      </w:r>
      <w:r w:rsidR="00962A95">
        <w:t>o</w:t>
      </w:r>
      <w:r w:rsidR="008E058B">
        <w:t xml:space="preserve"> </w:t>
      </w:r>
      <w:r w:rsidRPr="00B13EFA">
        <w:t>zisku podle jednotlivých skupin.</w:t>
      </w:r>
    </w:p>
    <w:p w14:paraId="5820B273" w14:textId="77777777" w:rsidR="00636AF2" w:rsidRDefault="00636AF2" w:rsidP="00636AF2">
      <w:pPr>
        <w:pStyle w:val="Normlnzprva"/>
        <w:ind w:firstLine="0"/>
      </w:pPr>
    </w:p>
    <w:tbl>
      <w:tblPr>
        <w:tblW w:w="558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946"/>
        <w:gridCol w:w="1376"/>
        <w:gridCol w:w="1326"/>
        <w:gridCol w:w="1402"/>
        <w:gridCol w:w="1266"/>
        <w:gridCol w:w="1503"/>
      </w:tblGrid>
      <w:tr w:rsidR="00636AF2" w:rsidRPr="000A02AF" w14:paraId="4B15FC16" w14:textId="77777777" w:rsidTr="00650D75">
        <w:trPr>
          <w:trHeight w:val="136"/>
          <w:jc w:val="center"/>
        </w:trPr>
        <w:tc>
          <w:tcPr>
            <w:tcW w:w="114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796AC469" w14:textId="77777777" w:rsidR="00636AF2" w:rsidRPr="000A02AF" w:rsidRDefault="00636AF2" w:rsidP="00636AF2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5B9BD5" w:themeFill="accent1"/>
            <w:vAlign w:val="center"/>
          </w:tcPr>
          <w:p w14:paraId="0FFDD9CC" w14:textId="13FD1610" w:rsidR="00636AF2" w:rsidRPr="000A02AF" w:rsidRDefault="00636AF2" w:rsidP="00636AF2">
            <w:pPr>
              <w:jc w:val="center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0A02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Záporný kalkulační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na </w:t>
            </w:r>
            <w:r w:rsidRPr="000A02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Porovnání</w:t>
            </w:r>
          </w:p>
        </w:tc>
        <w:tc>
          <w:tcPr>
            <w:tcW w:w="1326" w:type="pct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14:paraId="18991F15" w14:textId="4E9E2A0A" w:rsidR="00636AF2" w:rsidRPr="000A02AF" w:rsidRDefault="00636AF2" w:rsidP="00636AF2">
            <w:pPr>
              <w:jc w:val="center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0A02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 xml:space="preserve">Cílená dotace ceny 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pro </w:t>
            </w:r>
            <w:r w:rsidRPr="000A02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vodné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C7A1E3"/>
            <w:vAlign w:val="center"/>
          </w:tcPr>
          <w:p w14:paraId="454A3668" w14:textId="77777777" w:rsidR="00636AF2" w:rsidRPr="000A02AF" w:rsidRDefault="00636AF2" w:rsidP="00636AF2">
            <w:pPr>
              <w:jc w:val="center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0A02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Ztrátové hospodaření</w:t>
            </w:r>
          </w:p>
        </w:tc>
      </w:tr>
      <w:tr w:rsidR="00636AF2" w:rsidRPr="000A02AF" w14:paraId="7AC470BA" w14:textId="77777777" w:rsidTr="00650D75">
        <w:trPr>
          <w:trHeight w:val="136"/>
          <w:jc w:val="center"/>
        </w:trPr>
        <w:tc>
          <w:tcPr>
            <w:tcW w:w="114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5B9BD5" w:themeFill="accent1"/>
            <w:vAlign w:val="center"/>
            <w:hideMark/>
          </w:tcPr>
          <w:p w14:paraId="2574BCB3" w14:textId="77777777" w:rsidR="00636AF2" w:rsidRPr="00403BAF" w:rsidRDefault="00636AF2" w:rsidP="00636AF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403BAF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VLASTNICKÁ SKUPINA</w:t>
            </w:r>
          </w:p>
        </w:tc>
        <w:tc>
          <w:tcPr>
            <w:tcW w:w="46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5B9BD5" w:themeFill="accent1"/>
            <w:vAlign w:val="center"/>
            <w:hideMark/>
          </w:tcPr>
          <w:p w14:paraId="0A77D74D" w14:textId="77777777" w:rsidR="00636AF2" w:rsidRPr="00403BAF" w:rsidRDefault="00636AF2" w:rsidP="00636AF2">
            <w:pPr>
              <w:spacing w:before="0" w:after="0"/>
              <w:contextualSpacing w:val="0"/>
              <w:jc w:val="left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  <w:lang w:eastAsia="cs-CZ"/>
              </w:rPr>
            </w:pP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Počet porovnání - záporný kalkulační zisk</w:t>
            </w: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5B9BD5" w:themeFill="accent1"/>
            <w:vAlign w:val="center"/>
            <w:hideMark/>
          </w:tcPr>
          <w:p w14:paraId="328B6842" w14:textId="485B42C8" w:rsidR="00636AF2" w:rsidRPr="00403BAF" w:rsidRDefault="00636AF2" w:rsidP="00636AF2">
            <w:pPr>
              <w:jc w:val="left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 xml:space="preserve">objem fakturované vody 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v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mil. m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  <w:vertAlign w:val="superscript"/>
              </w:rPr>
              <w:t>3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_záporný kalkulační zisk</w:t>
            </w:r>
          </w:p>
        </w:tc>
        <w:tc>
          <w:tcPr>
            <w:tcW w:w="628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292B8A2A" w14:textId="51550692" w:rsidR="00636AF2" w:rsidRPr="00403BAF" w:rsidRDefault="00636AF2" w:rsidP="00636AF2">
            <w:pPr>
              <w:jc w:val="left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Počet porovnání - záporný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kalkulován a záporný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dosažen</w:t>
            </w:r>
          </w:p>
        </w:tc>
        <w:tc>
          <w:tcPr>
            <w:tcW w:w="698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06602D1A" w14:textId="443A9ECA" w:rsidR="00636AF2" w:rsidRPr="00403BAF" w:rsidRDefault="00636AF2" w:rsidP="00636AF2">
            <w:pPr>
              <w:jc w:val="left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 xml:space="preserve">objem fakturované vody 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v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mil. m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  <w:vertAlign w:val="superscript"/>
              </w:rPr>
              <w:t>3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_záporný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kalkulován a záporný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dosažen</w:t>
            </w:r>
          </w:p>
        </w:tc>
        <w:tc>
          <w:tcPr>
            <w:tcW w:w="630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C7A1E3"/>
            <w:vAlign w:val="center"/>
            <w:hideMark/>
          </w:tcPr>
          <w:p w14:paraId="32AEE8A2" w14:textId="7F016622" w:rsidR="00636AF2" w:rsidRPr="00403BAF" w:rsidRDefault="00636AF2" w:rsidP="00636AF2">
            <w:pPr>
              <w:jc w:val="left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Počet Porovnání - kalkulován kladný neb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o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nulový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a dosažen záporný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C7A1E3"/>
            <w:vAlign w:val="center"/>
            <w:hideMark/>
          </w:tcPr>
          <w:p w14:paraId="7B1F4C70" w14:textId="1A42362D" w:rsidR="00636AF2" w:rsidRPr="00403BAF" w:rsidRDefault="00636AF2" w:rsidP="00636AF2">
            <w:pPr>
              <w:jc w:val="left"/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</w:pP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 xml:space="preserve">objem fakturované vody 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v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mil. m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  <w:vertAlign w:val="superscript"/>
              </w:rPr>
              <w:t>3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_kalkulován kladný neb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o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nulový zis</w:t>
            </w:r>
            <w:r w:rsidR="00962A95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k </w:t>
            </w:r>
            <w:r w:rsidRPr="00403BAF">
              <w:rPr>
                <w:rFonts w:asciiTheme="majorHAnsi" w:hAnsiTheme="majorHAnsi"/>
                <w:b/>
                <w:bCs/>
                <w:iCs/>
                <w:smallCaps/>
                <w:color w:val="FFFFFF" w:themeColor="background1"/>
                <w:sz w:val="20"/>
                <w:szCs w:val="20"/>
              </w:rPr>
              <w:t>a dosažen záporný</w:t>
            </w:r>
          </w:p>
        </w:tc>
      </w:tr>
      <w:tr w:rsidR="00650D75" w:rsidRPr="000A02AF" w14:paraId="4BF10733" w14:textId="77777777" w:rsidTr="00650D75">
        <w:trPr>
          <w:trHeight w:val="269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D257C24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  <w:t>I.skupina(&gt;10 000mil.Kč)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2185290" w14:textId="77777777" w:rsidR="00650D75" w:rsidRDefault="00650D75" w:rsidP="00650D7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A241DD9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569A0F3C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6F4755DF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7A1E3"/>
            <w:vAlign w:val="center"/>
            <w:hideMark/>
          </w:tcPr>
          <w:p w14:paraId="1EB64D7D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7A1E3"/>
            <w:vAlign w:val="center"/>
            <w:hideMark/>
          </w:tcPr>
          <w:p w14:paraId="52C78974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650D75" w:rsidRPr="000A02AF" w14:paraId="2BD1AB80" w14:textId="77777777" w:rsidTr="00650D75">
        <w:trPr>
          <w:trHeight w:val="300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8AE041E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  <w:t>II.skupina(&gt;1 000mil.Kč)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6E0F5DF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F455955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280EC3E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6F3E29D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DCF4"/>
            <w:vAlign w:val="center"/>
            <w:hideMark/>
          </w:tcPr>
          <w:p w14:paraId="55495D94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ADCF4"/>
            <w:vAlign w:val="center"/>
            <w:hideMark/>
          </w:tcPr>
          <w:p w14:paraId="7A97C79C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0,20</w:t>
            </w:r>
          </w:p>
        </w:tc>
      </w:tr>
      <w:tr w:rsidR="00650D75" w:rsidRPr="000A02AF" w14:paraId="6D08E0BA" w14:textId="77777777" w:rsidTr="00650D75">
        <w:trPr>
          <w:trHeight w:val="300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5AD22D8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  <w:t>III.skupina(&gt;100mil.Kč)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E1E8E09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53BD9BD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141D2C36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3E35D388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7A1E3"/>
            <w:vAlign w:val="center"/>
            <w:hideMark/>
          </w:tcPr>
          <w:p w14:paraId="3200DFEC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7A1E3"/>
            <w:vAlign w:val="center"/>
            <w:hideMark/>
          </w:tcPr>
          <w:p w14:paraId="669B4091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7,62</w:t>
            </w:r>
          </w:p>
        </w:tc>
      </w:tr>
      <w:tr w:rsidR="00650D75" w:rsidRPr="000A02AF" w14:paraId="5006DCA4" w14:textId="77777777" w:rsidTr="00650D75">
        <w:trPr>
          <w:trHeight w:val="300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8A2288C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  <w:t>IV.skupina(&gt;10mil.Kč)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FFA48C4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FC67319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B3A7581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CBA8D29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DCF4"/>
            <w:vAlign w:val="center"/>
            <w:hideMark/>
          </w:tcPr>
          <w:p w14:paraId="7BC639AE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ADCF4"/>
            <w:vAlign w:val="center"/>
            <w:hideMark/>
          </w:tcPr>
          <w:p w14:paraId="7E9FB59A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11,87</w:t>
            </w:r>
          </w:p>
        </w:tc>
      </w:tr>
      <w:tr w:rsidR="00650D75" w:rsidRPr="000A02AF" w14:paraId="09BE521B" w14:textId="77777777" w:rsidTr="00650D75">
        <w:trPr>
          <w:trHeight w:val="300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24B579F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  <w:t>V.skupina(&gt;1mil.Kč)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F6D32A6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B3CD382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178B0DD4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4C9E2B32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7A1E3"/>
            <w:vAlign w:val="center"/>
            <w:hideMark/>
          </w:tcPr>
          <w:p w14:paraId="6AEC0B4E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7A1E3"/>
            <w:vAlign w:val="center"/>
            <w:hideMark/>
          </w:tcPr>
          <w:p w14:paraId="7C7AAFFC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4,31</w:t>
            </w:r>
          </w:p>
        </w:tc>
      </w:tr>
      <w:tr w:rsidR="00650D75" w:rsidRPr="000A02AF" w14:paraId="754158A1" w14:textId="77777777" w:rsidTr="00650D75">
        <w:trPr>
          <w:trHeight w:val="300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5609D83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cs-CZ"/>
              </w:rPr>
              <w:t>VI.skupina(&lt;1mil.Kč)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687A446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CB5EAAB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49F888C6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EA3E7EC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DCF4"/>
            <w:vAlign w:val="center"/>
            <w:hideMark/>
          </w:tcPr>
          <w:p w14:paraId="51053A53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ADCF4"/>
            <w:vAlign w:val="center"/>
            <w:hideMark/>
          </w:tcPr>
          <w:p w14:paraId="509B6A14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0,15</w:t>
            </w:r>
          </w:p>
        </w:tc>
      </w:tr>
      <w:tr w:rsidR="00650D75" w:rsidRPr="000A02AF" w14:paraId="1981F93C" w14:textId="77777777" w:rsidTr="00650D75">
        <w:trPr>
          <w:trHeight w:val="300"/>
          <w:jc w:val="center"/>
        </w:trPr>
        <w:tc>
          <w:tcPr>
            <w:tcW w:w="1144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6F210BF" w14:textId="77777777" w:rsidR="00650D75" w:rsidRPr="000A02AF" w:rsidRDefault="00650D75" w:rsidP="00650D7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cs-CZ"/>
              </w:rPr>
            </w:pPr>
            <w:r w:rsidRPr="000A02AF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F795DC1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68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E0EA44F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31,71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32C23375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9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14:paraId="5F3CD14A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63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C7A1E3"/>
            <w:vAlign w:val="center"/>
            <w:hideMark/>
          </w:tcPr>
          <w:p w14:paraId="3B35F028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685</w:t>
            </w:r>
          </w:p>
        </w:tc>
        <w:tc>
          <w:tcPr>
            <w:tcW w:w="747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C7A1E3"/>
            <w:vAlign w:val="center"/>
            <w:hideMark/>
          </w:tcPr>
          <w:p w14:paraId="1F4AF411" w14:textId="77777777" w:rsidR="00650D75" w:rsidRDefault="00650D75" w:rsidP="00650D7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24,14</w:t>
            </w:r>
          </w:p>
        </w:tc>
      </w:tr>
    </w:tbl>
    <w:p w14:paraId="2A432A18" w14:textId="77777777" w:rsidR="00636AF2" w:rsidRDefault="00636AF2" w:rsidP="00636AF2">
      <w:pPr>
        <w:pStyle w:val="Normlnzprva"/>
      </w:pPr>
    </w:p>
    <w:p w14:paraId="6DB2B681" w14:textId="006ABFB8" w:rsidR="00650D75" w:rsidRDefault="00636AF2" w:rsidP="00B83E76">
      <w:pPr>
        <w:pStyle w:val="NORMLN0"/>
      </w:pPr>
      <w:r>
        <w:t xml:space="preserve">Důvodem, který může vlastníky </w:t>
      </w:r>
      <w:r w:rsidR="00962A95">
        <w:t>k </w:t>
      </w:r>
      <w:r>
        <w:t>cílené dotaci ceny vést, je zejmé</w:t>
      </w:r>
      <w:r w:rsidR="00962A95">
        <w:t>na </w:t>
      </w:r>
      <w:r>
        <w:t xml:space="preserve">udržení ceny </w:t>
      </w:r>
      <w:r w:rsidR="00962A95">
        <w:t>pro </w:t>
      </w:r>
      <w:r>
        <w:t xml:space="preserve">vodné </w:t>
      </w:r>
      <w:r w:rsidR="00962A95">
        <w:t>na </w:t>
      </w:r>
      <w:r>
        <w:t>určité úrovni. Pokud je vlastní</w:t>
      </w:r>
      <w:r w:rsidR="00962A95">
        <w:t>k </w:t>
      </w:r>
      <w:r>
        <w:t xml:space="preserve">nucen přistoupit </w:t>
      </w:r>
      <w:r w:rsidR="00962A95">
        <w:t>k </w:t>
      </w:r>
      <w:r>
        <w:t xml:space="preserve">dotaci ceny </w:t>
      </w:r>
      <w:r w:rsidR="00962A95">
        <w:t>z</w:t>
      </w:r>
      <w:r w:rsidR="008E058B">
        <w:t> </w:t>
      </w:r>
      <w:r>
        <w:t>důvodu</w:t>
      </w:r>
      <w:r w:rsidR="008E058B">
        <w:t xml:space="preserve"> </w:t>
      </w:r>
      <w:r w:rsidR="006E6042">
        <w:t>zabezpečení</w:t>
      </w:r>
      <w:r>
        <w:t xml:space="preserve"> její sociální únosnosti, l</w:t>
      </w:r>
      <w:r w:rsidR="00962A95">
        <w:t>ze </w:t>
      </w:r>
      <w:r>
        <w:t>konstatovat, že se ta</w:t>
      </w:r>
      <w:r w:rsidR="00962A95">
        <w:t>k </w:t>
      </w:r>
      <w:r>
        <w:t xml:space="preserve">děje </w:t>
      </w:r>
      <w:r w:rsidR="00962A95">
        <w:t>v </w:t>
      </w:r>
      <w:r>
        <w:t>důsledku vysoké atomizace trhu (tzn.,</w:t>
      </w:r>
      <w:r w:rsidR="00B83E76">
        <w:t xml:space="preserve"> že </w:t>
      </w:r>
      <w:r>
        <w:t>vlastní</w:t>
      </w:r>
      <w:r w:rsidR="00962A95">
        <w:t>k </w:t>
      </w:r>
      <w:r>
        <w:t xml:space="preserve">fakturuje příliš nízké množství vody, </w:t>
      </w:r>
      <w:r w:rsidR="00962A95">
        <w:t>než </w:t>
      </w:r>
      <w:r>
        <w:t xml:space="preserve">aby mohl využívat úspory </w:t>
      </w:r>
      <w:r w:rsidR="00962A95">
        <w:t>z </w:t>
      </w:r>
      <w:r>
        <w:t xml:space="preserve">rozsahu). </w:t>
      </w:r>
      <w:r w:rsidR="00962A95">
        <w:t>Z </w:t>
      </w:r>
      <w:r>
        <w:t>dlouhodobéh</w:t>
      </w:r>
      <w:r w:rsidR="00962A95">
        <w:t>o </w:t>
      </w:r>
      <w:r>
        <w:t>hlediska vša</w:t>
      </w:r>
      <w:r w:rsidR="00962A95">
        <w:t>k </w:t>
      </w:r>
      <w:r>
        <w:t>tent</w:t>
      </w:r>
      <w:r w:rsidR="00962A95">
        <w:t>o </w:t>
      </w:r>
      <w:r>
        <w:t>přístup zabraňuje plnění záměru dosažení samofinancovatelnosti VIM a zvyšuje se rizik</w:t>
      </w:r>
      <w:r w:rsidR="00962A95">
        <w:t>o </w:t>
      </w:r>
      <w:r w:rsidRPr="000937F8">
        <w:t>zatížení budoucích generací</w:t>
      </w:r>
      <w:r>
        <w:t xml:space="preserve"> </w:t>
      </w:r>
      <w:r w:rsidRPr="000937F8">
        <w:t xml:space="preserve">výdaji </w:t>
      </w:r>
      <w:r w:rsidR="00962A95">
        <w:lastRenderedPageBreak/>
        <w:t>na </w:t>
      </w:r>
      <w:r w:rsidRPr="000937F8">
        <w:t>obnovu VIM buď formou státních dotací</w:t>
      </w:r>
      <w:r>
        <w:t>,</w:t>
      </w:r>
      <w:r w:rsidRPr="000937F8">
        <w:t xml:space="preserve"> neb</w:t>
      </w:r>
      <w:r w:rsidR="00962A95">
        <w:t>o </w:t>
      </w:r>
      <w:r w:rsidRPr="000937F8">
        <w:t xml:space="preserve">skokově zvýšenou cenou </w:t>
      </w:r>
      <w:r w:rsidR="00962A95">
        <w:t>pro </w:t>
      </w:r>
      <w:r w:rsidRPr="000937F8">
        <w:t>vodné</w:t>
      </w:r>
      <w:r>
        <w:t>, pokud vlastní</w:t>
      </w:r>
      <w:r w:rsidR="00962A95">
        <w:t>k o </w:t>
      </w:r>
      <w:r>
        <w:t xml:space="preserve">VIM dostatečně systematicky nepečuje a </w:t>
      </w:r>
      <w:r w:rsidR="00B83E76">
        <w:t xml:space="preserve">nefinancuje VIM </w:t>
      </w:r>
      <w:r w:rsidR="00962A95">
        <w:t>z </w:t>
      </w:r>
      <w:r w:rsidR="00B83E76">
        <w:t xml:space="preserve">jiných příjmů. </w:t>
      </w:r>
    </w:p>
    <w:p w14:paraId="7C106041" w14:textId="05E36124" w:rsidR="00636AF2" w:rsidRPr="00C62639" w:rsidRDefault="00636AF2" w:rsidP="00636AF2">
      <w:pPr>
        <w:pStyle w:val="Nadpis3"/>
        <w:rPr>
          <w:rFonts w:asciiTheme="minorHAnsi" w:hAnsiTheme="minorHAnsi"/>
          <w:noProof/>
        </w:rPr>
      </w:pPr>
      <w:bookmarkStart w:id="61" w:name="_Toc963484"/>
      <w:bookmarkStart w:id="62" w:name="_Toc34210394"/>
      <w:r w:rsidRPr="00C62639">
        <w:rPr>
          <w:rFonts w:asciiTheme="minorHAnsi" w:hAnsiTheme="minorHAnsi"/>
          <w:noProof/>
        </w:rPr>
        <w:t xml:space="preserve">Výskyt anomálii </w:t>
      </w:r>
      <w:r w:rsidR="00962A95">
        <w:rPr>
          <w:rFonts w:asciiTheme="minorHAnsi" w:hAnsiTheme="minorHAnsi"/>
          <w:noProof/>
        </w:rPr>
        <w:t>v </w:t>
      </w:r>
      <w:r w:rsidRPr="00C62639">
        <w:rPr>
          <w:rFonts w:asciiTheme="minorHAnsi" w:hAnsiTheme="minorHAnsi"/>
          <w:noProof/>
        </w:rPr>
        <w:t>jednotlivých skupinách vlastníků</w:t>
      </w:r>
      <w:bookmarkEnd w:id="61"/>
      <w:bookmarkEnd w:id="62"/>
    </w:p>
    <w:p w14:paraId="1B49A550" w14:textId="49774323" w:rsidR="00636AF2" w:rsidRDefault="00A37FCB" w:rsidP="00636AF2">
      <w:pPr>
        <w:pStyle w:val="NORMLN0"/>
      </w:pPr>
      <w:r>
        <w:rPr>
          <w:noProof/>
        </w:rPr>
        <w:object w:dxaOrig="1440" w:dyaOrig="1440" w14:anchorId="24D61E59">
          <v:shape id="_x0000_s1031" type="#_x0000_t75" style="position:absolute;left:0;text-align:left;margin-left:-37.3pt;margin-top:93.9pt;width:543.5pt;height:180pt;z-index:251681792;mso-position-horizontal-relative:text;mso-position-vertical-relative:text">
            <v:imagedata r:id="rId18" o:title=""/>
            <w10:wrap type="topAndBottom"/>
          </v:shape>
          <o:OLEObject Type="Embed" ProgID="Excel.Sheet.12" ShapeID="_x0000_s1031" DrawAspect="Content" ObjectID="_1662960753" r:id="rId19"/>
        </w:object>
      </w:r>
      <w:r w:rsidR="00636AF2">
        <w:tab/>
      </w:r>
      <w:r w:rsidR="00636AF2" w:rsidRPr="009E7E1B">
        <w:t xml:space="preserve"> </w:t>
      </w:r>
      <w:r w:rsidR="00636AF2">
        <w:t xml:space="preserve">Podle počtu výskytů anomálií </w:t>
      </w:r>
      <w:r w:rsidR="00962A95">
        <w:t>v </w:t>
      </w:r>
      <w:r w:rsidR="00636AF2">
        <w:t>jednotlivých skupinách se jak</w:t>
      </w:r>
      <w:r w:rsidR="00962A95">
        <w:t>o </w:t>
      </w:r>
      <w:r w:rsidR="00636AF2">
        <w:t xml:space="preserve">nejvíce problematickou jeví IV. skupina. </w:t>
      </w:r>
      <w:r w:rsidR="00962A95">
        <w:t>V </w:t>
      </w:r>
      <w:r w:rsidR="00636AF2">
        <w:t>tét</w:t>
      </w:r>
      <w:r w:rsidR="00962A95">
        <w:t>o </w:t>
      </w:r>
      <w:r w:rsidR="00636AF2">
        <w:t xml:space="preserve">skupině byla </w:t>
      </w:r>
      <w:r w:rsidR="008E058B">
        <w:t>u</w:t>
      </w:r>
      <w:r w:rsidR="00962A95">
        <w:t> </w:t>
      </w:r>
      <w:r w:rsidR="00051B13">
        <w:t>91,78</w:t>
      </w:r>
      <w:r w:rsidR="00636AF2">
        <w:t xml:space="preserve"> % Porovnání naleze</w:t>
      </w:r>
      <w:r w:rsidR="00962A95">
        <w:t>na </w:t>
      </w:r>
      <w:r w:rsidR="00636AF2">
        <w:t>alespoň jed</w:t>
      </w:r>
      <w:r w:rsidR="00962A95">
        <w:t>na </w:t>
      </w:r>
      <w:r w:rsidR="00636AF2">
        <w:t>anomálie. Podle objemu fakturované pitné vody byl</w:t>
      </w:r>
      <w:r w:rsidR="00962A95">
        <w:t>o </w:t>
      </w:r>
      <w:r w:rsidR="00EF6737">
        <w:t>celkem</w:t>
      </w:r>
      <w:r w:rsidR="00636AF2">
        <w:t xml:space="preserve"> nejméně jednou anomálií zasažen</w:t>
      </w:r>
      <w:r w:rsidR="00962A95">
        <w:t>o </w:t>
      </w:r>
      <w:r w:rsidR="00636AF2">
        <w:t xml:space="preserve">více </w:t>
      </w:r>
      <w:r w:rsidR="00962A95">
        <w:t>než </w:t>
      </w:r>
      <w:r w:rsidR="00051B13">
        <w:t>82,87</w:t>
      </w:r>
      <w:r w:rsidR="00636AF2">
        <w:t xml:space="preserve"> % objemu pitné vody fakturované. </w:t>
      </w:r>
      <w:r w:rsidR="00962A95">
        <w:t>V </w:t>
      </w:r>
      <w:r w:rsidR="00051B13">
        <w:t>případě I. skupiny se vyskytla anomálie</w:t>
      </w:r>
      <w:r w:rsidR="00DE53F8">
        <w:t xml:space="preserve"> u </w:t>
      </w:r>
      <w:r w:rsidR="00051B13">
        <w:t>všech tří analyzovaných Porovnání</w:t>
      </w:r>
      <w:r w:rsidR="00EF6737">
        <w:t>.</w:t>
      </w:r>
    </w:p>
    <w:p w14:paraId="73579FBD" w14:textId="77777777" w:rsidR="00636AF2" w:rsidRDefault="00636AF2" w:rsidP="00636AF2">
      <w:pPr>
        <w:pStyle w:val="Normlnzprva"/>
        <w:rPr>
          <w:noProof/>
        </w:rPr>
      </w:pPr>
    </w:p>
    <w:p w14:paraId="4CC7C939" w14:textId="77777777" w:rsidR="00DE53F8" w:rsidRDefault="00DE53F8" w:rsidP="00636AF2">
      <w:pPr>
        <w:pStyle w:val="NORMLN0"/>
        <w:rPr>
          <w:noProof/>
        </w:rPr>
      </w:pPr>
    </w:p>
    <w:p w14:paraId="0397FFEA" w14:textId="0CD42697" w:rsidR="00636AF2" w:rsidRDefault="00DE53F8" w:rsidP="00636AF2">
      <w:pPr>
        <w:pStyle w:val="NORMLN0"/>
      </w:pPr>
      <w:r>
        <w:rPr>
          <w:noProof/>
        </w:rPr>
        <w:t>Z</w:t>
      </w:r>
      <w:r w:rsidR="00962A95">
        <w:rPr>
          <w:noProof/>
        </w:rPr>
        <w:t> </w:t>
      </w:r>
      <w:r w:rsidR="000B308B">
        <w:rPr>
          <w:noProof/>
        </w:rPr>
        <w:t>hlediska četnosti výskytů jsou nejvíce ovlivněn</w:t>
      </w:r>
      <w:r>
        <w:rPr>
          <w:noProof/>
        </w:rPr>
        <w:t>á</w:t>
      </w:r>
      <w:r w:rsidR="000B308B">
        <w:rPr>
          <w:noProof/>
        </w:rPr>
        <w:t xml:space="preserve"> Porovnání </w:t>
      </w:r>
      <w:r w:rsidR="00962A95">
        <w:rPr>
          <w:noProof/>
        </w:rPr>
        <w:t>ve </w:t>
      </w:r>
      <w:r w:rsidR="000B308B">
        <w:rPr>
          <w:noProof/>
        </w:rPr>
        <w:t xml:space="preserve">IV., V. a III. skupině. </w:t>
      </w:r>
      <w:r w:rsidR="00962A95">
        <w:rPr>
          <w:noProof/>
        </w:rPr>
        <w:t>V </w:t>
      </w:r>
      <w:r w:rsidR="00636AF2" w:rsidRPr="00C62639">
        <w:rPr>
          <w:noProof/>
        </w:rPr>
        <w:t>následující</w:t>
      </w:r>
      <w:r w:rsidR="000B308B">
        <w:rPr>
          <w:noProof/>
        </w:rPr>
        <w:t xml:space="preserve">ch tabulkách jsou </w:t>
      </w:r>
      <w:r w:rsidR="00636AF2" w:rsidRPr="00C62639">
        <w:rPr>
          <w:noProof/>
        </w:rPr>
        <w:t xml:space="preserve">blíže specifikovány anomálie a jejich rozložení </w:t>
      </w:r>
      <w:r w:rsidR="00962A95">
        <w:rPr>
          <w:noProof/>
        </w:rPr>
        <w:t>ve </w:t>
      </w:r>
      <w:r w:rsidR="000B308B">
        <w:rPr>
          <w:noProof/>
        </w:rPr>
        <w:t xml:space="preserve">všech </w:t>
      </w:r>
      <w:r w:rsidR="00636AF2">
        <w:rPr>
          <w:noProof/>
        </w:rPr>
        <w:t>skupinách</w:t>
      </w:r>
      <w:r w:rsidR="000B308B">
        <w:rPr>
          <w:noProof/>
        </w:rPr>
        <w:t xml:space="preserve"> </w:t>
      </w:r>
      <w:r w:rsidR="00E306C9">
        <w:rPr>
          <w:noProof/>
        </w:rPr>
        <w:t>s uvedením</w:t>
      </w:r>
      <w:r w:rsidR="000B308B">
        <w:rPr>
          <w:noProof/>
        </w:rPr>
        <w:t xml:space="preserve"> počtu zásobených obyvatel a množství fakturované vody</w:t>
      </w:r>
      <w:r w:rsidR="00E306C9">
        <w:rPr>
          <w:noProof/>
        </w:rPr>
        <w:t xml:space="preserve"> </w:t>
      </w:r>
      <w:r w:rsidR="00962A95">
        <w:rPr>
          <w:noProof/>
        </w:rPr>
        <w:t>v </w:t>
      </w:r>
      <w:r w:rsidR="00E306C9">
        <w:rPr>
          <w:noProof/>
        </w:rPr>
        <w:t>jednotlivých skupinách</w:t>
      </w:r>
      <w:r w:rsidR="000B308B">
        <w:rPr>
          <w:noProof/>
        </w:rPr>
        <w:t>.</w:t>
      </w:r>
      <w:r w:rsidR="00371EFB">
        <w:rPr>
          <w:noProof/>
        </w:rPr>
        <w:t xml:space="preserve"> </w:t>
      </w:r>
    </w:p>
    <w:p w14:paraId="794156FF" w14:textId="77777777" w:rsidR="00636AF2" w:rsidRPr="00C62639" w:rsidRDefault="00636AF2" w:rsidP="00636AF2">
      <w:pPr>
        <w:spacing w:before="0" w:after="0"/>
        <w:ind w:firstLine="709"/>
        <w:contextualSpacing w:val="0"/>
        <w:jc w:val="left"/>
        <w:rPr>
          <w:rFonts w:asciiTheme="minorHAnsi" w:hAnsiTheme="minorHAnsi"/>
          <w:noProof/>
        </w:rPr>
      </w:pPr>
    </w:p>
    <w:p w14:paraId="5AB36E2B" w14:textId="77777777" w:rsidR="00636AF2" w:rsidRDefault="00636AF2" w:rsidP="00636AF2">
      <w:pPr>
        <w:spacing w:before="0" w:after="0"/>
        <w:contextualSpacing w:val="0"/>
        <w:jc w:val="left"/>
        <w:rPr>
          <w:rFonts w:asciiTheme="minorHAnsi" w:hAnsiTheme="minorHAnsi"/>
          <w:noProof/>
        </w:rPr>
        <w:sectPr w:rsidR="00636AF2" w:rsidSect="00636AF2">
          <w:foot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5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2"/>
        <w:gridCol w:w="1746"/>
        <w:gridCol w:w="1918"/>
        <w:gridCol w:w="1824"/>
        <w:gridCol w:w="1977"/>
      </w:tblGrid>
      <w:tr w:rsidR="00635345" w:rsidRPr="00C97AA7" w14:paraId="2490D94F" w14:textId="77777777" w:rsidTr="00635345">
        <w:trPr>
          <w:trHeight w:val="169"/>
          <w:jc w:val="center"/>
        </w:trPr>
        <w:tc>
          <w:tcPr>
            <w:tcW w:w="810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096597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lastRenderedPageBreak/>
              <w:t>ANOMÁLIE</w:t>
            </w:r>
          </w:p>
        </w:tc>
        <w:tc>
          <w:tcPr>
            <w:tcW w:w="174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12F1F428" w14:textId="5F131C71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NA 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(&gt;10 000 MIL.KČ)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  <w:t>ČETNOST VÝSKYTU ANOMÁLIE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67306D88" w14:textId="4EFE0BA2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OBJEM VODY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FAKTUROVANÉ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(MIL. M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I. SKUPINĚ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</w:tcPr>
          <w:p w14:paraId="47E6F3CA" w14:textId="070738E0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II.SKUPI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NA 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(&gt;1 000 MIL.KČ)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  <w:t>ČETNOST VÝSKYTU ANOMÁLIE</w:t>
            </w:r>
          </w:p>
        </w:tc>
        <w:tc>
          <w:tcPr>
            <w:tcW w:w="197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</w:tcPr>
          <w:p w14:paraId="0223701E" w14:textId="454F8013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OBJEM VODY PITNÉ FAKTUROVANÉ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(MIL. M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II. SKUPINĚ</w:t>
            </w:r>
          </w:p>
        </w:tc>
      </w:tr>
      <w:tr w:rsidR="00635345" w:rsidRPr="00C97AA7" w14:paraId="57DA9736" w14:textId="77777777" w:rsidTr="00635345">
        <w:trPr>
          <w:trHeight w:val="45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63ED7E32" w14:textId="5F29633C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OBJEM VODY FAKTUROVANÉ </w:t>
            </w:r>
            <w:r w:rsidR="00962A95">
              <w:rPr>
                <w:rFonts w:asciiTheme="majorHAnsi" w:hAnsiTheme="majorHAnsi" w:cstheme="majorHAnsi"/>
                <w:b/>
                <w:color w:val="FFFFFF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SKUPINĚ </w:t>
            </w:r>
            <w:r w:rsidR="00962A95">
              <w:rPr>
                <w:rFonts w:asciiTheme="majorHAnsi" w:hAnsiTheme="majorHAnsi" w:cstheme="majorHAnsi"/>
                <w:b/>
                <w:color w:val="FFFFFF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>MIL. M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vertAlign w:val="superscript"/>
              </w:rPr>
              <w:t>3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290F347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167,30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B0F0"/>
            <w:vAlign w:val="center"/>
            <w:hideMark/>
          </w:tcPr>
          <w:p w14:paraId="475D373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5E1CEFD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204,83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172A967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 </w:t>
            </w:r>
          </w:p>
        </w:tc>
      </w:tr>
      <w:tr w:rsidR="00635345" w:rsidRPr="00C97AA7" w14:paraId="0862414C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77E7DFDC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>POČET ZÁSOBENÝCH OBYVATEL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1583F4A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3 124 179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B0F0"/>
            <w:vAlign w:val="center"/>
            <w:hideMark/>
          </w:tcPr>
          <w:p w14:paraId="024E977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1C16A64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4 136 055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2BF59BA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 </w:t>
            </w:r>
          </w:p>
        </w:tc>
      </w:tr>
      <w:tr w:rsidR="00635345" w:rsidRPr="00C97AA7" w14:paraId="04A30055" w14:textId="77777777" w:rsidTr="00635345">
        <w:trPr>
          <w:trHeight w:val="82"/>
          <w:jc w:val="center"/>
        </w:trPr>
        <w:tc>
          <w:tcPr>
            <w:tcW w:w="8102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C6FC758" w14:textId="5451A0D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NÁJEM JE MENŠÍ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ROVEN 0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ODDÍLNÉM (BE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SERVISNÍCH SMLUV)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KOMBINOVANÉM MODELU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73F406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0977E0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0ECB742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2E33647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26,94</w:t>
            </w:r>
          </w:p>
        </w:tc>
      </w:tr>
      <w:tr w:rsidR="00635345" w:rsidRPr="00C97AA7" w14:paraId="43C34F45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C506616" w14:textId="78177FE2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NEDOSTATEČNÁ TVORBA PROSTŘEDKŮ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OBNOVU VIM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369567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B26486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51,61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6B3797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7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1E47CE5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16,16</w:t>
            </w:r>
          </w:p>
        </w:tc>
      </w:tr>
      <w:tr w:rsidR="00635345" w:rsidRPr="00C97AA7" w14:paraId="3AFB3504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36C4F357" w14:textId="1E32359F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NULOVÝ CELÝ ŘÁDE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20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B8325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16EFB8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9B378E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532051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12,87</w:t>
            </w:r>
          </w:p>
        </w:tc>
      </w:tr>
      <w:tr w:rsidR="00635345" w:rsidRPr="00C97AA7" w14:paraId="2A780EA2" w14:textId="77777777" w:rsidTr="00635345">
        <w:trPr>
          <w:trHeight w:val="82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522DA5DE" w14:textId="602D4AB1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NULOVÉ ODPISY + NULOVÉ OPRAVY +4.4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SMÍŠENÉM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KOMBINOVANÉM MODELU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C411BD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8D64AB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FFE3EF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17C2E28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0,13</w:t>
            </w:r>
          </w:p>
        </w:tc>
      </w:tr>
      <w:tr w:rsidR="00635345" w:rsidRPr="00C97AA7" w14:paraId="2656AA32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5AD6374A" w14:textId="32590A7C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NÍZKÁ CE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PRO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VODNÉ (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ÚROVNI 10% PERCENTILU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CELÉH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SOUBORU DAT)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13F4F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3A879F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15C16A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4DEE72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</w:tr>
      <w:tr w:rsidR="00635345" w:rsidRPr="00C97AA7" w14:paraId="5A8E5B88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65CC10B6" w14:textId="1488B936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NULOVÁ CE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PRO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VODNÉ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0A9FA1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3EB6A3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956AC7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D239EC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</w:tr>
      <w:tr w:rsidR="00635345" w:rsidRPr="00C97AA7" w14:paraId="18BB24DC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225A4F58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ZÁPORNÝ KALKULAČNÍ ZISK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DA29BC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23E7BE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22434B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2065A1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0,25</w:t>
            </w:r>
          </w:p>
        </w:tc>
      </w:tr>
      <w:tr w:rsidR="00635345" w:rsidRPr="00C97AA7" w14:paraId="026BCAFB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5E81D31A" w14:textId="36A68A2D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KALKULOVÁN KLADNÝ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NULOVÝ ZIS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A DOSAŽEN ZÁPORNÝ ZISK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58C7BB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972EB3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8B60DE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B40DD0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0,20</w:t>
            </w:r>
          </w:p>
        </w:tc>
      </w:tr>
      <w:tr w:rsidR="00635345" w:rsidRPr="00C97AA7" w14:paraId="04663B35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7C56C1A4" w14:textId="2A726B9D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ZÁPORNÝ ZIS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KALKULOVÁN A ZÁPORNÝ DOSAŽEN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74FB53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7E769C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3D1C19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60FDD1C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0,05</w:t>
            </w:r>
          </w:p>
        </w:tc>
      </w:tr>
      <w:tr w:rsidR="00635345" w:rsidRPr="00C97AA7" w14:paraId="2B71747F" w14:textId="77777777" w:rsidTr="00635345">
        <w:trPr>
          <w:trHeight w:val="124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60FA074A" w14:textId="74E2471E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VYSOKÝ PODÍL KALKULAČNÍH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ZISKU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ROZDĚLENÍ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ÚVN (BE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ČÁSTI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OBNOVU A ROZVOJ) (HODNOTA VÍCE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NEŽ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POROVNÁNÍ S KLADNÝM KALKULAČNÍM ZISKEM) 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2F6941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89B6FD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33,24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E1EB4A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B05E00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68,14</w:t>
            </w:r>
          </w:p>
        </w:tc>
      </w:tr>
      <w:tr w:rsidR="00635345" w:rsidRPr="00C97AA7" w14:paraId="1B1C397F" w14:textId="77777777" w:rsidTr="00635345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3A8EE5E8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NULOVÉ ZTRÁTY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716D0D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156C6F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591B92B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1D7B3D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0,13</w:t>
            </w:r>
          </w:p>
        </w:tc>
      </w:tr>
      <w:tr w:rsidR="00635345" w:rsidRPr="00C97AA7" w14:paraId="249DAAB2" w14:textId="77777777" w:rsidTr="00635345">
        <w:trPr>
          <w:trHeight w:val="136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24D67B8E" w14:textId="043E2C3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VYSOKÉ ZTRÁTY VODY</w:t>
            </w:r>
            <w:r w:rsidR="00371EFB">
              <w:rPr>
                <w:rFonts w:asciiTheme="majorHAnsi" w:hAnsiTheme="majorHAnsi" w:cstheme="majorHAnsi"/>
                <w:color w:val="002060"/>
                <w:sz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 KM PŘEPOČTENÉ DÉLKY VODOVODNÍH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ŘADU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(PŘEVYŠUJE 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POROVNÁNÍ VYKAZUJÍCÍCH ZTRÁTY VODY NAD 4 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/KM/DEN)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34EB5D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DA2452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544D44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5C903DB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17,99</w:t>
            </w:r>
          </w:p>
        </w:tc>
      </w:tr>
      <w:tr w:rsidR="00635345" w:rsidRPr="00C97AA7" w14:paraId="2751D15D" w14:textId="77777777" w:rsidTr="00635345">
        <w:trPr>
          <w:trHeight w:val="130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4FAA2E21" w14:textId="1F1F7868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VYSOKÁ HODNOTA NEFAKTUROVANÉ VODY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vertAlign w:val="superscript"/>
              </w:rPr>
              <w:t>3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KM PŘEPOČTENÉ DÉLKY (PŘEVYŠUJE 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POROVNÁNÍ VYKAZUJÍCÍCH ZTRÁTY VODY NAD 4 M3/KM/DEN)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EB87C0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67C1DA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328A26B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8FD452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17,99</w:t>
            </w:r>
          </w:p>
        </w:tc>
      </w:tr>
      <w:tr w:rsidR="00635345" w:rsidRPr="00C97AA7" w14:paraId="31C78721" w14:textId="77777777" w:rsidTr="00635345">
        <w:trPr>
          <w:trHeight w:val="82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08D9B6A1" w14:textId="57772C76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VYSOKÁ PORUCHOVOST (POROVNÁNÍ, KDE JE POČET PORUCH /KM VYŠŠÍ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NEŽ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1,5 NÁS. MEDIÁNU SKUPINY 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POROVNÁNÍ S NULOVÝM POČTEM PORUCH)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3FE9C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5F9107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82,44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1EFACCB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168CC75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79,79</w:t>
            </w:r>
          </w:p>
        </w:tc>
      </w:tr>
      <w:tr w:rsidR="00635345" w:rsidRPr="00C97AA7" w14:paraId="0F56187B" w14:textId="77777777" w:rsidTr="00635345">
        <w:trPr>
          <w:trHeight w:val="41"/>
          <w:jc w:val="center"/>
        </w:trPr>
        <w:tc>
          <w:tcPr>
            <w:tcW w:w="8102" w:type="dxa"/>
            <w:tcBorders>
              <w:left w:val="nil"/>
            </w:tcBorders>
            <w:shd w:val="clear" w:color="B4C6E7" w:fill="B4C6E7"/>
            <w:vAlign w:val="center"/>
            <w:hideMark/>
          </w:tcPr>
          <w:p w14:paraId="4E97DDDF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OKF &gt; 1 A NEPLNÍ OBNOVU </w:t>
            </w:r>
          </w:p>
        </w:tc>
        <w:tc>
          <w:tcPr>
            <w:tcW w:w="1746" w:type="dxa"/>
            <w:shd w:val="clear" w:color="B4C6E7" w:fill="B4C6E7"/>
            <w:noWrap/>
            <w:vAlign w:val="center"/>
            <w:hideMark/>
          </w:tcPr>
          <w:p w14:paraId="3327888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</w:t>
            </w:r>
          </w:p>
        </w:tc>
        <w:tc>
          <w:tcPr>
            <w:tcW w:w="1918" w:type="dxa"/>
            <w:shd w:val="clear" w:color="B4C6E7" w:fill="B4C6E7"/>
            <w:noWrap/>
            <w:vAlign w:val="center"/>
            <w:hideMark/>
          </w:tcPr>
          <w:p w14:paraId="0EAD9F0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51,61</w:t>
            </w:r>
          </w:p>
        </w:tc>
        <w:tc>
          <w:tcPr>
            <w:tcW w:w="1824" w:type="dxa"/>
            <w:shd w:val="clear" w:color="B4C6E7" w:fill="B4C6E7"/>
            <w:vAlign w:val="center"/>
          </w:tcPr>
          <w:p w14:paraId="35BB80C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2</w:t>
            </w:r>
          </w:p>
        </w:tc>
        <w:tc>
          <w:tcPr>
            <w:tcW w:w="1977" w:type="dxa"/>
            <w:shd w:val="clear" w:color="B4C6E7" w:fill="B4C6E7"/>
            <w:vAlign w:val="center"/>
          </w:tcPr>
          <w:p w14:paraId="7549127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5,70</w:t>
            </w:r>
          </w:p>
        </w:tc>
      </w:tr>
      <w:tr w:rsidR="00635345" w:rsidRPr="00C97AA7" w14:paraId="1A4D584C" w14:textId="77777777" w:rsidTr="00635345">
        <w:trPr>
          <w:trHeight w:val="41"/>
          <w:jc w:val="center"/>
        </w:trPr>
        <w:tc>
          <w:tcPr>
            <w:tcW w:w="8102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74F5D177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CELKEM ANOMÁLIÍ / </w:t>
            </w:r>
            <w:r w:rsidRPr="00635345">
              <w:rPr>
                <w:rFonts w:asciiTheme="majorHAnsi" w:hAnsiTheme="majorHAnsi" w:cstheme="majorHAnsi"/>
                <w:b/>
                <w:i/>
                <w:iCs/>
                <w:color w:val="FFFFFF"/>
                <w:sz w:val="20"/>
              </w:rPr>
              <w:t>OBJEM FAKTUROVANÉ VODY OVLIVNĚN ANOMÁLIEMI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1571B79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4</w:t>
            </w:r>
          </w:p>
        </w:tc>
        <w:tc>
          <w:tcPr>
            <w:tcW w:w="191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469C20E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</w:rPr>
              <w:t>218,90</w:t>
            </w:r>
          </w:p>
        </w:tc>
        <w:tc>
          <w:tcPr>
            <w:tcW w:w="18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6EA6EE9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57</w:t>
            </w:r>
          </w:p>
        </w:tc>
        <w:tc>
          <w:tcPr>
            <w:tcW w:w="19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151D262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</w:rPr>
              <w:t>246,34</w:t>
            </w:r>
          </w:p>
        </w:tc>
      </w:tr>
      <w:tr w:rsidR="00635345" w:rsidRPr="00C97AA7" w14:paraId="5A072A5C" w14:textId="77777777" w:rsidTr="00635345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44122F1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POČET POROVNÁNÍ S ALESPOŇ JEDNOU ANOMÁLIÍ /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OBJEM VODY FAKTUROVANÉ S VÝSKYTEM ALESPOŇ JEDNÉ ANOMÁLIE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1E64E6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B5A402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167,30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05CBCE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27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0C82A2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137,80</w:t>
            </w:r>
          </w:p>
        </w:tc>
      </w:tr>
      <w:tr w:rsidR="00635345" w:rsidRPr="00C97AA7" w14:paraId="13707C35" w14:textId="77777777" w:rsidTr="00635345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FF0EABB" w14:textId="7EC7B796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POČET POROVNÁNÍ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SKUPINĚ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869E39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14C377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3F9ECB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43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55FAD95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 </w:t>
            </w:r>
          </w:p>
        </w:tc>
      </w:tr>
      <w:tr w:rsidR="00635345" w:rsidRPr="00C97AA7" w14:paraId="45C02F58" w14:textId="77777777" w:rsidTr="00635345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D59A710" w14:textId="3E3C2000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% PODÍL POČTU POROVNÁNÍ S ALESPOŇ JEDNOU ANOMÁLIÍ / 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 xml:space="preserve">% PODÍL FAKTUROVANÉ VODY S VÝSKYTEM ALESPOŇ JEDNÉ ANOMÁLIE </w:t>
            </w:r>
            <w:r w:rsidR="00962A9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 xml:space="preserve">VODĚ FAKTUROVANÉ </w:t>
            </w:r>
            <w:r w:rsidR="00962A9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SKUPINĚ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36AF84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100,00%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C402C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100,00%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</w:tcPr>
          <w:p w14:paraId="7FAC5D1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62,79%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</w:tcPr>
          <w:p w14:paraId="127C4DC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67,27%</w:t>
            </w:r>
          </w:p>
        </w:tc>
      </w:tr>
    </w:tbl>
    <w:p w14:paraId="78E52652" w14:textId="77777777" w:rsidR="006211D3" w:rsidRDefault="006211D3" w:rsidP="00636AF2">
      <w:pPr>
        <w:spacing w:before="0" w:after="0"/>
        <w:contextualSpacing w:val="0"/>
        <w:jc w:val="left"/>
        <w:rPr>
          <w:rFonts w:asciiTheme="minorHAnsi" w:hAnsiTheme="minorHAnsi"/>
          <w:noProof/>
        </w:rPr>
      </w:pPr>
    </w:p>
    <w:tbl>
      <w:tblPr>
        <w:tblW w:w="155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2"/>
        <w:gridCol w:w="1746"/>
        <w:gridCol w:w="1918"/>
        <w:gridCol w:w="1824"/>
        <w:gridCol w:w="1977"/>
      </w:tblGrid>
      <w:tr w:rsidR="00635345" w:rsidRPr="00C97AA7" w14:paraId="23123373" w14:textId="77777777" w:rsidTr="00036CBE">
        <w:trPr>
          <w:trHeight w:val="169"/>
          <w:jc w:val="center"/>
        </w:trPr>
        <w:tc>
          <w:tcPr>
            <w:tcW w:w="810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09FC127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lastRenderedPageBreak/>
              <w:t>ANOMÁLIE</w:t>
            </w:r>
          </w:p>
        </w:tc>
        <w:tc>
          <w:tcPr>
            <w:tcW w:w="174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265C8698" w14:textId="1F51A5AD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III.SKUPI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(&gt;100 MIL.KČ)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  <w:t>ČETNOST VÝSKYTU ANOMÁLIE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46A42D44" w14:textId="5ED320DB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OBJEM VODY PITNÉ FAKTUROVANÉ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(MIL. M3)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III. SKUPINĚ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</w:tcPr>
          <w:p w14:paraId="23695E73" w14:textId="2E879AE9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IV.SKUPI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  <w:t>(&gt;10 MIL.KČ)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br/>
              <w:t>ČETNOST VÝSKYTU ANOMÁLIE</w:t>
            </w:r>
          </w:p>
        </w:tc>
        <w:tc>
          <w:tcPr>
            <w:tcW w:w="197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</w:tcPr>
          <w:p w14:paraId="1C5925F7" w14:textId="7819CFF4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OBJEM VODY PITNÉ FAKTUROVANÉ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 xml:space="preserve">(MIL. M3)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</w:rPr>
              <w:t>IV. SKUPINĚ</w:t>
            </w:r>
          </w:p>
        </w:tc>
      </w:tr>
      <w:tr w:rsidR="00635345" w:rsidRPr="00C97AA7" w14:paraId="7382705E" w14:textId="77777777" w:rsidTr="00036CBE">
        <w:trPr>
          <w:trHeight w:val="45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0C4C7788" w14:textId="1E91961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OBJEM VODY FAKTUROVANÉ </w:t>
            </w:r>
            <w:r w:rsidR="00962A95">
              <w:rPr>
                <w:rFonts w:asciiTheme="majorHAnsi" w:hAnsiTheme="majorHAnsi" w:cstheme="majorHAnsi"/>
                <w:b/>
                <w:color w:val="FFFFFF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SKUPINĚ </w:t>
            </w:r>
            <w:r w:rsidR="00962A95">
              <w:rPr>
                <w:rFonts w:asciiTheme="majorHAnsi" w:hAnsiTheme="majorHAnsi" w:cstheme="majorHAnsi"/>
                <w:b/>
                <w:color w:val="FFFFFF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>MIL. M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vertAlign w:val="superscript"/>
              </w:rPr>
              <w:t>3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6C924B1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58,20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B0F0"/>
            <w:vAlign w:val="center"/>
            <w:hideMark/>
          </w:tcPr>
          <w:p w14:paraId="43576B0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0BB2A67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38,09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5FA90DC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 </w:t>
            </w:r>
          </w:p>
        </w:tc>
      </w:tr>
      <w:tr w:rsidR="00635345" w:rsidRPr="00C97AA7" w14:paraId="29D96FF0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6E1DC79F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>POČET ZÁSOBENÝCH OBYVATEL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07801A2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1 217 122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B0F0"/>
            <w:vAlign w:val="center"/>
            <w:hideMark/>
          </w:tcPr>
          <w:p w14:paraId="5878C3C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2BFA9EA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912 609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48A62B5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18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 </w:t>
            </w:r>
          </w:p>
        </w:tc>
      </w:tr>
      <w:tr w:rsidR="00635345" w:rsidRPr="00C97AA7" w14:paraId="4688691E" w14:textId="77777777" w:rsidTr="00036CBE">
        <w:trPr>
          <w:trHeight w:val="82"/>
          <w:jc w:val="center"/>
        </w:trPr>
        <w:tc>
          <w:tcPr>
            <w:tcW w:w="8102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5A82108" w14:textId="3B7B153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NÁJEM JE MENŠÍ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ROVEN 0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ODDÍLNÉM (BE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SERVISNÍCH SMLUV)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KOMBINOVANÉM MODELU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E07F76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2AA75B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4,03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2073DFB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119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859C28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3,36</w:t>
            </w:r>
          </w:p>
        </w:tc>
      </w:tr>
      <w:tr w:rsidR="00635345" w:rsidRPr="00C97AA7" w14:paraId="7763088F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A3586F3" w14:textId="1A8B2973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NEDOSTATEČNÁ TVORBA PROSTŘEDKŮ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OBNOVU VIM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2871D6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73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4480AFE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17,42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17E8C12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921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5747C52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26,42</w:t>
            </w:r>
          </w:p>
        </w:tc>
      </w:tr>
      <w:tr w:rsidR="00635345" w:rsidRPr="00C97AA7" w14:paraId="6D0B4992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2D4C5A46" w14:textId="1E45A34D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NULOVÝ CELÝ ŘÁDE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20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53000E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9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D9E7C3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3,07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410714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179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5D73B5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6,04</w:t>
            </w:r>
          </w:p>
        </w:tc>
      </w:tr>
      <w:tr w:rsidR="00635345" w:rsidRPr="00C97AA7" w14:paraId="75552ABD" w14:textId="77777777" w:rsidTr="00036CBE">
        <w:trPr>
          <w:trHeight w:val="82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65125A40" w14:textId="1D731DBE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NULOVÉ ODPISY + NULOVÉ OPRAVY +4.4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SMÍŠENÉM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KOMBINOVANÉM MODELU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C1D3EF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9054AE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B17F44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1026E7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0,31</w:t>
            </w:r>
          </w:p>
        </w:tc>
      </w:tr>
      <w:tr w:rsidR="00635345" w:rsidRPr="00C97AA7" w14:paraId="23F95D14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5F558E7E" w14:textId="56569174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NÍZKÁ CE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PRO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VODNÉ (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ÚROVNI 10% PERCENTILU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CELÉH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SOUBORU DAT)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0485F1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3752E6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0,05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6182FE9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65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96E9FE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1,96</w:t>
            </w:r>
          </w:p>
        </w:tc>
      </w:tr>
      <w:tr w:rsidR="00635345" w:rsidRPr="00C97AA7" w14:paraId="377DD8BB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30747AFE" w14:textId="6FE72951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NULOVÁ CE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PRO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VODNÉ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F9F3AF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AA6D82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0DBEF45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1B13CF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0,03</w:t>
            </w:r>
          </w:p>
        </w:tc>
      </w:tr>
      <w:tr w:rsidR="00635345" w:rsidRPr="00C97AA7" w14:paraId="5C012B15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71F04C88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ZÁPORNÝ KALKULAČNÍ ZISK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AB4EC0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32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9CE99B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9,13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05ECA40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594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625E702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16,54</w:t>
            </w:r>
          </w:p>
        </w:tc>
      </w:tr>
      <w:tr w:rsidR="00635345" w:rsidRPr="00C97AA7" w14:paraId="63A98185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33DEB732" w14:textId="59FDAEEB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KALKULOVÁN KLADNÝ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NULOVÝ ZIS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A DOSAŽEN ZÁPORNÝ ZISK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226C89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25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4EA110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7,62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429B76D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371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612BAD7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11,87</w:t>
            </w:r>
          </w:p>
        </w:tc>
      </w:tr>
      <w:tr w:rsidR="00635345" w:rsidRPr="00C97AA7" w14:paraId="44EF8EE1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78DAB15E" w14:textId="637ADFDB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ZÁPORNÝ ZIS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KALKULOVÁN A ZÁPORNÝ DOSAŽEN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8D34C1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7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D1C2D8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1,51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D0BA66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223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62FAA74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4,67</w:t>
            </w:r>
          </w:p>
        </w:tc>
      </w:tr>
      <w:tr w:rsidR="00635345" w:rsidRPr="00C97AA7" w14:paraId="2A234311" w14:textId="77777777" w:rsidTr="00036CBE">
        <w:trPr>
          <w:trHeight w:val="124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354929E7" w14:textId="7D9BD5F6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VYSOKÝ PODÍL KALKULAČNÍH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ZISKU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ROZDĚLENÍ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ÚVN (BE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ČÁSTI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OBNOVU A ROZVOJ) (HODNOTA VÍCE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NEŽ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POROVNÁNÍ S KLADNÝM KALKULAČNÍM ZISKEM) 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D9466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32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46FB6A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13,25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CC057C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135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9F43F0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4,53</w:t>
            </w:r>
          </w:p>
        </w:tc>
      </w:tr>
      <w:tr w:rsidR="00635345" w:rsidRPr="00C97AA7" w14:paraId="58CB908F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25D0B453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NULOVÉ ZTRÁTY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2A2A32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458EDB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0,68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22A3B52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130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D69A42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3,17</w:t>
            </w:r>
          </w:p>
        </w:tc>
      </w:tr>
      <w:tr w:rsidR="00635345" w:rsidRPr="00C97AA7" w14:paraId="6BC3AA26" w14:textId="77777777" w:rsidTr="00036CBE">
        <w:trPr>
          <w:trHeight w:val="136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1475ABDF" w14:textId="502204EF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VYSOKÉ ZTRÁTY VODY</w:t>
            </w:r>
            <w:r w:rsidR="00371EFB">
              <w:rPr>
                <w:rFonts w:asciiTheme="majorHAnsi" w:hAnsiTheme="majorHAnsi" w:cstheme="majorHAnsi"/>
                <w:color w:val="002060"/>
                <w:sz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 KM PŘEPOČTENÉ DÉLKY VODOVODNÍH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ŘADU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(PŘEVYŠUJE 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POROVNÁNÍ VYKAZUJÍCÍCH ZTRÁTY VODY NAD 4 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/KM/DEN)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14F4F6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2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AA5B72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1,45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270F8E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54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630902F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3,95</w:t>
            </w:r>
          </w:p>
        </w:tc>
      </w:tr>
      <w:tr w:rsidR="00635345" w:rsidRPr="00C97AA7" w14:paraId="7D494A8B" w14:textId="77777777" w:rsidTr="00036CBE">
        <w:trPr>
          <w:trHeight w:val="130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4C636DA3" w14:textId="3B5F92E9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VYSOKÁ HODNOTA NEFAKTUROVANÉ VODY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vertAlign w:val="superscript"/>
              </w:rPr>
              <w:t>3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KM PŘEPOČTENÉ DÉLKY (PŘEVYŠUJE 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POROVNÁNÍ VYKAZUJÍCÍCH ZTRÁTY VODY NAD 4 M3/KM/DEN)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D71ED8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15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6B2B37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9,12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009C423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68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05A3F06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4,58</w:t>
            </w:r>
          </w:p>
        </w:tc>
      </w:tr>
      <w:tr w:rsidR="00635345" w:rsidRPr="00C97AA7" w14:paraId="2C995D26" w14:textId="77777777" w:rsidTr="00036CBE">
        <w:trPr>
          <w:trHeight w:val="82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7FBDC09E" w14:textId="7728358C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VYSOKÁ PORUCHOVOST (POROVNÁNÍ, KDE JE POČET PORUCH /KM VYŠŠÍ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NEŽ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1,5 NÁS. MEDIÁNU SKUPINY 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POROVNÁNÍ S NULOVÝM POČTEM PORUCH)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D93739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43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CC6745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25,51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46A43E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252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6BBC29B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10,13</w:t>
            </w:r>
          </w:p>
        </w:tc>
      </w:tr>
      <w:tr w:rsidR="00635345" w:rsidRPr="00C97AA7" w14:paraId="0C7C09F9" w14:textId="77777777" w:rsidTr="00036CBE">
        <w:trPr>
          <w:trHeight w:val="41"/>
          <w:jc w:val="center"/>
        </w:trPr>
        <w:tc>
          <w:tcPr>
            <w:tcW w:w="8102" w:type="dxa"/>
            <w:tcBorders>
              <w:left w:val="nil"/>
            </w:tcBorders>
            <w:shd w:val="clear" w:color="B4C6E7" w:fill="B4C6E7"/>
            <w:vAlign w:val="center"/>
            <w:hideMark/>
          </w:tcPr>
          <w:p w14:paraId="12974476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OKF &gt; 1 A NEPLNÍ OBNOVU </w:t>
            </w:r>
          </w:p>
        </w:tc>
        <w:tc>
          <w:tcPr>
            <w:tcW w:w="1746" w:type="dxa"/>
            <w:shd w:val="clear" w:color="B4C6E7" w:fill="B4C6E7"/>
            <w:noWrap/>
            <w:vAlign w:val="center"/>
            <w:hideMark/>
          </w:tcPr>
          <w:p w14:paraId="502A2B8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12</w:t>
            </w:r>
          </w:p>
        </w:tc>
        <w:tc>
          <w:tcPr>
            <w:tcW w:w="1918" w:type="dxa"/>
            <w:shd w:val="clear" w:color="B4C6E7" w:fill="B4C6E7"/>
            <w:noWrap/>
            <w:vAlign w:val="center"/>
            <w:hideMark/>
          </w:tcPr>
          <w:p w14:paraId="7CD57B0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4,00</w:t>
            </w:r>
          </w:p>
        </w:tc>
        <w:tc>
          <w:tcPr>
            <w:tcW w:w="1824" w:type="dxa"/>
            <w:shd w:val="clear" w:color="B4C6E7" w:fill="B4C6E7"/>
            <w:vAlign w:val="center"/>
          </w:tcPr>
          <w:p w14:paraId="24DE1F0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0</w:t>
            </w:r>
          </w:p>
        </w:tc>
        <w:tc>
          <w:tcPr>
            <w:tcW w:w="1977" w:type="dxa"/>
            <w:shd w:val="clear" w:color="B4C6E7" w:fill="B4C6E7"/>
            <w:vAlign w:val="center"/>
          </w:tcPr>
          <w:p w14:paraId="785914B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0,00</w:t>
            </w:r>
          </w:p>
        </w:tc>
      </w:tr>
      <w:tr w:rsidR="00635345" w:rsidRPr="00C97AA7" w14:paraId="32325160" w14:textId="77777777" w:rsidTr="00036CBE">
        <w:trPr>
          <w:trHeight w:val="41"/>
          <w:jc w:val="center"/>
        </w:trPr>
        <w:tc>
          <w:tcPr>
            <w:tcW w:w="8102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0D973B26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CELKEM ANOMÁLIÍ / </w:t>
            </w:r>
            <w:r w:rsidRPr="00635345">
              <w:rPr>
                <w:rFonts w:asciiTheme="majorHAnsi" w:hAnsiTheme="majorHAnsi" w:cstheme="majorHAnsi"/>
                <w:b/>
                <w:i/>
                <w:iCs/>
                <w:color w:val="FFFFFF"/>
                <w:sz w:val="20"/>
              </w:rPr>
              <w:t>OBJEM FAKTUROVANÉ VODY OVLIVNĚN ANOMÁLIEMI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7DC4E24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267</w:t>
            </w:r>
          </w:p>
        </w:tc>
        <w:tc>
          <w:tcPr>
            <w:tcW w:w="191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052A27A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lang w:eastAsia="cs-CZ"/>
              </w:rPr>
            </w:pPr>
            <w:r>
              <w:rPr>
                <w:rFonts w:cs="Calibri"/>
                <w:b/>
                <w:bCs/>
                <w:i/>
                <w:iCs/>
                <w:color w:val="FFFFFF"/>
                <w:sz w:val="22"/>
              </w:rPr>
              <w:t> </w:t>
            </w:r>
          </w:p>
        </w:tc>
        <w:tc>
          <w:tcPr>
            <w:tcW w:w="18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3D3FBB0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2"/>
              </w:rPr>
              <w:t>3 128</w:t>
            </w:r>
          </w:p>
        </w:tc>
        <w:tc>
          <w:tcPr>
            <w:tcW w:w="19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50F716C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b/>
                <w:bCs/>
                <w:i/>
                <w:iCs/>
                <w:color w:val="FFFFFF"/>
                <w:sz w:val="22"/>
              </w:rPr>
              <w:t> </w:t>
            </w:r>
          </w:p>
        </w:tc>
      </w:tr>
      <w:tr w:rsidR="00635345" w:rsidRPr="00C97AA7" w14:paraId="057D9E51" w14:textId="77777777" w:rsidTr="00036CBE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F688B5E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POČET POROVNÁNÍ S ALESPOŇ JEDNOU ANOMÁLIÍ /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OBJEM VODY FAKTUROVANÉ S VÝSKYTEM ALESPOŇ JEDNÉ ANOMÁLIE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8B7778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121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7162D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46,97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65E9A20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1 059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EFAC5A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34,96</w:t>
            </w:r>
          </w:p>
        </w:tc>
      </w:tr>
      <w:tr w:rsidR="00635345" w:rsidRPr="00C97AA7" w14:paraId="344F9A4F" w14:textId="77777777" w:rsidTr="00036CBE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F2F4C90" w14:textId="565ECA8A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POČET POROVNÁNÍ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>SKUPINĚ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499009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138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CB75C6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1605E7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1 106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5915CC6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i/>
                <w:iCs/>
                <w:color w:val="002060"/>
                <w:sz w:val="22"/>
              </w:rPr>
              <w:t> </w:t>
            </w:r>
          </w:p>
        </w:tc>
      </w:tr>
      <w:tr w:rsidR="00635345" w:rsidRPr="00C97AA7" w14:paraId="65D3493F" w14:textId="77777777" w:rsidTr="00036CBE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CDF8B15" w14:textId="730F9A95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</w:rPr>
              <w:t xml:space="preserve">% PODÍL POČTU POROVNÁNÍ S ALESPOŇ JEDNOU ANOMÁLIÍ / 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 xml:space="preserve">% PODÍL FAKTUROVANÉ VODY S VÝSKYTEM ALESPOŇ JEDNÉ ANOMÁLIE </w:t>
            </w:r>
            <w:r w:rsidR="00962A9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NA 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 xml:space="preserve">VODĚ FAKTUROVANÉ </w:t>
            </w:r>
            <w:r w:rsidR="00962A9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VE 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</w:rPr>
              <w:t>SKUPINĚ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6E7A24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87,68%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F49958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80,71%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</w:tcPr>
          <w:p w14:paraId="14FA08B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95,75%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</w:tcPr>
          <w:p w14:paraId="572C9EC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2060"/>
                <w:sz w:val="20"/>
                <w:szCs w:val="18"/>
                <w:lang w:eastAsia="cs-CZ"/>
              </w:rPr>
            </w:pPr>
            <w:r>
              <w:rPr>
                <w:rFonts w:cs="Calibri"/>
                <w:color w:val="002060"/>
                <w:sz w:val="22"/>
              </w:rPr>
              <w:t>91,78%</w:t>
            </w:r>
          </w:p>
        </w:tc>
      </w:tr>
    </w:tbl>
    <w:p w14:paraId="75ADEEBE" w14:textId="77777777" w:rsidR="00C97AA7" w:rsidRDefault="00C97AA7" w:rsidP="00636AF2">
      <w:pPr>
        <w:spacing w:before="0" w:after="0"/>
        <w:contextualSpacing w:val="0"/>
        <w:jc w:val="left"/>
        <w:rPr>
          <w:rFonts w:asciiTheme="minorHAnsi" w:hAnsiTheme="minorHAnsi"/>
          <w:noProof/>
        </w:rPr>
      </w:pPr>
    </w:p>
    <w:tbl>
      <w:tblPr>
        <w:tblW w:w="155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2"/>
        <w:gridCol w:w="1746"/>
        <w:gridCol w:w="1918"/>
        <w:gridCol w:w="1824"/>
        <w:gridCol w:w="1977"/>
      </w:tblGrid>
      <w:tr w:rsidR="00635345" w:rsidRPr="00635345" w14:paraId="137D6D82" w14:textId="77777777" w:rsidTr="00036CBE">
        <w:trPr>
          <w:trHeight w:val="169"/>
          <w:jc w:val="center"/>
        </w:trPr>
        <w:tc>
          <w:tcPr>
            <w:tcW w:w="810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2CACEEB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ANOMÁLIE</w:t>
            </w:r>
          </w:p>
        </w:tc>
        <w:tc>
          <w:tcPr>
            <w:tcW w:w="174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014E36A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V.SKUPINA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(&gt;1 MIL.KČ)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30934E2E" w14:textId="2B4E94C6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OBJEM VODY PITNÉ FAKTUROVANÉ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(MIL. M3)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V. SKUPINĚ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</w:tcPr>
          <w:p w14:paraId="1E2B0651" w14:textId="0B0CEF5B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VI.SKUPI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(&lt;1 MIL.KČ)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197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</w:tcPr>
          <w:p w14:paraId="739E1AF7" w14:textId="3922DE4F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OBJEM VODY PITNÉ FAKTUROVANÉ</w:t>
            </w:r>
            <w:r w:rsidR="00371EFB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(MIL. M3)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VI. SKUPINĚ</w:t>
            </w:r>
          </w:p>
        </w:tc>
      </w:tr>
      <w:tr w:rsidR="00635345" w:rsidRPr="00635345" w14:paraId="0052199D" w14:textId="77777777" w:rsidTr="00036CBE">
        <w:trPr>
          <w:trHeight w:val="45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4DDEC228" w14:textId="57D09CAB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OBJEM VODY FAKTUROVANÉ </w:t>
            </w:r>
            <w:r w:rsidR="00962A9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VE 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SKUPINĚ </w:t>
            </w:r>
            <w:r w:rsidR="00962A9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V 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MIL. M</w:t>
            </w: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75CB5FA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8,25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B0F0"/>
            <w:vAlign w:val="center"/>
            <w:hideMark/>
          </w:tcPr>
          <w:p w14:paraId="1620A14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7CD8932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0,22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1B93633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345" w:rsidRPr="00635345" w14:paraId="1FE357EE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68AD4D56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POČET ZÁSOBENÝCH OBYVATEL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5B7CCA0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142 859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B0F0"/>
            <w:vAlign w:val="center"/>
            <w:hideMark/>
          </w:tcPr>
          <w:p w14:paraId="5D5EC14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1729F27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3 785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3F46F2F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345" w:rsidRPr="00635345" w14:paraId="74DE7974" w14:textId="77777777" w:rsidTr="00036CBE">
        <w:trPr>
          <w:trHeight w:val="82"/>
          <w:jc w:val="center"/>
        </w:trPr>
        <w:tc>
          <w:tcPr>
            <w:tcW w:w="8102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FB0FE67" w14:textId="077A0728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NÁJEM JE MENŠÍ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ROVEN 0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ODDÍLNÉM (BE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SERVISNÍCH SMLUV)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KOMBINOVANÉM MODELU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41CB76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96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CB5636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2,238546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25B3570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6C1ECE5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0,00</w:t>
            </w:r>
          </w:p>
        </w:tc>
      </w:tr>
      <w:tr w:rsidR="00635345" w:rsidRPr="00635345" w14:paraId="7447DABF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5E64A9C" w14:textId="650615FA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NEDOSTATEČNÁ TVORBA PROSTŘEDKŮ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OBNOVU VIM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EC8F2B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546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E13A76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4,00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130AD7B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203510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0,06</w:t>
            </w:r>
          </w:p>
        </w:tc>
      </w:tr>
      <w:tr w:rsidR="00635345" w:rsidRPr="00635345" w14:paraId="240C5424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039FB87E" w14:textId="009CCD45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NULOVÝ CELÝ ŘÁDE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20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1756AD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197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091061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1,86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6A2579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5D08575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0,07</w:t>
            </w:r>
          </w:p>
        </w:tc>
      </w:tr>
      <w:tr w:rsidR="00635345" w:rsidRPr="00635345" w14:paraId="4415B9E4" w14:textId="77777777" w:rsidTr="00036CBE">
        <w:trPr>
          <w:trHeight w:val="82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0804BC41" w14:textId="702D9A61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NULOVÉ ODPISY + NULOVÉ OPRAVY +4.4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VE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SMÍŠENÉM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KOMBINOVANÉM MODELU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8B6AE8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61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353461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0,42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CB5C02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3991DB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0,01</w:t>
            </w:r>
          </w:p>
        </w:tc>
      </w:tr>
      <w:tr w:rsidR="00635345" w:rsidRPr="00635345" w14:paraId="735F0EDB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10893374" w14:textId="22482691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NÍZKÁ CE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PRO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VODNÉ (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ÚROVNI 10% PERCENTILU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CELÉH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SOUBORU DAT)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A87918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115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DE6BE3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3,01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581BF34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3501C6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0,09</w:t>
            </w:r>
          </w:p>
        </w:tc>
      </w:tr>
      <w:tr w:rsidR="00635345" w:rsidRPr="00635345" w14:paraId="2B53AC1C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20C9ED88" w14:textId="05EFBFD2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NULOVÁ CE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PRO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VODNÉ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DAA4B8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921559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0,22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5EDC3A2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41B0810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0,00</w:t>
            </w:r>
          </w:p>
        </w:tc>
      </w:tr>
      <w:tr w:rsidR="00635345" w:rsidRPr="00635345" w14:paraId="1157FC6F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43FE8696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ZÁPORNÝ KALKULAČNÍ ZISK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7E0F39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459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D1AB24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5,63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043747C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57CA923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0,16</w:t>
            </w:r>
          </w:p>
        </w:tc>
      </w:tr>
      <w:tr w:rsidR="00635345" w:rsidRPr="00635345" w14:paraId="00290917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777BE77E" w14:textId="0FB45A33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KALKULOVÁN KLADNÝ NEB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NULOVÝ ZIS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A DOSAŽEN ZÁPORNÝ ZISK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76CBD5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274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1A79FA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4,31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6A55BC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0BDE5E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0,15</w:t>
            </w:r>
          </w:p>
        </w:tc>
      </w:tr>
      <w:tr w:rsidR="00635345" w:rsidRPr="00635345" w14:paraId="27932ADE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414E5FBE" w14:textId="1680D621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ZÁPORNÝ ZIS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KALKULOVÁN A ZÁPORNÝ DOSAŽEN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6BBD23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185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E7B85A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1,33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03C4430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1B4B01D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0,01</w:t>
            </w:r>
          </w:p>
        </w:tc>
      </w:tr>
      <w:tr w:rsidR="00635345" w:rsidRPr="00635345" w14:paraId="4E490142" w14:textId="77777777" w:rsidTr="00036CBE">
        <w:trPr>
          <w:trHeight w:val="124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53E0473C" w14:textId="4A08A762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VYSOKÝ PODÍL KALKULAČNÍH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ZISKU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ROZDĚLENÍ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ÚVN (BE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ČÁSTI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OBNOVU A ROZVOJ) (HODNOTA VÍCE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NEŽ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POROVNÁNÍ S KLADNÝM KALKULAČNÍM ZISKEM) 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E19B8A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81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BCE32D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0,83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508231B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2DB9DC6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0,01</w:t>
            </w:r>
          </w:p>
        </w:tc>
      </w:tr>
      <w:tr w:rsidR="00635345" w:rsidRPr="00635345" w14:paraId="41D4C46E" w14:textId="77777777" w:rsidTr="00036CBE">
        <w:trPr>
          <w:trHeight w:val="41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61C21066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NULOVÉ ZTRÁTY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CFC079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223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BBB692C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3,58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FBE7DA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9E719C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0,12</w:t>
            </w:r>
          </w:p>
        </w:tc>
      </w:tr>
      <w:tr w:rsidR="00635345" w:rsidRPr="00635345" w14:paraId="0CC08B5E" w14:textId="77777777" w:rsidTr="00036CBE">
        <w:trPr>
          <w:trHeight w:val="136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1A808156" w14:textId="65A8CE1F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VYSOKÉ ZTRÁTY VODY</w:t>
            </w:r>
            <w:r w:rsidR="00371EFB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 KM PŘEPOČTENÉ DÉLKY VODOVODNÍH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O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ŘADU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(PŘEVYŠUJE 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POROVNÁNÍ VYKAZUJÍCÍCH ZTRÁTY VODY NAD 4 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  <w:vertAlign w:val="superscript"/>
              </w:rPr>
              <w:t>3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/KM/DEN)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EEE7DC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23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E5B5A3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0,42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019FADB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65D7395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0,02</w:t>
            </w:r>
          </w:p>
        </w:tc>
      </w:tr>
      <w:tr w:rsidR="00635345" w:rsidRPr="00635345" w14:paraId="1B8CBCA2" w14:textId="77777777" w:rsidTr="00036CBE">
        <w:trPr>
          <w:trHeight w:val="130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B4C6E7" w:fill="B4C6E7"/>
            <w:vAlign w:val="center"/>
            <w:hideMark/>
          </w:tcPr>
          <w:p w14:paraId="51AF4746" w14:textId="303871D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VYSOKÁ HODNOTA NEFAKTUROVANÉ VODY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M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  <w:vertAlign w:val="superscript"/>
              </w:rPr>
              <w:t>3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KM PŘEPOČTENÉ DÉLKY (PŘEVYŠUJE 1,5 NÁSOBE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K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MEDIÁNU SKUPINY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POROVNÁNÍ VYKAZUJÍCÍCH ZTRÁTY VODY NAD 4 M3/KM/DEN)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C4E3620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F7F407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0,62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7FD9031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357D4D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0,04</w:t>
            </w:r>
          </w:p>
        </w:tc>
      </w:tr>
      <w:tr w:rsidR="00635345" w:rsidRPr="00635345" w14:paraId="0C9F5E1E" w14:textId="77777777" w:rsidTr="00036CBE">
        <w:trPr>
          <w:trHeight w:val="82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right w:val="single" w:sz="8" w:space="0" w:color="FFFFFF"/>
            </w:tcBorders>
            <w:shd w:val="clear" w:color="D9E1F2" w:fill="D9E1F2"/>
            <w:vAlign w:val="center"/>
            <w:hideMark/>
          </w:tcPr>
          <w:p w14:paraId="012D50BF" w14:textId="2A39A5D1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VYSOKÁ PORUCHOVOST (POROVNÁNÍ, KDE JE POČET PORUCH /KM VYŠŠÍ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NEŽ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1,5 NÁS. MEDIÁNU SKUPINY BE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Z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POROVNÁNÍ S NULOVÝM POČTEM PORUCH)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27F643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87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C3447A2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0,77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6CACD2E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3D2341C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0,02</w:t>
            </w:r>
          </w:p>
        </w:tc>
      </w:tr>
      <w:tr w:rsidR="00635345" w:rsidRPr="00635345" w14:paraId="08290352" w14:textId="77777777" w:rsidTr="00036CBE">
        <w:trPr>
          <w:trHeight w:val="41"/>
          <w:jc w:val="center"/>
        </w:trPr>
        <w:tc>
          <w:tcPr>
            <w:tcW w:w="8102" w:type="dxa"/>
            <w:tcBorders>
              <w:left w:val="nil"/>
            </w:tcBorders>
            <w:shd w:val="clear" w:color="B4C6E7" w:fill="B4C6E7"/>
            <w:vAlign w:val="center"/>
            <w:hideMark/>
          </w:tcPr>
          <w:p w14:paraId="58EA4AD0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OKF &gt; 1 A NEPLNÍ OBNOVU </w:t>
            </w:r>
          </w:p>
        </w:tc>
        <w:tc>
          <w:tcPr>
            <w:tcW w:w="1746" w:type="dxa"/>
            <w:shd w:val="clear" w:color="B4C6E7" w:fill="B4C6E7"/>
            <w:noWrap/>
            <w:vAlign w:val="center"/>
            <w:hideMark/>
          </w:tcPr>
          <w:p w14:paraId="2F44E3F5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1918" w:type="dxa"/>
            <w:shd w:val="clear" w:color="B4C6E7" w:fill="B4C6E7"/>
            <w:noWrap/>
            <w:vAlign w:val="center"/>
            <w:hideMark/>
          </w:tcPr>
          <w:p w14:paraId="00E9F20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0,00</w:t>
            </w:r>
          </w:p>
        </w:tc>
        <w:tc>
          <w:tcPr>
            <w:tcW w:w="1824" w:type="dxa"/>
            <w:shd w:val="clear" w:color="B4C6E7" w:fill="B4C6E7"/>
            <w:vAlign w:val="center"/>
          </w:tcPr>
          <w:p w14:paraId="29F740C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1977" w:type="dxa"/>
            <w:shd w:val="clear" w:color="B4C6E7" w:fill="B4C6E7"/>
            <w:vAlign w:val="center"/>
          </w:tcPr>
          <w:p w14:paraId="0D7CCF4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0,00</w:t>
            </w:r>
          </w:p>
        </w:tc>
      </w:tr>
      <w:tr w:rsidR="00635345" w:rsidRPr="00635345" w14:paraId="6F708250" w14:textId="77777777" w:rsidTr="00036CBE">
        <w:trPr>
          <w:trHeight w:val="41"/>
          <w:jc w:val="center"/>
        </w:trPr>
        <w:tc>
          <w:tcPr>
            <w:tcW w:w="8102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  <w:hideMark/>
          </w:tcPr>
          <w:p w14:paraId="287109D0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CELKEM ANOMÁLIÍ / </w:t>
            </w:r>
            <w:r w:rsidRPr="00635345">
              <w:rPr>
                <w:rFonts w:asciiTheme="majorHAnsi" w:hAnsiTheme="majorHAnsi" w:cstheme="majorHAnsi"/>
                <w:b/>
                <w:i/>
                <w:iCs/>
                <w:color w:val="FFFFFF"/>
                <w:sz w:val="20"/>
                <w:szCs w:val="20"/>
              </w:rPr>
              <w:t>OBJEM FAKTUROVANÉ VODY OVLIVNĚN ANOMÁLIEMI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1392486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2 383</w:t>
            </w:r>
          </w:p>
        </w:tc>
        <w:tc>
          <w:tcPr>
            <w:tcW w:w="191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6DF0F68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502E0CA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102</w:t>
            </w:r>
          </w:p>
        </w:tc>
        <w:tc>
          <w:tcPr>
            <w:tcW w:w="19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11A7DA5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35345" w:rsidRPr="00635345" w14:paraId="36D3382D" w14:textId="77777777" w:rsidTr="00036CBE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A442C2D" w14:textId="7777777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POČET POROVNÁNÍ S ALESPOŇ JEDNOU ANOMÁLIÍ /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  <w:t>OBJEM VODY FAKTUROVANÉ S VÝSKYTEM ALESPOŇ JEDNÉ ANOMÁLIE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45F9097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690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13ACD5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7,97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57E37BCF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28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</w:tcPr>
          <w:p w14:paraId="4D1196CE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0,21</w:t>
            </w:r>
          </w:p>
        </w:tc>
      </w:tr>
      <w:tr w:rsidR="00635345" w:rsidRPr="00635345" w14:paraId="045FF23C" w14:textId="77777777" w:rsidTr="00036CBE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01ED9EE" w14:textId="2AF51DD7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POČET POROVNÁNÍ </w:t>
            </w:r>
            <w:r w:rsidR="00962A9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VE </w:t>
            </w: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SKUPINĚ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A9B7986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711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991B908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46746051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30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</w:tcPr>
          <w:p w14:paraId="799FD94A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 </w:t>
            </w:r>
          </w:p>
        </w:tc>
      </w:tr>
      <w:tr w:rsidR="00635345" w:rsidRPr="00635345" w14:paraId="5BC60FBA" w14:textId="77777777" w:rsidTr="00036CBE">
        <w:trPr>
          <w:trHeight w:val="38"/>
          <w:jc w:val="center"/>
        </w:trPr>
        <w:tc>
          <w:tcPr>
            <w:tcW w:w="810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FDC8F22" w14:textId="7B91CE82" w:rsidR="00635345" w:rsidRPr="00635345" w:rsidRDefault="00635345" w:rsidP="0063534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% PODÍL POČTU POROVNÁNÍ S ALESPOŇ JEDNOU ANOMÁLIÍ / 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  <w:t xml:space="preserve">% PODÍL FAKTUROVANÉ VODY S VÝSKYTEM ALESPOŇ JEDNÉ ANOMÁLIE </w:t>
            </w:r>
            <w:r w:rsidR="00962A95"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  <w:t>NA 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  <w:t xml:space="preserve">VODĚ FAKTUROVANÉ </w:t>
            </w:r>
            <w:r w:rsidR="00962A95"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  <w:t>VE </w:t>
            </w:r>
            <w:r w:rsidRPr="00635345"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  <w:t>SKUPINĚ</w:t>
            </w: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6BF30D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97,05%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758228B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96,54%</w:t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</w:tcPr>
          <w:p w14:paraId="0B323333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93,33%</w:t>
            </w:r>
          </w:p>
        </w:tc>
        <w:tc>
          <w:tcPr>
            <w:tcW w:w="19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</w:tcPr>
          <w:p w14:paraId="1FE2D304" w14:textId="77777777" w:rsidR="00635345" w:rsidRPr="00635345" w:rsidRDefault="00635345" w:rsidP="00635345">
            <w:pPr>
              <w:spacing w:before="0" w:after="0"/>
              <w:contextualSpacing w:val="0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635345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93,48%</w:t>
            </w:r>
          </w:p>
        </w:tc>
      </w:tr>
    </w:tbl>
    <w:p w14:paraId="58563327" w14:textId="77777777" w:rsidR="00C97AA7" w:rsidRDefault="00C97AA7" w:rsidP="00651E2F">
      <w:pPr>
        <w:pStyle w:val="Nzev"/>
        <w:rPr>
          <w:noProof/>
        </w:rPr>
        <w:sectPr w:rsidR="00C97AA7" w:rsidSect="00635345">
          <w:footerReference w:type="default" r:id="rId21"/>
          <w:pgSz w:w="16838" w:h="11906" w:orient="landscape"/>
          <w:pgMar w:top="993" w:right="1418" w:bottom="1418" w:left="1418" w:header="709" w:footer="709" w:gutter="0"/>
          <w:cols w:space="708"/>
          <w:docGrid w:linePitch="360"/>
        </w:sectPr>
      </w:pPr>
    </w:p>
    <w:p w14:paraId="7DF53E2C" w14:textId="370590B7" w:rsidR="00636AF2" w:rsidRDefault="00EF6737" w:rsidP="00636AF2">
      <w:pPr>
        <w:pStyle w:val="NORMLN0"/>
        <w:rPr>
          <w:noProof/>
        </w:rPr>
      </w:pPr>
      <w:r>
        <w:rPr>
          <w:noProof/>
        </w:rPr>
        <w:lastRenderedPageBreak/>
        <w:t xml:space="preserve">Následující </w:t>
      </w:r>
      <w:r w:rsidR="00636AF2">
        <w:rPr>
          <w:noProof/>
        </w:rPr>
        <w:t>graf znázorňuj</w:t>
      </w:r>
      <w:r>
        <w:rPr>
          <w:noProof/>
        </w:rPr>
        <w:t>e</w:t>
      </w:r>
      <w:r w:rsidR="00636AF2">
        <w:rPr>
          <w:noProof/>
        </w:rPr>
        <w:t xml:space="preserve"> podíly fakturované vody zasažené alespoň jedním výskytem anomálie p</w:t>
      </w:r>
      <w:r w:rsidR="00962A95">
        <w:rPr>
          <w:noProof/>
        </w:rPr>
        <w:t>o </w:t>
      </w:r>
      <w:r w:rsidR="00636AF2">
        <w:rPr>
          <w:noProof/>
        </w:rPr>
        <w:t>jednotlivých skupinách.</w:t>
      </w:r>
      <w:r w:rsidR="00636AF2" w:rsidDel="00E27B82">
        <w:rPr>
          <w:noProof/>
        </w:rPr>
        <w:t xml:space="preserve"> </w:t>
      </w:r>
    </w:p>
    <w:p w14:paraId="445F2A7A" w14:textId="77777777" w:rsidR="00636AF2" w:rsidRDefault="00B230A9" w:rsidP="00636AF2">
      <w:pPr>
        <w:pStyle w:val="Normlnzprva"/>
        <w:rPr>
          <w:rFonts w:asciiTheme="minorHAnsi" w:hAnsiTheme="minorHAnsi"/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 wp14:anchorId="3A742EA7" wp14:editId="37FB1AF3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5759450" cy="8048625"/>
            <wp:effectExtent l="0" t="0" r="0" b="0"/>
            <wp:wrapTopAndBottom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14:paraId="11ED53FA" w14:textId="77777777" w:rsidR="00636AF2" w:rsidRDefault="00657FB0" w:rsidP="00B7733C">
      <w:pPr>
        <w:pStyle w:val="Nadpis2"/>
        <w:rPr>
          <w:noProof/>
        </w:rPr>
      </w:pPr>
      <w:bookmarkStart w:id="63" w:name="_Toc963485"/>
      <w:r>
        <w:rPr>
          <w:noProof/>
        </w:rPr>
        <w:lastRenderedPageBreak/>
        <w:t xml:space="preserve"> </w:t>
      </w:r>
      <w:bookmarkStart w:id="64" w:name="_Toc34210395"/>
      <w:r w:rsidR="00636AF2" w:rsidRPr="00C62639">
        <w:rPr>
          <w:noProof/>
        </w:rPr>
        <w:t>Kanalizace</w:t>
      </w:r>
      <w:bookmarkEnd w:id="63"/>
      <w:bookmarkEnd w:id="64"/>
    </w:p>
    <w:p w14:paraId="58BB6680" w14:textId="57DD5F93" w:rsidR="004052F5" w:rsidRDefault="004052F5" w:rsidP="004052F5">
      <w:pPr>
        <w:spacing w:before="0" w:after="160" w:line="259" w:lineRule="auto"/>
        <w:ind w:firstLine="567"/>
        <w:contextualSpacing w:val="0"/>
      </w:pPr>
      <w:r>
        <w:t>I zde byl</w:t>
      </w:r>
      <w:r w:rsidR="00962A95">
        <w:t>o </w:t>
      </w:r>
      <w:r>
        <w:t>přistoupen</w:t>
      </w:r>
      <w:r w:rsidR="00962A95">
        <w:t>o k </w:t>
      </w:r>
      <w:r>
        <w:t xml:space="preserve">rozdělení anomálií </w:t>
      </w:r>
      <w:r w:rsidR="00962A95">
        <w:t>na </w:t>
      </w:r>
      <w:r>
        <w:t>dvě kategorie, a t</w:t>
      </w:r>
      <w:r w:rsidR="00962A95">
        <w:t>o </w:t>
      </w:r>
      <w:r>
        <w:t xml:space="preserve">anomálie spojené s chybným vykazováním dat anomálie upozorňujících </w:t>
      </w:r>
      <w:r w:rsidR="00962A95">
        <w:t>na </w:t>
      </w:r>
      <w:r>
        <w:t>nedostatky indikující neplnění regulačních záměrů neb</w:t>
      </w:r>
      <w:r w:rsidR="00962A95">
        <w:t>o </w:t>
      </w:r>
      <w:r>
        <w:t xml:space="preserve">legislativních předpisů. </w:t>
      </w:r>
    </w:p>
    <w:p w14:paraId="28581DAF" w14:textId="77777777" w:rsidR="00D4187C" w:rsidRDefault="00D4187C" w:rsidP="00D4187C"/>
    <w:p w14:paraId="57778C9A" w14:textId="77777777" w:rsidR="00D4187C" w:rsidRDefault="00D4187C" w:rsidP="00657FB0">
      <w:pPr>
        <w:pStyle w:val="Nadpis3"/>
      </w:pPr>
      <w:bookmarkStart w:id="65" w:name="_Toc34210396"/>
      <w:r>
        <w:t>Chybné vykazování dat</w:t>
      </w:r>
      <w:bookmarkEnd w:id="65"/>
    </w:p>
    <w:p w14:paraId="2059DB78" w14:textId="14AB3E00" w:rsidR="004052F5" w:rsidRDefault="004052F5" w:rsidP="004052F5">
      <w:pPr>
        <w:pStyle w:val="NORMLN0"/>
      </w:pPr>
      <w:r>
        <w:t xml:space="preserve">Podle údajů uvedených </w:t>
      </w:r>
      <w:r w:rsidR="00962A95">
        <w:t>v </w:t>
      </w:r>
      <w:r>
        <w:t>následujících tabulkách l</w:t>
      </w:r>
      <w:r w:rsidR="00962A95">
        <w:t>ze </w:t>
      </w:r>
      <w:r>
        <w:t xml:space="preserve">konstatovat, že </w:t>
      </w:r>
      <w:r w:rsidR="00962A95">
        <w:t>z </w:t>
      </w:r>
      <w:r>
        <w:t xml:space="preserve">analyzovaných 2 443 Porovnání se </w:t>
      </w:r>
      <w:r w:rsidR="00962A95">
        <w:t>v </w:t>
      </w:r>
      <w:r>
        <w:t xml:space="preserve">92 případech (tj. 3,77% </w:t>
      </w:r>
      <w:r w:rsidR="00962A95">
        <w:t>z </w:t>
      </w:r>
      <w:r>
        <w:t>celkovéh</w:t>
      </w:r>
      <w:r w:rsidR="00962A95">
        <w:t>o </w:t>
      </w:r>
      <w:r>
        <w:t xml:space="preserve">počtu) vyskytuje chybné vykazování dat (nejčastěji </w:t>
      </w:r>
      <w:r w:rsidR="00962A95">
        <w:t>ve </w:t>
      </w:r>
      <w:r>
        <w:t xml:space="preserve">IV. a V. vlastnické skupině). </w:t>
      </w:r>
    </w:p>
    <w:p w14:paraId="3245572C" w14:textId="77777777" w:rsidR="00D4187C" w:rsidRDefault="00D4187C" w:rsidP="004052F5">
      <w:pPr>
        <w:pStyle w:val="NORMLN0"/>
      </w:pPr>
    </w:p>
    <w:tbl>
      <w:tblPr>
        <w:tblW w:w="574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1551"/>
        <w:gridCol w:w="1151"/>
        <w:gridCol w:w="1061"/>
        <w:gridCol w:w="1265"/>
        <w:gridCol w:w="1265"/>
        <w:gridCol w:w="1459"/>
      </w:tblGrid>
      <w:tr w:rsidR="00D4187C" w:rsidRPr="00D4187C" w14:paraId="1BC8B418" w14:textId="77777777" w:rsidTr="00657FB0">
        <w:trPr>
          <w:trHeight w:val="1100"/>
          <w:jc w:val="center"/>
        </w:trPr>
        <w:tc>
          <w:tcPr>
            <w:tcW w:w="130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center"/>
            <w:hideMark/>
          </w:tcPr>
          <w:p w14:paraId="292DFEE3" w14:textId="1B86FD3D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/ ANOMÁLIE</w:t>
            </w:r>
          </w:p>
        </w:tc>
        <w:tc>
          <w:tcPr>
            <w:tcW w:w="612" w:type="pc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64982460" w14:textId="55BA6A44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NÁJEM JE VĚTŠÍ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NEŽ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NULA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SMÍŠENÉM MODELU NEB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ODDÍLNÉM SE SERVISNÍ SMLOUVOU</w:t>
            </w:r>
          </w:p>
        </w:tc>
        <w:tc>
          <w:tcPr>
            <w:tcW w:w="57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3BB875E1" w14:textId="3D3C0B6A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NENULOVÝ POČET PORUCH A NULOVÉ NÁKLADY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OPRAVY</w:t>
            </w:r>
          </w:p>
        </w:tc>
        <w:tc>
          <w:tcPr>
            <w:tcW w:w="53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2E8F0E02" w14:textId="77777777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SOUČET VÝSKYTU</w:t>
            </w:r>
          </w:p>
        </w:tc>
        <w:tc>
          <w:tcPr>
            <w:tcW w:w="62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41193154" w14:textId="77777777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POČET POROVNÁNÍ S ALESPOŇ JEDNOU ANOMÁLIÍ</w:t>
            </w:r>
          </w:p>
        </w:tc>
        <w:tc>
          <w:tcPr>
            <w:tcW w:w="62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vAlign w:val="center"/>
            <w:hideMark/>
          </w:tcPr>
          <w:p w14:paraId="7E862BBE" w14:textId="605D3F67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721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70AD47" w:fill="70AD47"/>
            <w:vAlign w:val="center"/>
            <w:hideMark/>
          </w:tcPr>
          <w:p w14:paraId="7C491C1E" w14:textId="70095C7B" w:rsidR="00D4187C" w:rsidRPr="00D4187C" w:rsidRDefault="00D4187C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% PODÍL POROVNÁNÍ S ALESPOŇ JEDNOU ANOMÁLIÍ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POROVNÁNÍM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</w:tr>
      <w:tr w:rsidR="00D4187C" w:rsidRPr="00D4187C" w14:paraId="210E3A41" w14:textId="77777777" w:rsidTr="00657FB0">
        <w:trPr>
          <w:trHeight w:val="243"/>
          <w:jc w:val="center"/>
        </w:trPr>
        <w:tc>
          <w:tcPr>
            <w:tcW w:w="1305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14:paraId="7DB1C6AB" w14:textId="570F077C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(&gt;10 000 MIL.KČ)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81F990A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5F3EE57B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AF67927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C927C00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AABD3A3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7CE2BA33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0,00%</w:t>
            </w:r>
          </w:p>
        </w:tc>
      </w:tr>
      <w:tr w:rsidR="00D4187C" w:rsidRPr="00D4187C" w14:paraId="715F421D" w14:textId="77777777" w:rsidTr="00657FB0">
        <w:trPr>
          <w:trHeight w:val="230"/>
          <w:jc w:val="center"/>
        </w:trPr>
        <w:tc>
          <w:tcPr>
            <w:tcW w:w="1305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14:paraId="39DD8FAD" w14:textId="4C7504AC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(&gt;1 000 MIL.KČ)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03DDC54E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DE6F290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4FF4651D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DD7EB77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0F711D95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2EFDA" w:fill="E2EFDA"/>
            <w:noWrap/>
            <w:vAlign w:val="center"/>
            <w:hideMark/>
          </w:tcPr>
          <w:p w14:paraId="01889F98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0,00%</w:t>
            </w:r>
          </w:p>
        </w:tc>
      </w:tr>
      <w:tr w:rsidR="00D4187C" w:rsidRPr="00D4187C" w14:paraId="09D909B3" w14:textId="77777777" w:rsidTr="00657FB0">
        <w:trPr>
          <w:trHeight w:val="230"/>
          <w:jc w:val="center"/>
        </w:trPr>
        <w:tc>
          <w:tcPr>
            <w:tcW w:w="1305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14:paraId="6E783FB4" w14:textId="19821F2D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(&gt;100 MIL.KČ)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1630DACC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6B468811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BDEEAB7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1DF2FBF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6A376DE1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6B7F331F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3,68%</w:t>
            </w:r>
          </w:p>
        </w:tc>
      </w:tr>
      <w:tr w:rsidR="00D4187C" w:rsidRPr="00D4187C" w14:paraId="4C78B7E3" w14:textId="77777777" w:rsidTr="00657FB0">
        <w:trPr>
          <w:trHeight w:val="230"/>
          <w:jc w:val="center"/>
        </w:trPr>
        <w:tc>
          <w:tcPr>
            <w:tcW w:w="1305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14:paraId="6655DEFC" w14:textId="0D4F117C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(&gt;10 MIL.KČ)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075843EA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0321DBB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7DAB71D6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353B15F4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36C60B2E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1652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2EFDA" w:fill="E2EFDA"/>
            <w:noWrap/>
            <w:vAlign w:val="center"/>
            <w:hideMark/>
          </w:tcPr>
          <w:p w14:paraId="66A7BFDF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4,00%</w:t>
            </w:r>
          </w:p>
        </w:tc>
      </w:tr>
      <w:tr w:rsidR="00D4187C" w:rsidRPr="00D4187C" w14:paraId="71FE5D69" w14:textId="77777777" w:rsidTr="00657FB0">
        <w:trPr>
          <w:trHeight w:val="230"/>
          <w:jc w:val="center"/>
        </w:trPr>
        <w:tc>
          <w:tcPr>
            <w:tcW w:w="1305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14:paraId="4E334C31" w14:textId="19A7802F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 MIL.KČ)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0FECDA4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6A23DE3F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7D1216A3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39FB5FCE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7B972D96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71BCC5D4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3,34%</w:t>
            </w:r>
          </w:p>
        </w:tc>
      </w:tr>
      <w:tr w:rsidR="00D4187C" w:rsidRPr="00D4187C" w14:paraId="6230D74F" w14:textId="77777777" w:rsidTr="00657FB0">
        <w:trPr>
          <w:trHeight w:val="230"/>
          <w:jc w:val="center"/>
        </w:trPr>
        <w:tc>
          <w:tcPr>
            <w:tcW w:w="1305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14:paraId="465267AD" w14:textId="310C104A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(&lt;1 MIL.KČ)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2602C4A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1E9007EC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168CB7F0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2F792571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559E1CD1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2EFDA" w:fill="E2EFDA"/>
            <w:noWrap/>
            <w:vAlign w:val="center"/>
            <w:hideMark/>
          </w:tcPr>
          <w:p w14:paraId="2DC463AE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5,00%</w:t>
            </w:r>
          </w:p>
        </w:tc>
      </w:tr>
      <w:tr w:rsidR="00D4187C" w:rsidRPr="00D4187C" w14:paraId="1D098EF9" w14:textId="77777777" w:rsidTr="00657FB0">
        <w:trPr>
          <w:trHeight w:val="217"/>
          <w:jc w:val="center"/>
        </w:trPr>
        <w:tc>
          <w:tcPr>
            <w:tcW w:w="130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14:paraId="06C0EE62" w14:textId="77777777" w:rsidR="00D4187C" w:rsidRPr="00D4187C" w:rsidRDefault="00D4187C" w:rsidP="00D4187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3285E2AB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55559562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4F50B395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660632F1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16DD4343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2 443</w:t>
            </w:r>
          </w:p>
        </w:tc>
        <w:tc>
          <w:tcPr>
            <w:tcW w:w="7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416A108B" w14:textId="77777777" w:rsidR="00D4187C" w:rsidRPr="00D4187C" w:rsidRDefault="00D4187C" w:rsidP="00D4187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3,77%</w:t>
            </w:r>
          </w:p>
        </w:tc>
      </w:tr>
    </w:tbl>
    <w:p w14:paraId="12BE9E35" w14:textId="77777777" w:rsidR="00D4187C" w:rsidRDefault="00D4187C" w:rsidP="00D4187C"/>
    <w:p w14:paraId="35C81020" w14:textId="1BB71100" w:rsidR="008005CD" w:rsidRDefault="00962A95" w:rsidP="008005CD">
      <w:pPr>
        <w:pStyle w:val="NORMLN0"/>
      </w:pPr>
      <w:r>
        <w:t>Z </w:t>
      </w:r>
      <w:r w:rsidR="008005CD">
        <w:t>hlediska objemu fakturované vody je chybným vykazováním dat ovlivněn</w:t>
      </w:r>
      <w:r>
        <w:t> </w:t>
      </w:r>
      <w:r w:rsidR="008E058B">
        <w:t>jen</w:t>
      </w:r>
      <w:r w:rsidR="008005CD">
        <w:t xml:space="preserve"> malý 1,29% podíl </w:t>
      </w:r>
      <w:r>
        <w:t>z </w:t>
      </w:r>
      <w:r w:rsidR="008005CD">
        <w:t>analyzovanéh</w:t>
      </w:r>
      <w:r>
        <w:t>o </w:t>
      </w:r>
      <w:r w:rsidR="008005CD">
        <w:t xml:space="preserve">trhu. </w:t>
      </w:r>
    </w:p>
    <w:p w14:paraId="571F704B" w14:textId="77777777" w:rsidR="00D4187C" w:rsidRDefault="00D4187C" w:rsidP="00D4187C"/>
    <w:tbl>
      <w:tblPr>
        <w:tblW w:w="578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1600"/>
        <w:gridCol w:w="1485"/>
        <w:gridCol w:w="977"/>
        <w:gridCol w:w="1357"/>
        <w:gridCol w:w="1357"/>
        <w:gridCol w:w="1357"/>
      </w:tblGrid>
      <w:tr w:rsidR="008005CD" w:rsidRPr="00D4187C" w14:paraId="72451C49" w14:textId="77777777" w:rsidTr="00657FB0">
        <w:trPr>
          <w:trHeight w:val="1193"/>
          <w:jc w:val="center"/>
        </w:trPr>
        <w:tc>
          <w:tcPr>
            <w:tcW w:w="1128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center"/>
            <w:hideMark/>
          </w:tcPr>
          <w:p w14:paraId="6C23D0D3" w14:textId="567EFC06" w:rsidR="008005CD" w:rsidRPr="00D4187C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/ ANOMÁLIE</w:t>
            </w:r>
          </w:p>
        </w:tc>
        <w:tc>
          <w:tcPr>
            <w:tcW w:w="76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350F17DA" w14:textId="6797FFB8" w:rsidR="008005CD" w:rsidRPr="00D4187C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OBJEM_NÁJEM JE VĚTŠÍ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NEŽ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NULA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SMÍŠENÉM MODELU NEB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ODDÍLNÉM SE SERVISNÍ SMLOUVOU</w:t>
            </w:r>
          </w:p>
        </w:tc>
        <w:tc>
          <w:tcPr>
            <w:tcW w:w="70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1F12E0F0" w14:textId="26327A2A" w:rsidR="008005CD" w:rsidRPr="00D4187C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OBJEM_NENULOVÝ POČET PORUCH A NULOVÉ NÁKLADY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OPRAVY</w:t>
            </w:r>
          </w:p>
        </w:tc>
        <w:tc>
          <w:tcPr>
            <w:tcW w:w="465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324C0964" w14:textId="77777777" w:rsidR="008005CD" w:rsidRPr="00D4187C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SOUČET OBJEMŮ VÝSKYTU ANOMÁLII</w:t>
            </w:r>
          </w:p>
        </w:tc>
        <w:tc>
          <w:tcPr>
            <w:tcW w:w="646" w:type="pct"/>
            <w:tcBorders>
              <w:top w:val="nil"/>
              <w:left w:val="single" w:sz="4" w:space="0" w:color="FFFFFF"/>
              <w:bottom w:val="single" w:sz="12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14:paraId="2A110FA1" w14:textId="39543CD5" w:rsidR="008005CD" w:rsidRPr="00D4187C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FAKTUROVANÉ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MIL. M3S JEDNOU NEB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VÍCER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ANOMÁLIEMY</w:t>
            </w:r>
          </w:p>
        </w:tc>
        <w:tc>
          <w:tcPr>
            <w:tcW w:w="646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vAlign w:val="center"/>
          </w:tcPr>
          <w:p w14:paraId="6B916635" w14:textId="140C254A" w:rsidR="008005CD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OBJEM VODY FAKTUROVANÉ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MIL. M3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VE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SKUPINĚ</w:t>
            </w:r>
          </w:p>
        </w:tc>
        <w:tc>
          <w:tcPr>
            <w:tcW w:w="646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70AD47" w:fill="70AD47"/>
            <w:vAlign w:val="center"/>
            <w:hideMark/>
          </w:tcPr>
          <w:p w14:paraId="440AED79" w14:textId="0D6DEBD5" w:rsidR="008005CD" w:rsidRPr="00D4187C" w:rsidRDefault="008005CD" w:rsidP="00D801D1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% PODÍL VODY FAKTUROVANÉ S ANOMÁLII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OBJEMU VODY FAKTUROVANÉ</w:t>
            </w:r>
          </w:p>
        </w:tc>
      </w:tr>
      <w:tr w:rsidR="004052F5" w:rsidRPr="00D4187C" w14:paraId="7E683CF6" w14:textId="77777777" w:rsidTr="00657FB0">
        <w:trPr>
          <w:trHeight w:val="262"/>
          <w:jc w:val="center"/>
        </w:trPr>
        <w:tc>
          <w:tcPr>
            <w:tcW w:w="112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14:paraId="605B1AD9" w14:textId="1E87248C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(&gt;10 000 MIL.KČ)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221DA44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7BF179B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48F951ED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1FC8C8EA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vAlign w:val="center"/>
          </w:tcPr>
          <w:p w14:paraId="74D08E59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204,54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7FF1E843" w14:textId="77777777" w:rsidR="004052F5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0,00%</w:t>
            </w:r>
          </w:p>
        </w:tc>
      </w:tr>
      <w:tr w:rsidR="004052F5" w:rsidRPr="00D4187C" w14:paraId="20A7200E" w14:textId="77777777" w:rsidTr="00657FB0">
        <w:trPr>
          <w:trHeight w:val="249"/>
          <w:jc w:val="center"/>
        </w:trPr>
        <w:tc>
          <w:tcPr>
            <w:tcW w:w="1128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14:paraId="7FF7957C" w14:textId="10E762C3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(&gt;1 000 MIL.KČ)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582EBA72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13B37FC2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838EEDF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B30C018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vAlign w:val="center"/>
          </w:tcPr>
          <w:p w14:paraId="484645D0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186,86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2EFDA" w:fill="E2EFDA"/>
            <w:noWrap/>
            <w:vAlign w:val="center"/>
            <w:hideMark/>
          </w:tcPr>
          <w:p w14:paraId="4AF12862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0,00%</w:t>
            </w:r>
          </w:p>
        </w:tc>
      </w:tr>
      <w:tr w:rsidR="004052F5" w:rsidRPr="00D4187C" w14:paraId="3BE01F25" w14:textId="77777777" w:rsidTr="00657FB0">
        <w:trPr>
          <w:trHeight w:val="249"/>
          <w:jc w:val="center"/>
        </w:trPr>
        <w:tc>
          <w:tcPr>
            <w:tcW w:w="1128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14:paraId="46857481" w14:textId="68C0AA56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III.SKUPI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(&gt;100 MIL.KČ)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8D35448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E54F259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BE20FE9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7A890D5F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vAlign w:val="center"/>
          </w:tcPr>
          <w:p w14:paraId="76D2EA66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78,18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147732AF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6,33%</w:t>
            </w:r>
          </w:p>
        </w:tc>
      </w:tr>
      <w:tr w:rsidR="004052F5" w:rsidRPr="00D4187C" w14:paraId="07222DC5" w14:textId="77777777" w:rsidTr="00657FB0">
        <w:trPr>
          <w:trHeight w:val="249"/>
          <w:jc w:val="center"/>
        </w:trPr>
        <w:tc>
          <w:tcPr>
            <w:tcW w:w="1128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14:paraId="2017916E" w14:textId="1E0497D4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(&gt;10 MIL.KČ)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4332EB46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1378ACC2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1788372A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5FB911EF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vAlign w:val="center"/>
          </w:tcPr>
          <w:p w14:paraId="59F1E932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42,34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2EFDA" w:fill="E2EFDA"/>
            <w:noWrap/>
            <w:vAlign w:val="center"/>
            <w:hideMark/>
          </w:tcPr>
          <w:p w14:paraId="308C082B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3,71%</w:t>
            </w:r>
          </w:p>
        </w:tc>
      </w:tr>
      <w:tr w:rsidR="004052F5" w:rsidRPr="00D4187C" w14:paraId="14F74CC9" w14:textId="77777777" w:rsidTr="00657FB0">
        <w:trPr>
          <w:trHeight w:val="249"/>
          <w:jc w:val="center"/>
        </w:trPr>
        <w:tc>
          <w:tcPr>
            <w:tcW w:w="1128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14:paraId="4542915E" w14:textId="369F273C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(&gt;1 MIL.KČ)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5CFA2D5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29A69D7F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77F4DBFD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7A8645C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vAlign w:val="center"/>
          </w:tcPr>
          <w:p w14:paraId="621EE32E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6E0B4" w:fill="C6E0B4"/>
            <w:noWrap/>
            <w:vAlign w:val="center"/>
            <w:hideMark/>
          </w:tcPr>
          <w:p w14:paraId="55FE39AC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3,03%</w:t>
            </w:r>
          </w:p>
        </w:tc>
      </w:tr>
      <w:tr w:rsidR="004052F5" w:rsidRPr="00D4187C" w14:paraId="73786393" w14:textId="77777777" w:rsidTr="00657FB0">
        <w:trPr>
          <w:trHeight w:val="249"/>
          <w:jc w:val="center"/>
        </w:trPr>
        <w:tc>
          <w:tcPr>
            <w:tcW w:w="1128" w:type="pct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14:paraId="6E497191" w14:textId="28945D5C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VI.SKUPI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D418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(&lt;1 MIL.KČ)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1296AA82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3918072E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69D85443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noWrap/>
            <w:vAlign w:val="center"/>
            <w:hideMark/>
          </w:tcPr>
          <w:p w14:paraId="2B258567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vAlign w:val="center"/>
          </w:tcPr>
          <w:p w14:paraId="597B8BF2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2EFDA" w:fill="E2EFDA"/>
            <w:noWrap/>
            <w:vAlign w:val="center"/>
            <w:hideMark/>
          </w:tcPr>
          <w:p w14:paraId="73B4A059" w14:textId="77777777" w:rsidR="004052F5" w:rsidRDefault="004052F5" w:rsidP="004052F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3,03%</w:t>
            </w:r>
          </w:p>
        </w:tc>
      </w:tr>
      <w:tr w:rsidR="004052F5" w:rsidRPr="00D4187C" w14:paraId="49D5CB0C" w14:textId="77777777" w:rsidTr="00657FB0">
        <w:trPr>
          <w:trHeight w:val="234"/>
          <w:jc w:val="center"/>
        </w:trPr>
        <w:tc>
          <w:tcPr>
            <w:tcW w:w="1128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C6E0B4" w:fill="C6E0B4"/>
            <w:noWrap/>
            <w:vAlign w:val="bottom"/>
            <w:hideMark/>
          </w:tcPr>
          <w:p w14:paraId="6C90F84F" w14:textId="77777777" w:rsidR="004052F5" w:rsidRPr="00D4187C" w:rsidRDefault="004052F5" w:rsidP="004052F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18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6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1092DCEC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6D3204B3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46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32EB455C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noWrap/>
            <w:vAlign w:val="center"/>
            <w:hideMark/>
          </w:tcPr>
          <w:p w14:paraId="06D0977E" w14:textId="77777777" w:rsidR="004052F5" w:rsidRPr="00D4187C" w:rsidRDefault="004052F5" w:rsidP="004052F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C6E0B4" w:fill="C6E0B4"/>
            <w:vAlign w:val="center"/>
          </w:tcPr>
          <w:p w14:paraId="0B5071AD" w14:textId="77777777" w:rsidR="004052F5" w:rsidRPr="004052F5" w:rsidRDefault="004052F5" w:rsidP="004052F5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052F5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515,23</w:t>
            </w:r>
          </w:p>
        </w:tc>
        <w:tc>
          <w:tcPr>
            <w:tcW w:w="646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14:paraId="2825B677" w14:textId="77777777" w:rsidR="004052F5" w:rsidRPr="004052F5" w:rsidRDefault="004052F5" w:rsidP="004052F5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052F5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1,29%</w:t>
            </w:r>
          </w:p>
        </w:tc>
      </w:tr>
    </w:tbl>
    <w:p w14:paraId="29DB60B4" w14:textId="77777777" w:rsidR="00D4187C" w:rsidRDefault="00D4187C" w:rsidP="00D4187C"/>
    <w:p w14:paraId="6019AEF5" w14:textId="77777777" w:rsidR="00D4187C" w:rsidRPr="00D4187C" w:rsidRDefault="00D4187C" w:rsidP="00657FB0">
      <w:pPr>
        <w:pStyle w:val="Nadpis3"/>
      </w:pPr>
      <w:bookmarkStart w:id="66" w:name="_Toc34210397"/>
      <w:r>
        <w:lastRenderedPageBreak/>
        <w:t>Anomálie související s regulačními záměry</w:t>
      </w:r>
      <w:bookmarkEnd w:id="66"/>
    </w:p>
    <w:p w14:paraId="5459D77A" w14:textId="77777777" w:rsidR="00D4187C" w:rsidRDefault="00D4187C" w:rsidP="00D4187C"/>
    <w:p w14:paraId="15AC416F" w14:textId="0E1DE97B" w:rsidR="004052F5" w:rsidRDefault="00962A95" w:rsidP="004052F5">
      <w:pPr>
        <w:pStyle w:val="NORMLN0"/>
      </w:pPr>
      <w:r>
        <w:t>V </w:t>
      </w:r>
      <w:r w:rsidR="004052F5" w:rsidRPr="00CE5B91">
        <w:t xml:space="preserve">rámci benchmarkingu vlastnických subjektů </w:t>
      </w:r>
      <w:r>
        <w:t>v </w:t>
      </w:r>
      <w:r w:rsidR="004052F5" w:rsidRPr="00CE5B91">
        <w:t xml:space="preserve">části týkající se </w:t>
      </w:r>
      <w:r w:rsidR="004052F5">
        <w:t>odpadní vody</w:t>
      </w:r>
      <w:r w:rsidR="004052F5" w:rsidRPr="00CE5B91">
        <w:t xml:space="preserve"> byl</w:t>
      </w:r>
      <w:r>
        <w:t>o </w:t>
      </w:r>
      <w:r w:rsidR="004052F5" w:rsidRPr="00CE5B91">
        <w:t>posuzován</w:t>
      </w:r>
      <w:r>
        <w:t>o </w:t>
      </w:r>
      <w:r w:rsidR="004052F5">
        <w:t>2 443</w:t>
      </w:r>
      <w:r w:rsidR="004052F5" w:rsidRPr="00CE5B91">
        <w:t xml:space="preserve"> Porovnání, která představovala </w:t>
      </w:r>
      <w:r w:rsidR="004052F5">
        <w:t>97,34</w:t>
      </w:r>
      <w:r w:rsidR="004052F5" w:rsidRPr="00CE5B91">
        <w:t xml:space="preserve">% podíl trhu stanovený </w:t>
      </w:r>
      <w:r>
        <w:t>na </w:t>
      </w:r>
      <w:r w:rsidR="004052F5" w:rsidRPr="00CE5B91">
        <w:t>základě fakturovanéh</w:t>
      </w:r>
      <w:r>
        <w:t>o </w:t>
      </w:r>
      <w:r w:rsidR="004052F5" w:rsidRPr="00CE5B91">
        <w:t xml:space="preserve">množství odváděných odpadních vod a srážkových vod (tj. </w:t>
      </w:r>
      <w:r w:rsidR="004052F5">
        <w:t>515,231 mil. m</w:t>
      </w:r>
      <w:r w:rsidR="004052F5" w:rsidRPr="00E27252">
        <w:rPr>
          <w:vertAlign w:val="superscript"/>
        </w:rPr>
        <w:t>3</w:t>
      </w:r>
      <w:r w:rsidR="004052F5">
        <w:t>)</w:t>
      </w:r>
      <w:r w:rsidR="004052F5" w:rsidRPr="00CE5B91">
        <w:t xml:space="preserve">. </w:t>
      </w:r>
      <w:r w:rsidR="004052F5">
        <w:t xml:space="preserve">Alespoň </w:t>
      </w:r>
      <w:r w:rsidR="004052F5" w:rsidRPr="006B5D19">
        <w:t>jed</w:t>
      </w:r>
      <w:r>
        <w:t>na </w:t>
      </w:r>
      <w:r w:rsidR="004052F5" w:rsidRPr="006B5D19">
        <w:t xml:space="preserve">anomálie </w:t>
      </w:r>
      <w:r w:rsidR="004052F5">
        <w:t>se celkem vyskytla</w:t>
      </w:r>
      <w:r w:rsidR="00DE53F8">
        <w:t xml:space="preserve"> u </w:t>
      </w:r>
      <w:r w:rsidR="004052F5">
        <w:t>2 335</w:t>
      </w:r>
      <w:r w:rsidR="004052F5" w:rsidRPr="00CE5B91">
        <w:t xml:space="preserve"> Porovnáních</w:t>
      </w:r>
      <w:r w:rsidR="004052F5">
        <w:t xml:space="preserve"> (tj.</w:t>
      </w:r>
      <w:r w:rsidR="004052F5" w:rsidRPr="00CE5B91" w:rsidDel="00365607">
        <w:t xml:space="preserve"> </w:t>
      </w:r>
      <w:r w:rsidR="004052F5">
        <w:t xml:space="preserve">95,58 % </w:t>
      </w:r>
      <w:r w:rsidR="004052F5" w:rsidRPr="00CE5B91">
        <w:t>počtu Porovnání</w:t>
      </w:r>
      <w:r w:rsidR="004052F5">
        <w:t xml:space="preserve">). </w:t>
      </w:r>
      <w:r w:rsidR="004052F5" w:rsidRPr="00DD5A8B">
        <w:t xml:space="preserve">Níže uvedený graf znázorňuje výskyt alespoň jedné anomálie podle podílu </w:t>
      </w:r>
      <w:r>
        <w:t>na </w:t>
      </w:r>
      <w:r w:rsidR="004052F5" w:rsidRPr="00DD5A8B">
        <w:t xml:space="preserve">trhu. </w:t>
      </w:r>
      <w:r>
        <w:t>Z </w:t>
      </w:r>
      <w:r w:rsidR="004052F5" w:rsidRPr="00DD5A8B">
        <w:t xml:space="preserve">hlediska objemu </w:t>
      </w:r>
      <w:r w:rsidR="004052F5">
        <w:t>odpadní</w:t>
      </w:r>
      <w:r w:rsidR="004052F5" w:rsidRPr="00DD5A8B">
        <w:t xml:space="preserve"> a srážkové vody fakturované l</w:t>
      </w:r>
      <w:r>
        <w:t>ze </w:t>
      </w:r>
      <w:r w:rsidR="004052F5" w:rsidRPr="00DD5A8B">
        <w:t xml:space="preserve">konstatovat, že jen </w:t>
      </w:r>
      <w:r w:rsidR="004052F5">
        <w:t>30,17</w:t>
      </w:r>
      <w:r w:rsidR="008E058B">
        <w:t> </w:t>
      </w:r>
      <w:r w:rsidR="004052F5" w:rsidRPr="00DD5A8B">
        <w:t>% analyzovanéh</w:t>
      </w:r>
      <w:r>
        <w:t>o </w:t>
      </w:r>
      <w:r w:rsidR="004052F5" w:rsidRPr="00DD5A8B">
        <w:t xml:space="preserve">trhu není </w:t>
      </w:r>
      <w:r w:rsidR="004052F5">
        <w:t>ovlivněn</w:t>
      </w:r>
      <w:r>
        <w:t>o </w:t>
      </w:r>
      <w:r w:rsidR="004052F5" w:rsidRPr="00DD5A8B">
        <w:t>výskytem anomálie.</w:t>
      </w:r>
    </w:p>
    <w:p w14:paraId="0C56F833" w14:textId="77777777" w:rsidR="004052F5" w:rsidRDefault="004052F5" w:rsidP="004052F5">
      <w:pPr>
        <w:pStyle w:val="NORMLN0"/>
      </w:pPr>
    </w:p>
    <w:p w14:paraId="7F7C6AD4" w14:textId="77777777" w:rsidR="00636AF2" w:rsidRPr="00C62639" w:rsidRDefault="004052F5" w:rsidP="00636AF2">
      <w:pPr>
        <w:ind w:firstLine="567"/>
        <w:rPr>
          <w:rFonts w:asciiTheme="minorHAnsi" w:hAnsiTheme="minorHAnsi"/>
          <w:noProof/>
        </w:rPr>
      </w:pPr>
      <w:r>
        <w:rPr>
          <w:noProof/>
          <w:lang w:eastAsia="cs-CZ"/>
        </w:rPr>
        <w:drawing>
          <wp:inline distT="0" distB="0" distL="0" distR="0" wp14:anchorId="142E4C74" wp14:editId="4F37BC41">
            <wp:extent cx="5759450" cy="3693795"/>
            <wp:effectExtent l="0" t="0" r="0" b="190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31B50F5" w14:textId="77777777" w:rsidR="004052F5" w:rsidRDefault="004052F5" w:rsidP="00636AF2">
      <w:pPr>
        <w:pStyle w:val="NORMLN0"/>
        <w:rPr>
          <w:rStyle w:val="NormlnzprvaChar"/>
        </w:rPr>
      </w:pPr>
    </w:p>
    <w:p w14:paraId="29FDB048" w14:textId="0B3EA15D" w:rsidR="00636AF2" w:rsidRDefault="004052F5" w:rsidP="00636AF2">
      <w:pPr>
        <w:pStyle w:val="NORMLN0"/>
        <w:rPr>
          <w:noProof/>
        </w:rPr>
      </w:pPr>
      <w:r w:rsidRPr="00F15643">
        <w:rPr>
          <w:rStyle w:val="NORMLNChar"/>
        </w:rPr>
        <w:t xml:space="preserve">Následující tabulka uvádí četnost výskytu </w:t>
      </w:r>
      <w:r>
        <w:rPr>
          <w:rStyle w:val="NORMLNChar"/>
        </w:rPr>
        <w:t>jednotlivých</w:t>
      </w:r>
      <w:r w:rsidRPr="00F15643">
        <w:rPr>
          <w:rStyle w:val="NORMLNChar"/>
        </w:rPr>
        <w:t xml:space="preserve"> anomálií</w:t>
      </w:r>
      <w:r>
        <w:rPr>
          <w:rStyle w:val="NORMLNChar"/>
        </w:rPr>
        <w:t xml:space="preserve"> spolu s objemy fakturované vody uvedených </w:t>
      </w:r>
      <w:r w:rsidR="00962A95">
        <w:rPr>
          <w:rStyle w:val="NORMLNChar"/>
        </w:rPr>
        <w:t>na </w:t>
      </w:r>
      <w:r>
        <w:rPr>
          <w:rStyle w:val="NORMLNChar"/>
        </w:rPr>
        <w:t xml:space="preserve">Porovnáních a s podílem dané anomálie </w:t>
      </w:r>
      <w:r w:rsidR="00962A95">
        <w:rPr>
          <w:rStyle w:val="NORMLNChar"/>
        </w:rPr>
        <w:t>na </w:t>
      </w:r>
      <w:r>
        <w:rPr>
          <w:rStyle w:val="NORMLNChar"/>
        </w:rPr>
        <w:t>celkovém objemu fakturované vody.</w:t>
      </w:r>
      <w:r w:rsidRPr="00F15643">
        <w:rPr>
          <w:rStyle w:val="NORMLNChar"/>
        </w:rPr>
        <w:t xml:space="preserve"> </w:t>
      </w:r>
      <w:r>
        <w:rPr>
          <w:rStyle w:val="NORMLNChar"/>
        </w:rPr>
        <w:t>Anomálie v</w:t>
      </w:r>
      <w:r w:rsidRPr="00F15643">
        <w:rPr>
          <w:rStyle w:val="NORMLNChar"/>
        </w:rPr>
        <w:t xml:space="preserve">ypovídají </w:t>
      </w:r>
      <w:r w:rsidR="00962A95">
        <w:rPr>
          <w:rStyle w:val="NORMLNChar"/>
        </w:rPr>
        <w:t>o </w:t>
      </w:r>
      <w:r w:rsidRPr="00F15643">
        <w:rPr>
          <w:rStyle w:val="NORMLNChar"/>
        </w:rPr>
        <w:t xml:space="preserve">stavu infrastruktury, </w:t>
      </w:r>
      <w:r w:rsidR="00962A95">
        <w:rPr>
          <w:rStyle w:val="NORMLNChar"/>
        </w:rPr>
        <w:t>o </w:t>
      </w:r>
      <w:r w:rsidRPr="00F15643">
        <w:rPr>
          <w:rStyle w:val="NORMLNChar"/>
        </w:rPr>
        <w:t>možném nevyváženém nastavení obchodních vztahů mezi vlastníky a provozovateli, sledují výskyt zápornéh</w:t>
      </w:r>
      <w:r w:rsidR="00962A95">
        <w:rPr>
          <w:rStyle w:val="NORMLNChar"/>
        </w:rPr>
        <w:t>o </w:t>
      </w:r>
      <w:r w:rsidRPr="00F15643">
        <w:rPr>
          <w:rStyle w:val="NORMLNChar"/>
        </w:rPr>
        <w:t>kalkulačníh</w:t>
      </w:r>
      <w:r w:rsidR="00962A95">
        <w:rPr>
          <w:rStyle w:val="NORMLNChar"/>
        </w:rPr>
        <w:t>o </w:t>
      </w:r>
      <w:r w:rsidRPr="00F15643">
        <w:rPr>
          <w:rStyle w:val="NORMLNChar"/>
        </w:rPr>
        <w:t>zisku</w:t>
      </w:r>
      <w:r>
        <w:rPr>
          <w:rStyle w:val="NORMLNChar"/>
        </w:rPr>
        <w:t xml:space="preserve">. </w:t>
      </w:r>
      <w:r w:rsidRPr="00F15643">
        <w:rPr>
          <w:rStyle w:val="NORMLNChar"/>
        </w:rPr>
        <w:t>Jsou t</w:t>
      </w:r>
      <w:r w:rsidR="00962A95">
        <w:rPr>
          <w:rStyle w:val="NORMLNChar"/>
        </w:rPr>
        <w:t>o </w:t>
      </w:r>
      <w:r w:rsidRPr="00F15643">
        <w:rPr>
          <w:rStyle w:val="NORMLNChar"/>
        </w:rPr>
        <w:t>oblasti, které přím</w:t>
      </w:r>
      <w:r w:rsidR="00962A95">
        <w:rPr>
          <w:rStyle w:val="NORMLNChar"/>
        </w:rPr>
        <w:t>o </w:t>
      </w:r>
      <w:r w:rsidRPr="00F15643">
        <w:rPr>
          <w:rStyle w:val="NORMLNChar"/>
        </w:rPr>
        <w:t xml:space="preserve">ovlivňují možnost vlastníka vytvářet </w:t>
      </w:r>
      <w:r>
        <w:rPr>
          <w:rStyle w:val="NORMLNChar"/>
        </w:rPr>
        <w:t>P</w:t>
      </w:r>
      <w:r w:rsidR="00962A95">
        <w:rPr>
          <w:rStyle w:val="NORMLNChar"/>
        </w:rPr>
        <w:t>O ze </w:t>
      </w:r>
      <w:r>
        <w:rPr>
          <w:rStyle w:val="NORMLNChar"/>
        </w:rPr>
        <w:t>stočnéh</w:t>
      </w:r>
      <w:r w:rsidR="00962A95">
        <w:rPr>
          <w:rStyle w:val="NORMLNChar"/>
        </w:rPr>
        <w:t>o v </w:t>
      </w:r>
      <w:r w:rsidRPr="00F15643">
        <w:rPr>
          <w:rStyle w:val="NORMLNChar"/>
        </w:rPr>
        <w:t>potřebné výši.</w:t>
      </w:r>
      <w:r w:rsidR="00636AF2">
        <w:rPr>
          <w:noProof/>
        </w:rPr>
        <w:t xml:space="preserve"> </w:t>
      </w:r>
    </w:p>
    <w:p w14:paraId="04607581" w14:textId="77777777" w:rsidR="00636AF2" w:rsidRDefault="00636AF2" w:rsidP="00636AF2">
      <w:pPr>
        <w:pStyle w:val="NORMLN0"/>
      </w:pPr>
      <w:r w:rsidRPr="00CE5B91">
        <w:rPr>
          <w:rStyle w:val="NORMLNChar"/>
        </w:rPr>
        <w:t xml:space="preserve"> </w:t>
      </w:r>
    </w:p>
    <w:p w14:paraId="038883F3" w14:textId="77777777" w:rsidR="00636AF2" w:rsidRPr="00C62639" w:rsidRDefault="00A37FCB" w:rsidP="00277D08">
      <w:pPr>
        <w:tabs>
          <w:tab w:val="left" w:pos="851"/>
        </w:tabs>
        <w:rPr>
          <w:rFonts w:asciiTheme="minorHAnsi" w:hAnsiTheme="minorHAnsi"/>
          <w:noProof/>
        </w:rPr>
      </w:pPr>
      <w:r>
        <w:rPr>
          <w:noProof/>
        </w:rPr>
        <w:lastRenderedPageBreak/>
        <w:object w:dxaOrig="1440" w:dyaOrig="1440" w14:anchorId="6B196C66">
          <v:shape id="_x0000_s1032" type="#_x0000_t75" style="position:absolute;left:0;text-align:left;margin-left:-44.95pt;margin-top:24.05pt;width:541.05pt;height:367.85pt;z-index:251685888;mso-position-horizontal-relative:text;mso-position-vertical-relative:text">
            <v:imagedata r:id="rId24" o:title=""/>
            <w10:wrap type="topAndBottom"/>
          </v:shape>
          <o:OLEObject Type="Embed" ProgID="Excel.Sheet.12" ShapeID="_x0000_s1032" DrawAspect="Content" ObjectID="_1662960754" r:id="rId25"/>
        </w:object>
      </w:r>
      <w:r w:rsidR="00277D08">
        <w:rPr>
          <w:rFonts w:asciiTheme="minorHAnsi" w:hAnsiTheme="minorHAnsi"/>
          <w:noProof/>
        </w:rPr>
        <w:tab/>
      </w:r>
    </w:p>
    <w:p w14:paraId="273AA997" w14:textId="77777777" w:rsidR="004052F5" w:rsidRDefault="004052F5" w:rsidP="004052F5">
      <w:pPr>
        <w:pStyle w:val="NORMLN0"/>
        <w:rPr>
          <w:noProof/>
        </w:rPr>
      </w:pPr>
    </w:p>
    <w:p w14:paraId="1088D50F" w14:textId="77777777" w:rsidR="004052F5" w:rsidRDefault="004052F5" w:rsidP="004052F5">
      <w:pPr>
        <w:pStyle w:val="NORMLN0"/>
        <w:rPr>
          <w:noProof/>
        </w:rPr>
      </w:pPr>
    </w:p>
    <w:p w14:paraId="6C6253B3" w14:textId="0C605489" w:rsidR="004052F5" w:rsidRPr="003E34AC" w:rsidRDefault="00962A95" w:rsidP="003E34AC">
      <w:pPr>
        <w:pStyle w:val="NORMLN0"/>
      </w:pPr>
      <w:r>
        <w:t>V </w:t>
      </w:r>
      <w:r w:rsidR="004052F5" w:rsidRPr="003E34AC">
        <w:t>pořadí prvních</w:t>
      </w:r>
      <w:r w:rsidR="00371EFB" w:rsidRPr="003E34AC">
        <w:t xml:space="preserve"> </w:t>
      </w:r>
      <w:r w:rsidR="004052F5" w:rsidRPr="003E34AC">
        <w:t>tří nejvýznamnějších anomálií oproti loňskému roku došl</w:t>
      </w:r>
      <w:r>
        <w:t>o</w:t>
      </w:r>
      <w:r w:rsidR="00BD5FF3">
        <w:t xml:space="preserve"> ke </w:t>
      </w:r>
      <w:r w:rsidR="004052F5" w:rsidRPr="003E34AC">
        <w:t>změně, vysoký podíl kalkulačníh</w:t>
      </w:r>
      <w:r>
        <w:t>o </w:t>
      </w:r>
      <w:r w:rsidR="004052F5" w:rsidRPr="003E34AC">
        <w:t xml:space="preserve">zisku </w:t>
      </w:r>
      <w:r>
        <w:t>k </w:t>
      </w:r>
      <w:r w:rsidR="004052F5" w:rsidRPr="003E34AC">
        <w:t xml:space="preserve">rozdělení </w:t>
      </w:r>
      <w:r>
        <w:t>na </w:t>
      </w:r>
      <w:r w:rsidR="004052F5" w:rsidRPr="003E34AC">
        <w:t>ÚVN předstihla nedostatečná tvorba PO, podíly zasaženéh</w:t>
      </w:r>
      <w:r>
        <w:t>o </w:t>
      </w:r>
      <w:r w:rsidR="004052F5" w:rsidRPr="003E34AC">
        <w:t>trhu se</w:t>
      </w:r>
      <w:r w:rsidR="00DE53F8">
        <w:t xml:space="preserve"> u </w:t>
      </w:r>
      <w:r w:rsidR="004052F5" w:rsidRPr="003E34AC">
        <w:t>nejvýznamnějších anomálií s výjimkou zápornéh</w:t>
      </w:r>
      <w:r>
        <w:t>o </w:t>
      </w:r>
      <w:r w:rsidR="004052F5" w:rsidRPr="003E34AC">
        <w:t>ka</w:t>
      </w:r>
      <w:r w:rsidR="003E34AC">
        <w:t>l</w:t>
      </w:r>
      <w:r w:rsidR="004052F5" w:rsidRPr="003E34AC">
        <w:t>kulačníh</w:t>
      </w:r>
      <w:r>
        <w:t>o </w:t>
      </w:r>
      <w:r w:rsidR="004052F5" w:rsidRPr="003E34AC">
        <w:t xml:space="preserve">zisku snížily. </w:t>
      </w:r>
      <w:r>
        <w:t>V </w:t>
      </w:r>
      <w:r w:rsidR="004052F5" w:rsidRPr="003E34AC">
        <w:t>porovnání s pitnou vodo</w:t>
      </w:r>
      <w:r w:rsidR="003E34AC">
        <w:t>u se</w:t>
      </w:r>
      <w:r w:rsidR="00DE53F8">
        <w:t xml:space="preserve"> u odpadní vody vyskytují</w:t>
      </w:r>
      <w:r w:rsidR="003E34AC">
        <w:t xml:space="preserve"> ně</w:t>
      </w:r>
      <w:r w:rsidR="004052F5" w:rsidRPr="003E34AC">
        <w:t>kolik</w:t>
      </w:r>
      <w:r w:rsidR="003E34AC">
        <w:t>a</w:t>
      </w:r>
      <w:r w:rsidR="004052F5" w:rsidRPr="003E34AC">
        <w:t xml:space="preserve">násobně více Porovnání s nulovou cenou </w:t>
      </w:r>
      <w:r>
        <w:t>pro </w:t>
      </w:r>
      <w:r w:rsidR="004052F5" w:rsidRPr="003E34AC">
        <w:t xml:space="preserve">stočné (jedná se </w:t>
      </w:r>
      <w:r>
        <w:t>o </w:t>
      </w:r>
      <w:r w:rsidR="004052F5" w:rsidRPr="003E34AC">
        <w:t>103 Porovnání).</w:t>
      </w:r>
      <w:r w:rsidR="00371EFB" w:rsidRPr="003E34AC">
        <w:t xml:space="preserve"> </w:t>
      </w:r>
      <w:r>
        <w:t>Na </w:t>
      </w:r>
      <w:r w:rsidR="003E34AC">
        <w:t>základě ú</w:t>
      </w:r>
      <w:r w:rsidR="004052F5" w:rsidRPr="003E34AC">
        <w:t xml:space="preserve">dajů </w:t>
      </w:r>
      <w:r>
        <w:t>v </w:t>
      </w:r>
      <w:r w:rsidR="004052F5" w:rsidRPr="003E34AC">
        <w:t>tabulce výše l</w:t>
      </w:r>
      <w:r>
        <w:t>ze </w:t>
      </w:r>
      <w:r w:rsidR="004052F5" w:rsidRPr="003E34AC">
        <w:t>i</w:t>
      </w:r>
      <w:r w:rsidR="00DE53F8">
        <w:t xml:space="preserve"> u </w:t>
      </w:r>
      <w:r w:rsidR="004052F5" w:rsidRPr="003E34AC">
        <w:t>odpadní vody konstatovat, že vlastníci nekalkulují d</w:t>
      </w:r>
      <w:r>
        <w:t>o </w:t>
      </w:r>
      <w:r w:rsidR="004052F5" w:rsidRPr="003E34AC">
        <w:t xml:space="preserve">ceny </w:t>
      </w:r>
      <w:r>
        <w:t>pro </w:t>
      </w:r>
      <w:r w:rsidR="004052F5" w:rsidRPr="003E34AC">
        <w:t>stočné, popřípadě d</w:t>
      </w:r>
      <w:r>
        <w:t>o </w:t>
      </w:r>
      <w:r w:rsidR="004052F5" w:rsidRPr="003E34AC">
        <w:t>nájemnéh</w:t>
      </w:r>
      <w:r>
        <w:t>o </w:t>
      </w:r>
      <w:r w:rsidR="004052F5" w:rsidRPr="003E34AC">
        <w:t>VIM dostatečné množství P</w:t>
      </w:r>
      <w:r>
        <w:t>O </w:t>
      </w:r>
      <w:r w:rsidR="004052F5" w:rsidRPr="003E34AC">
        <w:t xml:space="preserve">a běžně přistupují </w:t>
      </w:r>
      <w:r>
        <w:t>k </w:t>
      </w:r>
      <w:r w:rsidR="004052F5" w:rsidRPr="003E34AC">
        <w:t>dotaci ceny. Stejně jak</w:t>
      </w:r>
      <w:r>
        <w:t>o</w:t>
      </w:r>
      <w:r w:rsidR="00DE53F8">
        <w:t xml:space="preserve"> u </w:t>
      </w:r>
      <w:r w:rsidR="004052F5" w:rsidRPr="003E34AC">
        <w:t xml:space="preserve">pitné vody platí, že nejvýznamnější anomálii podle objemu fakturované vody - vysoký počet poruch </w:t>
      </w:r>
      <w:r>
        <w:t>na </w:t>
      </w:r>
      <w:r w:rsidR="004052F5" w:rsidRPr="003E34AC">
        <w:t>1 km rozvodné sítě l</w:t>
      </w:r>
      <w:r>
        <w:t>ze </w:t>
      </w:r>
      <w:r w:rsidR="004052F5" w:rsidRPr="003E34AC">
        <w:t>jen těžk</w:t>
      </w:r>
      <w:r>
        <w:t>o </w:t>
      </w:r>
      <w:r w:rsidR="004052F5" w:rsidRPr="003E34AC">
        <w:t xml:space="preserve">jednoznačně interpretovat </w:t>
      </w:r>
      <w:r>
        <w:t>z </w:t>
      </w:r>
      <w:r w:rsidR="004052F5" w:rsidRPr="003E34AC">
        <w:t>důvodu možnéh</w:t>
      </w:r>
      <w:r>
        <w:t>o </w:t>
      </w:r>
      <w:r w:rsidR="004052F5" w:rsidRPr="003E34AC">
        <w:t>rozdílnéh</w:t>
      </w:r>
      <w:r>
        <w:t>o </w:t>
      </w:r>
      <w:r w:rsidR="004052F5" w:rsidRPr="003E34AC">
        <w:t>chápání pojmu porucha. Její průměrná hodnota (vi</w:t>
      </w:r>
      <w:r>
        <w:t>z </w:t>
      </w:r>
      <w:r w:rsidR="004052F5" w:rsidRPr="003E34AC">
        <w:t>kapitola 3.2), výskyt a podíl zasaženéh</w:t>
      </w:r>
      <w:r>
        <w:t>o </w:t>
      </w:r>
      <w:r w:rsidR="004052F5" w:rsidRPr="003E34AC">
        <w:t>trhu významně nemění.</w:t>
      </w:r>
    </w:p>
    <w:p w14:paraId="1331DD29" w14:textId="75CD483F" w:rsidR="00636AF2" w:rsidRDefault="00277D08" w:rsidP="00636AF2">
      <w:pPr>
        <w:pStyle w:val="NORMLN0"/>
        <w:rPr>
          <w:noProof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6912" behindDoc="0" locked="0" layoutInCell="1" allowOverlap="1" wp14:anchorId="6CA16466" wp14:editId="0695A07C">
            <wp:simplePos x="0" y="0"/>
            <wp:positionH relativeFrom="margin">
              <wp:align>left</wp:align>
            </wp:positionH>
            <wp:positionV relativeFrom="paragraph">
              <wp:posOffset>506509</wp:posOffset>
            </wp:positionV>
            <wp:extent cx="5955030" cy="7776210"/>
            <wp:effectExtent l="0" t="0" r="7620" b="0"/>
            <wp:wrapTopAndBottom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EBC8AACD-CE14-47BB-A535-FE7E1FF8C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A95">
        <w:rPr>
          <w:noProof/>
        </w:rPr>
        <w:t>V </w:t>
      </w:r>
      <w:r w:rsidR="00636AF2">
        <w:rPr>
          <w:noProof/>
        </w:rPr>
        <w:t xml:space="preserve">následujícím grafu jsou uvedeny jednotlivé anomálie podle zasažené fakturované vody </w:t>
      </w:r>
      <w:r w:rsidR="00962A95">
        <w:rPr>
          <w:noProof/>
        </w:rPr>
        <w:t>na </w:t>
      </w:r>
      <w:r w:rsidR="00636AF2">
        <w:rPr>
          <w:noProof/>
        </w:rPr>
        <w:t>celkovém objemu fakturované vody analyzovanéh</w:t>
      </w:r>
      <w:r w:rsidR="00962A95">
        <w:rPr>
          <w:noProof/>
        </w:rPr>
        <w:t>o </w:t>
      </w:r>
      <w:r w:rsidR="00636AF2">
        <w:rPr>
          <w:noProof/>
        </w:rPr>
        <w:t xml:space="preserve">trhu. </w:t>
      </w:r>
    </w:p>
    <w:p w14:paraId="7AFE2D5B" w14:textId="77777777" w:rsidR="00277D08" w:rsidRDefault="00277D08" w:rsidP="00636AF2">
      <w:pPr>
        <w:pStyle w:val="NORMLN0"/>
        <w:rPr>
          <w:rFonts w:asciiTheme="minorHAnsi" w:hAnsiTheme="minorHAnsi"/>
          <w:noProof/>
        </w:rPr>
      </w:pPr>
    </w:p>
    <w:p w14:paraId="041EF67F" w14:textId="718A3AD2" w:rsidR="00636AF2" w:rsidRPr="00C62639" w:rsidRDefault="00636AF2" w:rsidP="00636AF2">
      <w:pPr>
        <w:pStyle w:val="Nadpis3"/>
        <w:rPr>
          <w:rFonts w:asciiTheme="minorHAnsi" w:hAnsiTheme="minorHAnsi"/>
          <w:noProof/>
        </w:rPr>
      </w:pPr>
      <w:bookmarkStart w:id="67" w:name="_Toc963486"/>
      <w:bookmarkStart w:id="68" w:name="_Toc34210398"/>
      <w:r>
        <w:rPr>
          <w:rFonts w:asciiTheme="minorHAnsi" w:hAnsiTheme="minorHAnsi"/>
          <w:noProof/>
        </w:rPr>
        <w:lastRenderedPageBreak/>
        <w:t>N</w:t>
      </w:r>
      <w:r w:rsidRPr="00C62639">
        <w:rPr>
          <w:rFonts w:asciiTheme="minorHAnsi" w:hAnsiTheme="minorHAnsi"/>
          <w:noProof/>
        </w:rPr>
        <w:t xml:space="preserve">edostatečná tvorba prostředků </w:t>
      </w:r>
      <w:r w:rsidR="00962A95">
        <w:rPr>
          <w:rFonts w:asciiTheme="minorHAnsi" w:hAnsiTheme="minorHAnsi"/>
          <w:noProof/>
        </w:rPr>
        <w:t>na </w:t>
      </w:r>
      <w:r w:rsidRPr="00C62639">
        <w:rPr>
          <w:rFonts w:asciiTheme="minorHAnsi" w:hAnsiTheme="minorHAnsi"/>
          <w:noProof/>
        </w:rPr>
        <w:t>obnovu</w:t>
      </w:r>
      <w:bookmarkEnd w:id="67"/>
      <w:bookmarkEnd w:id="68"/>
    </w:p>
    <w:p w14:paraId="32E3121F" w14:textId="6AA4BCD9" w:rsidR="004052F5" w:rsidRDefault="004052F5" w:rsidP="004052F5">
      <w:pPr>
        <w:pStyle w:val="NORMLN0"/>
      </w:pPr>
      <w:r w:rsidRPr="004E369D">
        <w:t xml:space="preserve">Celková výše chybějících </w:t>
      </w:r>
      <w:r>
        <w:t>P</w:t>
      </w:r>
      <w:r w:rsidR="00962A95">
        <w:t>O </w:t>
      </w:r>
      <w:r w:rsidRPr="004E369D">
        <w:t xml:space="preserve">činí </w:t>
      </w:r>
      <w:r>
        <w:t>1,046 m</w:t>
      </w:r>
      <w:r w:rsidRPr="004E369D">
        <w:t>l</w:t>
      </w:r>
      <w:r>
        <w:t>d</w:t>
      </w:r>
      <w:r w:rsidRPr="004E369D">
        <w:t xml:space="preserve">. Kč. Celkové </w:t>
      </w:r>
      <w:r>
        <w:t xml:space="preserve">tržby </w:t>
      </w:r>
      <w:r w:rsidR="00962A95">
        <w:t>za </w:t>
      </w:r>
      <w:r>
        <w:t>stočné činily</w:t>
      </w:r>
      <w:r w:rsidRPr="004E369D">
        <w:t xml:space="preserve"> </w:t>
      </w:r>
      <w:r>
        <w:t>17,317 </w:t>
      </w:r>
      <w:r w:rsidRPr="004E369D">
        <w:t>mld. Kč</w:t>
      </w:r>
      <w:r>
        <w:t xml:space="preserve">. </w:t>
      </w:r>
      <w:r w:rsidR="00962A95">
        <w:t>Pro </w:t>
      </w:r>
      <w:r>
        <w:t>zabezpečení minimální teoretické výše P</w:t>
      </w:r>
      <w:r w:rsidR="00962A95">
        <w:t>O </w:t>
      </w:r>
      <w:r>
        <w:t xml:space="preserve">by měly tržby </w:t>
      </w:r>
      <w:r w:rsidR="00962A95">
        <w:t>za </w:t>
      </w:r>
      <w:r>
        <w:t xml:space="preserve">stočné být </w:t>
      </w:r>
      <w:r w:rsidR="00962A95">
        <w:t>o </w:t>
      </w:r>
      <w:r w:rsidRPr="004E369D">
        <w:t xml:space="preserve">chybějící </w:t>
      </w:r>
      <w:r>
        <w:t>P</w:t>
      </w:r>
      <w:r w:rsidR="00962A95">
        <w:t>O </w:t>
      </w:r>
      <w:r>
        <w:t xml:space="preserve">(tj. </w:t>
      </w:r>
      <w:r w:rsidR="00962A95">
        <w:t>o </w:t>
      </w:r>
      <w:r>
        <w:t>6,04</w:t>
      </w:r>
      <w:r w:rsidRPr="004E369D">
        <w:t xml:space="preserve"> %) vyšší. </w:t>
      </w:r>
      <w:r w:rsidR="00962A95">
        <w:t>Na </w:t>
      </w:r>
      <w:r>
        <w:t>1 m</w:t>
      </w:r>
      <w:r w:rsidRPr="000C0870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fakturované vody podle analyzovaných Porovnání připadá zjednodušeným výpočtem 2,03 Kč chybějících PO.</w:t>
      </w:r>
    </w:p>
    <w:p w14:paraId="4C3AFAA4" w14:textId="300DFD90" w:rsidR="004052F5" w:rsidRDefault="00A37FCB" w:rsidP="004052F5">
      <w:pPr>
        <w:pStyle w:val="NORMLN0"/>
      </w:pPr>
      <w:r>
        <w:rPr>
          <w:noProof/>
        </w:rPr>
        <w:object w:dxaOrig="1440" w:dyaOrig="1440" w14:anchorId="20ADA3FB">
          <v:shape id="_x0000_s1038" type="#_x0000_t75" style="position:absolute;left:0;text-align:left;margin-left:-25.65pt;margin-top:76.4pt;width:503.55pt;height:186.55pt;z-index:251706368">
            <v:imagedata r:id="rId27" o:title=""/>
            <w10:wrap type="topAndBottom"/>
          </v:shape>
          <o:OLEObject Type="Embed" ProgID="Excel.Sheet.12" ShapeID="_x0000_s1038" DrawAspect="Content" ObjectID="_1662960755" r:id="rId28"/>
        </w:object>
      </w:r>
      <w:r w:rsidR="004052F5" w:rsidRPr="004C54AE">
        <w:t xml:space="preserve"> </w:t>
      </w:r>
      <w:r w:rsidR="004052F5">
        <w:t>Výpočet chybějících P</w:t>
      </w:r>
      <w:r w:rsidR="00962A95">
        <w:t>O </w:t>
      </w:r>
      <w:r w:rsidR="004052F5">
        <w:t xml:space="preserve">spočívá </w:t>
      </w:r>
      <w:r w:rsidR="00962A95">
        <w:t>v </w:t>
      </w:r>
      <w:r w:rsidR="004052F5">
        <w:t>rozdílu mezi minimální teoretickou výší prostředků obnovy (výpočet vi</w:t>
      </w:r>
      <w:r w:rsidR="00962A95">
        <w:t>z </w:t>
      </w:r>
      <w:r w:rsidR="004052F5">
        <w:t xml:space="preserve">kapitola </w:t>
      </w:r>
      <w:r w:rsidR="003F6F10" w:rsidRPr="003F6F10">
        <w:t>10.2</w:t>
      </w:r>
      <w:r w:rsidR="004052F5" w:rsidRPr="003F6F10">
        <w:t xml:space="preserve">) </w:t>
      </w:r>
      <w:r w:rsidR="004052F5">
        <w:t xml:space="preserve">a skutečnou výší prostředků obnovy generovanou </w:t>
      </w:r>
      <w:r w:rsidR="00962A95">
        <w:t>ve </w:t>
      </w:r>
      <w:r w:rsidR="004052F5">
        <w:t>stočném (výpočet vi</w:t>
      </w:r>
      <w:r w:rsidR="00962A95">
        <w:t>z </w:t>
      </w:r>
      <w:r w:rsidR="004052F5">
        <w:t>kapitola 1</w:t>
      </w:r>
      <w:r w:rsidR="003F6F10">
        <w:t>0</w:t>
      </w:r>
      <w:r w:rsidR="004052F5">
        <w:t>.</w:t>
      </w:r>
      <w:r w:rsidR="003F6F10">
        <w:t>3</w:t>
      </w:r>
      <w:r w:rsidR="004052F5">
        <w:t xml:space="preserve">). Přehled výše chybějících prostředků </w:t>
      </w:r>
      <w:r w:rsidR="00962A95">
        <w:t>na </w:t>
      </w:r>
      <w:r w:rsidR="004052F5">
        <w:t xml:space="preserve">obnovu </w:t>
      </w:r>
      <w:r w:rsidR="00962A95">
        <w:t>v </w:t>
      </w:r>
      <w:r w:rsidR="004052F5">
        <w:t xml:space="preserve">mil. Kč </w:t>
      </w:r>
      <w:r w:rsidR="00962A95">
        <w:t>v </w:t>
      </w:r>
      <w:r w:rsidR="004052F5">
        <w:t xml:space="preserve">členění podle modelu provozování a jednotlivých skupin vlastníků je uveden </w:t>
      </w:r>
      <w:r w:rsidR="00962A95">
        <w:t>v </w:t>
      </w:r>
      <w:r w:rsidR="004052F5">
        <w:t>následující tabulce.</w:t>
      </w:r>
    </w:p>
    <w:p w14:paraId="0DAE3515" w14:textId="77777777" w:rsidR="00636AF2" w:rsidRDefault="00636AF2" w:rsidP="00636AF2">
      <w:pPr>
        <w:pStyle w:val="Normlnzprva"/>
      </w:pPr>
    </w:p>
    <w:p w14:paraId="6F370F63" w14:textId="2EDA4909" w:rsidR="004052F5" w:rsidRDefault="004052F5" w:rsidP="004052F5">
      <w:pPr>
        <w:pStyle w:val="NORMLN0"/>
      </w:pPr>
      <w:r>
        <w:t>Nejvíce chybějících P</w:t>
      </w:r>
      <w:r w:rsidR="00962A95">
        <w:t>O </w:t>
      </w:r>
      <w:r>
        <w:t>byl</w:t>
      </w:r>
      <w:r w:rsidR="00962A95">
        <w:t>o </w:t>
      </w:r>
      <w:r>
        <w:t>identifikován</w:t>
      </w:r>
      <w:r w:rsidR="00962A95">
        <w:t>o</w:t>
      </w:r>
      <w:r w:rsidR="00DE53F8">
        <w:t xml:space="preserve"> u </w:t>
      </w:r>
      <w:r>
        <w:t>Porovnání IV. vlastnické skupiny (1</w:t>
      </w:r>
      <w:r w:rsidR="00CB1E06">
        <w:t> </w:t>
      </w:r>
      <w:r>
        <w:t xml:space="preserve">517 Porovnání, tj. 91,83 % Porovnání skupiny) a podobná situace je </w:t>
      </w:r>
      <w:r w:rsidR="00962A95">
        <w:t>ve </w:t>
      </w:r>
      <w:r>
        <w:t>III. vlastnické skupině (236 Porovnání, tj. 78,93 % Porovnání skupiny).</w:t>
      </w:r>
      <w:r w:rsidR="00371EFB">
        <w:t xml:space="preserve"> </w:t>
      </w:r>
      <w:r w:rsidR="00962A95">
        <w:t>V </w:t>
      </w:r>
      <w:r>
        <w:t xml:space="preserve">celém souboru analyzovaných dat se problematika nedostatečné tvorby prostředků </w:t>
      </w:r>
      <w:r w:rsidR="00962A95">
        <w:t>na </w:t>
      </w:r>
      <w:r>
        <w:t>obnovu týká zejmé</w:t>
      </w:r>
      <w:r w:rsidR="00962A95">
        <w:t>na</w:t>
      </w:r>
      <w:r w:rsidR="00CB1E06">
        <w:t xml:space="preserve"> </w:t>
      </w:r>
      <w:r>
        <w:t>smíšenéh</w:t>
      </w:r>
      <w:r w:rsidR="00962A95">
        <w:t>o</w:t>
      </w:r>
      <w:r w:rsidR="00CB1E06">
        <w:t xml:space="preserve"> </w:t>
      </w:r>
      <w:r>
        <w:t>provozování a čistě oddílnéh</w:t>
      </w:r>
      <w:r w:rsidR="00962A95">
        <w:t>o</w:t>
      </w:r>
      <w:r w:rsidR="00CB1E06">
        <w:t xml:space="preserve"> </w:t>
      </w:r>
      <w:r>
        <w:t>modelu.</w:t>
      </w:r>
    </w:p>
    <w:p w14:paraId="2E5641FA" w14:textId="77777777" w:rsidR="00657FB0" w:rsidRDefault="00657FB0" w:rsidP="004052F5">
      <w:pPr>
        <w:pStyle w:val="NORMLN0"/>
      </w:pPr>
    </w:p>
    <w:p w14:paraId="3E2DD4C9" w14:textId="00378359" w:rsidR="00657FB0" w:rsidRDefault="004052F5" w:rsidP="004052F5">
      <w:pPr>
        <w:pStyle w:val="NORMLN0"/>
      </w:pPr>
      <w:r>
        <w:t xml:space="preserve">Následující tabulky srovnávají průměrné hodnoty vybraných ukazatelů spočtené </w:t>
      </w:r>
      <w:r w:rsidR="00962A95">
        <w:t>za </w:t>
      </w:r>
      <w:r>
        <w:t>Porovnání s dostatečnou tvorbou P</w:t>
      </w:r>
      <w:r w:rsidR="00962A95">
        <w:t>O</w:t>
      </w:r>
      <w:r w:rsidR="00CB1E06">
        <w:t xml:space="preserve"> </w:t>
      </w:r>
      <w:r>
        <w:t xml:space="preserve">a </w:t>
      </w:r>
      <w:r w:rsidR="00962A95">
        <w:t>za </w:t>
      </w:r>
      <w:r>
        <w:t>Porovnání s nedostatečnou tvorbou P</w:t>
      </w:r>
      <w:r w:rsidR="00962A95">
        <w:t>O </w:t>
      </w:r>
      <w:r>
        <w:t>(členění dle vlastnických skupin).</w:t>
      </w:r>
    </w:p>
    <w:tbl>
      <w:tblPr>
        <w:tblW w:w="5634" w:type="pct"/>
        <w:tblInd w:w="-6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139"/>
        <w:gridCol w:w="1091"/>
        <w:gridCol w:w="1091"/>
        <w:gridCol w:w="1519"/>
        <w:gridCol w:w="1617"/>
        <w:gridCol w:w="1296"/>
      </w:tblGrid>
      <w:tr w:rsidR="00657FB0" w:rsidRPr="002E34E5" w14:paraId="7611E4A8" w14:textId="77777777" w:rsidTr="002E34E5">
        <w:trPr>
          <w:trHeight w:val="21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AC294"/>
            <w:noWrap/>
            <w:vAlign w:val="center"/>
            <w:hideMark/>
          </w:tcPr>
          <w:p w14:paraId="2B1F97DE" w14:textId="77777777" w:rsidR="00657FB0" w:rsidRPr="002E34E5" w:rsidRDefault="00657FB0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DOSTATEČNÁ MINIMÁLNÍ TVORBA</w:t>
            </w:r>
          </w:p>
        </w:tc>
      </w:tr>
      <w:tr w:rsidR="002E34E5" w:rsidRPr="002E34E5" w14:paraId="344E8B38" w14:textId="77777777" w:rsidTr="002E34E5">
        <w:trPr>
          <w:trHeight w:val="1054"/>
        </w:trPr>
        <w:tc>
          <w:tcPr>
            <w:tcW w:w="120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  <w:noWrap/>
            <w:vAlign w:val="center"/>
            <w:hideMark/>
          </w:tcPr>
          <w:p w14:paraId="277DE609" w14:textId="2921573C" w:rsidR="006663E3" w:rsidRPr="002E34E5" w:rsidRDefault="006663E3" w:rsidP="00FE3F65">
            <w:pPr>
              <w:spacing w:before="0" w:after="0"/>
              <w:ind w:left="113" w:right="113"/>
              <w:contextualSpacing w:val="0"/>
              <w:jc w:val="left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SKUPINA VLASTNÍKŮ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  <w:vAlign w:val="center"/>
            <w:hideMark/>
          </w:tcPr>
          <w:p w14:paraId="23EEBB6B" w14:textId="77777777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POČET POROVNÁNÍ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  <w:vAlign w:val="center"/>
            <w:hideMark/>
          </w:tcPr>
          <w:p w14:paraId="1898AAAD" w14:textId="77777777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HODNOTA OKF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  <w:vAlign w:val="center"/>
            <w:hideMark/>
          </w:tcPr>
          <w:p w14:paraId="28324BCB" w14:textId="77777777" w:rsidR="002E34E5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 xml:space="preserve">PRŮMĚRNÁ </w:t>
            </w:r>
            <w:r w:rsidR="002E34E5"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C</w:t>
            </w: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ENA PRO </w:t>
            </w:r>
          </w:p>
          <w:p w14:paraId="780D8864" w14:textId="5074B436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STOČNÉ (KČ/M3)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  <w:vAlign w:val="center"/>
            <w:hideMark/>
          </w:tcPr>
          <w:p w14:paraId="102111BD" w14:textId="77777777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HODNOTA JEDNOTKOVÝCH NÁKLADŮ (KČ/M3)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  <w:vAlign w:val="center"/>
          </w:tcPr>
          <w:p w14:paraId="55E16F09" w14:textId="42D566FE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VÝŠE TEORETICKÉ CENY PRO PLNĚNÍ OBNOVY PŘI NULOVÉM ZISKU (KČ/M3)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79646" w:fill="F79646"/>
          </w:tcPr>
          <w:p w14:paraId="45499E66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POČET POROVNÁNÍ SE ZÁPORNÝM KALKULAČNÍM ZISKEM</w:t>
            </w:r>
          </w:p>
        </w:tc>
      </w:tr>
      <w:tr w:rsidR="002E34E5" w:rsidRPr="002E34E5" w14:paraId="16FA96F5" w14:textId="77777777" w:rsidTr="002E34E5">
        <w:trPr>
          <w:trHeight w:val="115"/>
        </w:trPr>
        <w:tc>
          <w:tcPr>
            <w:tcW w:w="120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14:paraId="443FA6DB" w14:textId="19CA9B3E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  <w:t>I.SKUPINA (&gt;10 000 MIL.KČ)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58F0EC49" w14:textId="77777777" w:rsidR="006663E3" w:rsidRPr="002E34E5" w:rsidRDefault="006663E3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2DA5865C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42204918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6BA0F71B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31,19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vAlign w:val="center"/>
          </w:tcPr>
          <w:p w14:paraId="1934BB66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vAlign w:val="center"/>
          </w:tcPr>
          <w:p w14:paraId="3BF3E73B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0</w:t>
            </w:r>
          </w:p>
        </w:tc>
      </w:tr>
      <w:tr w:rsidR="002E34E5" w:rsidRPr="002E34E5" w14:paraId="2016261D" w14:textId="77777777" w:rsidTr="002E34E5">
        <w:trPr>
          <w:trHeight w:val="115"/>
        </w:trPr>
        <w:tc>
          <w:tcPr>
            <w:tcW w:w="120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14:paraId="267DE449" w14:textId="32688655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  <w:t>II.SKUPINA (&gt;1 000 MIL.KČ)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46AB8F99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3EB0BA92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1CF252A6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36,10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17597B74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vAlign w:val="center"/>
          </w:tcPr>
          <w:p w14:paraId="5EE1E01D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33,37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vAlign w:val="center"/>
          </w:tcPr>
          <w:p w14:paraId="42D27D1A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0</w:t>
            </w:r>
          </w:p>
        </w:tc>
      </w:tr>
      <w:tr w:rsidR="002E34E5" w:rsidRPr="002E34E5" w14:paraId="088F08A2" w14:textId="77777777" w:rsidTr="002E34E5">
        <w:trPr>
          <w:trHeight w:val="115"/>
        </w:trPr>
        <w:tc>
          <w:tcPr>
            <w:tcW w:w="120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14:paraId="0CC0EDF2" w14:textId="7794C593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  <w:t>III.SKUPINA (&gt;100 MIL.KČ)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6075145C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069AF726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02082B99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35,04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0E7D484E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33,89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vAlign w:val="center"/>
          </w:tcPr>
          <w:p w14:paraId="774B82E5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vAlign w:val="center"/>
          </w:tcPr>
          <w:p w14:paraId="624EEAB5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</w:t>
            </w:r>
          </w:p>
        </w:tc>
      </w:tr>
      <w:tr w:rsidR="002E34E5" w:rsidRPr="002E34E5" w14:paraId="231C75FD" w14:textId="77777777" w:rsidTr="002E34E5">
        <w:trPr>
          <w:trHeight w:val="115"/>
        </w:trPr>
        <w:tc>
          <w:tcPr>
            <w:tcW w:w="120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14:paraId="724AF163" w14:textId="5D3B8EA9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  <w:t>IV.SKUPINA (&gt;10 MIL.KČ)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401B4831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71AD68EC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249F1FDF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43,65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0796647D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vAlign w:val="center"/>
          </w:tcPr>
          <w:p w14:paraId="2F99C4E9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44,93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DE9D9" w:fill="FDE9D9"/>
            <w:vAlign w:val="center"/>
          </w:tcPr>
          <w:p w14:paraId="0294D783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28</w:t>
            </w:r>
          </w:p>
        </w:tc>
      </w:tr>
      <w:tr w:rsidR="002E34E5" w:rsidRPr="002E34E5" w14:paraId="0B6BB323" w14:textId="77777777" w:rsidTr="002E34E5">
        <w:trPr>
          <w:trHeight w:val="115"/>
        </w:trPr>
        <w:tc>
          <w:tcPr>
            <w:tcW w:w="120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14:paraId="15E723A3" w14:textId="401B07E4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  <w:t>V.SKUPINA (&gt;1 MIL.KČ)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5F4EDB96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6F4AEC3F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2856162A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38,22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099D04AE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38,87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vAlign w:val="center"/>
          </w:tcPr>
          <w:p w14:paraId="67C93C42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38,88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FCD5B4" w:fill="FCD5B4"/>
            <w:vAlign w:val="center"/>
          </w:tcPr>
          <w:p w14:paraId="7747754B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14</w:t>
            </w:r>
          </w:p>
        </w:tc>
      </w:tr>
      <w:tr w:rsidR="002E34E5" w:rsidRPr="002E34E5" w14:paraId="63AF5A59" w14:textId="77777777" w:rsidTr="002E34E5">
        <w:trPr>
          <w:trHeight w:val="115"/>
        </w:trPr>
        <w:tc>
          <w:tcPr>
            <w:tcW w:w="120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noWrap/>
            <w:vAlign w:val="bottom"/>
            <w:hideMark/>
          </w:tcPr>
          <w:p w14:paraId="3DC406FA" w14:textId="7930798A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cs-CZ"/>
              </w:rPr>
              <w:t>VI.SKUPINA (&lt;1 MIL.KČ)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244C86AE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26D77D3B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33EC06DE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11,58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00D0429A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13,83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vAlign w:val="center"/>
          </w:tcPr>
          <w:p w14:paraId="5097BA27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13,84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DE9D9" w:fill="FDE9D9"/>
            <w:vAlign w:val="center"/>
          </w:tcPr>
          <w:p w14:paraId="3611CB41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0</w:t>
            </w:r>
          </w:p>
        </w:tc>
      </w:tr>
      <w:tr w:rsidR="002E34E5" w:rsidRPr="002E34E5" w14:paraId="65EBF0BB" w14:textId="77777777" w:rsidTr="002E34E5">
        <w:trPr>
          <w:trHeight w:val="115"/>
        </w:trPr>
        <w:tc>
          <w:tcPr>
            <w:tcW w:w="1207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noWrap/>
            <w:vAlign w:val="bottom"/>
            <w:hideMark/>
          </w:tcPr>
          <w:p w14:paraId="5929EB16" w14:textId="77777777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57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382C9444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534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2140D669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534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4F6E4E97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39,15</w:t>
            </w:r>
          </w:p>
        </w:tc>
        <w:tc>
          <w:tcPr>
            <w:tcW w:w="743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55C9C587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39,25</w:t>
            </w:r>
          </w:p>
        </w:tc>
        <w:tc>
          <w:tcPr>
            <w:tcW w:w="791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vAlign w:val="center"/>
          </w:tcPr>
          <w:p w14:paraId="38ABC19B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634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FCD5B4" w:fill="FCD5B4"/>
            <w:vAlign w:val="center"/>
          </w:tcPr>
          <w:p w14:paraId="20B1F40A" w14:textId="77777777" w:rsidR="006663E3" w:rsidRPr="002E34E5" w:rsidRDefault="006663E3" w:rsidP="00FE3F6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</w:tbl>
    <w:p w14:paraId="277F329E" w14:textId="77777777" w:rsidR="00636AF2" w:rsidRDefault="00636AF2" w:rsidP="00636AF2">
      <w:pPr>
        <w:pStyle w:val="Normlnzprva"/>
      </w:pPr>
    </w:p>
    <w:tbl>
      <w:tblPr>
        <w:tblW w:w="5686" w:type="pct"/>
        <w:tblInd w:w="-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1039"/>
        <w:gridCol w:w="995"/>
        <w:gridCol w:w="995"/>
        <w:gridCol w:w="1315"/>
        <w:gridCol w:w="1303"/>
        <w:gridCol w:w="1319"/>
        <w:gridCol w:w="1203"/>
      </w:tblGrid>
      <w:tr w:rsidR="00657FB0" w:rsidRPr="002E34E5" w14:paraId="25CAE8C1" w14:textId="77777777" w:rsidTr="002E34E5">
        <w:trPr>
          <w:trHeight w:val="40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A9896"/>
            <w:vAlign w:val="center"/>
          </w:tcPr>
          <w:p w14:paraId="17DD747F" w14:textId="77777777" w:rsidR="00657FB0" w:rsidRPr="002E34E5" w:rsidRDefault="00657FB0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lastRenderedPageBreak/>
              <w:t>NEDOSTATEČNÁ MINIMÁLNÍ TVORBA</w:t>
            </w:r>
          </w:p>
        </w:tc>
      </w:tr>
      <w:tr w:rsidR="002E34E5" w:rsidRPr="002E34E5" w14:paraId="398A228C" w14:textId="77777777" w:rsidTr="007124D0">
        <w:trPr>
          <w:trHeight w:val="1997"/>
        </w:trPr>
        <w:tc>
          <w:tcPr>
            <w:tcW w:w="1040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C0504D"/>
            <w:noWrap/>
            <w:vAlign w:val="center"/>
            <w:hideMark/>
          </w:tcPr>
          <w:p w14:paraId="74500BED" w14:textId="2B7FE395" w:rsidR="006663E3" w:rsidRPr="002E34E5" w:rsidRDefault="006663E3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SKUPINA VLASTNÍKŮ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C0504D"/>
            <w:vAlign w:val="center"/>
            <w:hideMark/>
          </w:tcPr>
          <w:p w14:paraId="3DE67ECE" w14:textId="77777777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POČET POROVNÁNÍ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C0504D"/>
            <w:vAlign w:val="center"/>
            <w:hideMark/>
          </w:tcPr>
          <w:p w14:paraId="4E9B7A7A" w14:textId="77777777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HODNOTA OKF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C0504D"/>
            <w:vAlign w:val="center"/>
            <w:hideMark/>
          </w:tcPr>
          <w:p w14:paraId="713A26C5" w14:textId="464B756C" w:rsidR="002E34E5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CENA PRO</w:t>
            </w:r>
          </w:p>
          <w:p w14:paraId="3DB68BC3" w14:textId="7BC28A22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STOČNÉ (KČ/M3)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95B3D7"/>
              <w:right w:val="single" w:sz="4" w:space="0" w:color="FFFFFF" w:themeColor="background1"/>
            </w:tcBorders>
            <w:shd w:val="clear" w:color="000000" w:fill="C0504D"/>
            <w:vAlign w:val="center"/>
          </w:tcPr>
          <w:p w14:paraId="1F1C91D5" w14:textId="77777777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HODNOTA JEDNOTKOVÝCH NÁKLADŮ (KČ/M3)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single" w:sz="4" w:space="0" w:color="FFFFFF" w:themeColor="background1"/>
            </w:tcBorders>
            <w:shd w:val="clear" w:color="000000" w:fill="C0504D"/>
            <w:vAlign w:val="center"/>
          </w:tcPr>
          <w:p w14:paraId="261351A0" w14:textId="1F5A1A2D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VÝŠE TEORETICKÉ CENY PRO PLNĚNÍ OBNOVY PŘI NULOVÉM ZISKU (KČ/M3)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C0504D"/>
            <w:vAlign w:val="center"/>
          </w:tcPr>
          <w:p w14:paraId="4E2F3846" w14:textId="5FF77FBE" w:rsidR="006663E3" w:rsidRPr="002E34E5" w:rsidRDefault="006663E3" w:rsidP="002E34E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PRŮMĚRNÁ VÝŠE CHYBĚJÍCÍCH PROSTŘEDKŮ OBNOVY VIM NA 1M3 PITNÉ FAKTUROVANÉ VODY (KČ/M3)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C0504D"/>
            <w:vAlign w:val="center"/>
          </w:tcPr>
          <w:p w14:paraId="68DB20E7" w14:textId="77777777" w:rsidR="006663E3" w:rsidRPr="002E34E5" w:rsidRDefault="006663E3" w:rsidP="002E34E5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POČET POROVNÁNÍ SE ZÁPORNÝM KALKULAČNÍM ZISKEM</w:t>
            </w:r>
          </w:p>
        </w:tc>
      </w:tr>
      <w:tr w:rsidR="002E34E5" w:rsidRPr="002E34E5" w14:paraId="5E8BB837" w14:textId="77777777" w:rsidTr="007124D0">
        <w:trPr>
          <w:trHeight w:val="208"/>
        </w:trPr>
        <w:tc>
          <w:tcPr>
            <w:tcW w:w="1040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DA9896"/>
            <w:noWrap/>
            <w:vAlign w:val="bottom"/>
            <w:hideMark/>
          </w:tcPr>
          <w:p w14:paraId="035C2C88" w14:textId="3EE2FAAB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I.SKUPINA (&gt;10 000 MIL.KČ)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DA9896"/>
            <w:noWrap/>
            <w:vAlign w:val="center"/>
            <w:hideMark/>
          </w:tcPr>
          <w:p w14:paraId="0224FE74" w14:textId="77777777" w:rsidR="006663E3" w:rsidRPr="002E34E5" w:rsidRDefault="006663E3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60425F96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6D59E737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95B3D7"/>
              <w:right w:val="single" w:sz="4" w:space="0" w:color="FFFFFF" w:themeColor="background1"/>
            </w:tcBorders>
            <w:shd w:val="clear" w:color="000000" w:fill="DA9896"/>
            <w:vAlign w:val="center"/>
          </w:tcPr>
          <w:p w14:paraId="2D082523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single" w:sz="4" w:space="0" w:color="FFFFFF" w:themeColor="background1"/>
            </w:tcBorders>
            <w:shd w:val="clear" w:color="000000" w:fill="DA9896"/>
            <w:noWrap/>
            <w:vAlign w:val="center"/>
          </w:tcPr>
          <w:p w14:paraId="2C8588CE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DA9896"/>
            <w:vAlign w:val="center"/>
          </w:tcPr>
          <w:p w14:paraId="19DE1F8E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DA9896"/>
            <w:vAlign w:val="center"/>
          </w:tcPr>
          <w:p w14:paraId="3A295417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2E34E5" w:rsidRPr="002E34E5" w14:paraId="66EEDB0D" w14:textId="77777777" w:rsidTr="007124D0">
        <w:trPr>
          <w:trHeight w:val="208"/>
        </w:trPr>
        <w:tc>
          <w:tcPr>
            <w:tcW w:w="1040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F3DEDD"/>
            <w:noWrap/>
            <w:vAlign w:val="bottom"/>
            <w:hideMark/>
          </w:tcPr>
          <w:p w14:paraId="31270939" w14:textId="26C76F98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II.SKUPINA (&gt;1 000 MIL.KČ)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F3DEDD"/>
            <w:noWrap/>
            <w:vAlign w:val="center"/>
            <w:hideMark/>
          </w:tcPr>
          <w:p w14:paraId="4199911F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3B611BB1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17702F71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33,31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95B3D7"/>
              <w:right w:val="single" w:sz="4" w:space="0" w:color="FFFFFF" w:themeColor="background1"/>
            </w:tcBorders>
            <w:shd w:val="clear" w:color="000000" w:fill="F3DEDD"/>
            <w:vAlign w:val="center"/>
          </w:tcPr>
          <w:p w14:paraId="45D8C93C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single" w:sz="4" w:space="0" w:color="FFFFFF" w:themeColor="background1"/>
            </w:tcBorders>
            <w:shd w:val="clear" w:color="000000" w:fill="F3DEDD"/>
            <w:noWrap/>
            <w:vAlign w:val="center"/>
          </w:tcPr>
          <w:p w14:paraId="28ACCBB4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F3DEDD"/>
            <w:vAlign w:val="center"/>
          </w:tcPr>
          <w:p w14:paraId="080F881E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F3DEDD"/>
            <w:vAlign w:val="center"/>
          </w:tcPr>
          <w:p w14:paraId="361BE361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</w:tr>
      <w:tr w:rsidR="002E34E5" w:rsidRPr="002E34E5" w14:paraId="2E70C0F6" w14:textId="77777777" w:rsidTr="007124D0">
        <w:trPr>
          <w:trHeight w:val="208"/>
        </w:trPr>
        <w:tc>
          <w:tcPr>
            <w:tcW w:w="1040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DA9896"/>
            <w:noWrap/>
            <w:vAlign w:val="bottom"/>
            <w:hideMark/>
          </w:tcPr>
          <w:p w14:paraId="74566141" w14:textId="3D4824F9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III.SKUPINA (&gt;100 MIL.KČ)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30DDEB2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4C9330C7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45C31490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31,56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95B3D7"/>
              <w:right w:val="single" w:sz="4" w:space="0" w:color="FFFFFF" w:themeColor="background1"/>
            </w:tcBorders>
            <w:shd w:val="clear" w:color="000000" w:fill="DA9896"/>
            <w:vAlign w:val="center"/>
          </w:tcPr>
          <w:p w14:paraId="67F8C315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34,19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single" w:sz="4" w:space="0" w:color="FFFFFF" w:themeColor="background1"/>
            </w:tcBorders>
            <w:shd w:val="clear" w:color="000000" w:fill="DA9896"/>
            <w:noWrap/>
            <w:vAlign w:val="center"/>
          </w:tcPr>
          <w:p w14:paraId="4D60F69D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67,90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DA9896"/>
            <w:vAlign w:val="center"/>
          </w:tcPr>
          <w:p w14:paraId="1BE1B3CA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DA9896"/>
            <w:vAlign w:val="center"/>
          </w:tcPr>
          <w:p w14:paraId="293697F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47</w:t>
            </w:r>
          </w:p>
        </w:tc>
      </w:tr>
      <w:tr w:rsidR="002E34E5" w:rsidRPr="002E34E5" w14:paraId="18A933E1" w14:textId="77777777" w:rsidTr="007124D0">
        <w:trPr>
          <w:trHeight w:val="208"/>
        </w:trPr>
        <w:tc>
          <w:tcPr>
            <w:tcW w:w="1040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F3DEDD"/>
            <w:noWrap/>
            <w:vAlign w:val="bottom"/>
            <w:hideMark/>
          </w:tcPr>
          <w:p w14:paraId="36A77C3A" w14:textId="293ECCDF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IV.SKUPINA (&gt;10 MIL.KČ)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52559543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384BFD2A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563BF53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95B3D7"/>
              <w:right w:val="single" w:sz="4" w:space="0" w:color="FFFFFF" w:themeColor="background1"/>
            </w:tcBorders>
            <w:shd w:val="clear" w:color="000000" w:fill="F3DEDD"/>
            <w:vAlign w:val="center"/>
          </w:tcPr>
          <w:p w14:paraId="553B51B0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35,23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single" w:sz="4" w:space="0" w:color="FFFFFF" w:themeColor="background1"/>
            </w:tcBorders>
            <w:shd w:val="clear" w:color="000000" w:fill="F3DEDD"/>
            <w:noWrap/>
            <w:vAlign w:val="center"/>
          </w:tcPr>
          <w:p w14:paraId="5FB9BFCD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60,92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F3DEDD"/>
            <w:vAlign w:val="center"/>
          </w:tcPr>
          <w:p w14:paraId="740006C4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30,35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F3DEDD"/>
            <w:vAlign w:val="center"/>
          </w:tcPr>
          <w:p w14:paraId="033B654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508</w:t>
            </w:r>
          </w:p>
        </w:tc>
      </w:tr>
      <w:tr w:rsidR="002E34E5" w:rsidRPr="002E34E5" w14:paraId="6C96B920" w14:textId="77777777" w:rsidTr="007124D0">
        <w:trPr>
          <w:trHeight w:val="208"/>
        </w:trPr>
        <w:tc>
          <w:tcPr>
            <w:tcW w:w="1040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DA9896"/>
            <w:noWrap/>
            <w:vAlign w:val="bottom"/>
            <w:hideMark/>
          </w:tcPr>
          <w:p w14:paraId="2E380579" w14:textId="49AE3782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V.SKUPINA (&gt;1 MIL.KČ)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3636CF6B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6FC01B41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37E26F3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95B3D7"/>
              <w:right w:val="single" w:sz="4" w:space="0" w:color="FFFFFF" w:themeColor="background1"/>
            </w:tcBorders>
            <w:shd w:val="clear" w:color="000000" w:fill="DA9896"/>
            <w:vAlign w:val="center"/>
          </w:tcPr>
          <w:p w14:paraId="04D192AF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23,88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single" w:sz="4" w:space="0" w:color="FFFFFF" w:themeColor="background1"/>
            </w:tcBorders>
            <w:shd w:val="clear" w:color="000000" w:fill="DA9896"/>
            <w:noWrap/>
            <w:vAlign w:val="center"/>
          </w:tcPr>
          <w:p w14:paraId="76F5072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42,06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DA9896"/>
            <w:vAlign w:val="center"/>
          </w:tcPr>
          <w:p w14:paraId="31208397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single" w:sz="4" w:space="0" w:color="95B3D7"/>
              <w:right w:val="nil"/>
            </w:tcBorders>
            <w:shd w:val="clear" w:color="000000" w:fill="DA9896"/>
            <w:vAlign w:val="center"/>
          </w:tcPr>
          <w:p w14:paraId="6D338589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76</w:t>
            </w:r>
          </w:p>
        </w:tc>
      </w:tr>
      <w:tr w:rsidR="002E34E5" w:rsidRPr="002E34E5" w14:paraId="67C11EA7" w14:textId="77777777" w:rsidTr="007124D0">
        <w:trPr>
          <w:trHeight w:val="208"/>
        </w:trPr>
        <w:tc>
          <w:tcPr>
            <w:tcW w:w="104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3DEDD"/>
            <w:noWrap/>
            <w:vAlign w:val="bottom"/>
            <w:hideMark/>
          </w:tcPr>
          <w:p w14:paraId="6D48F13D" w14:textId="447CE617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VI.SKUPINA (&lt;1 MIL.KČ)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225BB1AA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32BB8E04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3DEDD"/>
            <w:noWrap/>
            <w:vAlign w:val="center"/>
            <w:hideMark/>
          </w:tcPr>
          <w:p w14:paraId="6043FF53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F3DEDD"/>
            <w:vAlign w:val="center"/>
          </w:tcPr>
          <w:p w14:paraId="2BA7051F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9,57</w:t>
            </w:r>
          </w:p>
        </w:tc>
        <w:tc>
          <w:tcPr>
            <w:tcW w:w="632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3DEDD"/>
            <w:noWrap/>
            <w:vAlign w:val="center"/>
          </w:tcPr>
          <w:p w14:paraId="417C344D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640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F3DEDD"/>
            <w:vAlign w:val="center"/>
          </w:tcPr>
          <w:p w14:paraId="54EF5719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582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F3DEDD"/>
            <w:vAlign w:val="center"/>
          </w:tcPr>
          <w:p w14:paraId="00340C1B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</w:tr>
      <w:tr w:rsidR="002E34E5" w:rsidRPr="002E34E5" w14:paraId="38FD520E" w14:textId="77777777" w:rsidTr="007124D0">
        <w:trPr>
          <w:trHeight w:val="208"/>
        </w:trPr>
        <w:tc>
          <w:tcPr>
            <w:tcW w:w="1040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auto" w:fill="DA9896"/>
            <w:noWrap/>
            <w:vAlign w:val="bottom"/>
            <w:hideMark/>
          </w:tcPr>
          <w:p w14:paraId="76C1EB5F" w14:textId="77777777" w:rsidR="006663E3" w:rsidRPr="002E34E5" w:rsidRDefault="006663E3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34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086F89A9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2137</w:t>
            </w:r>
          </w:p>
        </w:tc>
        <w:tc>
          <w:tcPr>
            <w:tcW w:w="482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3A00CC78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482" w:type="pct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000000" w:fill="DA9896"/>
            <w:noWrap/>
            <w:vAlign w:val="center"/>
            <w:hideMark/>
          </w:tcPr>
          <w:p w14:paraId="4BB0FAA6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22,86</w:t>
            </w:r>
          </w:p>
        </w:tc>
        <w:tc>
          <w:tcPr>
            <w:tcW w:w="637" w:type="pct"/>
            <w:tcBorders>
              <w:top w:val="single" w:sz="4" w:space="0" w:color="95B3D7"/>
              <w:left w:val="nil"/>
              <w:bottom w:val="nil"/>
              <w:right w:val="single" w:sz="4" w:space="0" w:color="FFFFFF" w:themeColor="background1"/>
            </w:tcBorders>
            <w:shd w:val="clear" w:color="000000" w:fill="DA9896"/>
            <w:vAlign w:val="center"/>
          </w:tcPr>
          <w:p w14:paraId="5F8C9116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33,03</w:t>
            </w:r>
          </w:p>
        </w:tc>
        <w:tc>
          <w:tcPr>
            <w:tcW w:w="632" w:type="pct"/>
            <w:tcBorders>
              <w:top w:val="single" w:sz="4" w:space="0" w:color="95B3D7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DA9896"/>
            <w:noWrap/>
            <w:vAlign w:val="center"/>
          </w:tcPr>
          <w:p w14:paraId="2EA6F094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58,07</w:t>
            </w:r>
          </w:p>
        </w:tc>
        <w:tc>
          <w:tcPr>
            <w:tcW w:w="640" w:type="pct"/>
            <w:tcBorders>
              <w:top w:val="single" w:sz="4" w:space="0" w:color="95B3D7"/>
              <w:left w:val="single" w:sz="4" w:space="0" w:color="FFFFFF" w:themeColor="background1"/>
              <w:bottom w:val="nil"/>
              <w:right w:val="nil"/>
            </w:tcBorders>
            <w:shd w:val="clear" w:color="000000" w:fill="DA9896"/>
            <w:vAlign w:val="center"/>
          </w:tcPr>
          <w:p w14:paraId="556833B5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29,09</w:t>
            </w:r>
          </w:p>
        </w:tc>
        <w:tc>
          <w:tcPr>
            <w:tcW w:w="582" w:type="pct"/>
            <w:tcBorders>
              <w:top w:val="single" w:sz="4" w:space="0" w:color="95B3D7"/>
              <w:left w:val="single" w:sz="4" w:space="0" w:color="FFFFFF" w:themeColor="background1"/>
              <w:bottom w:val="nil"/>
              <w:right w:val="nil"/>
            </w:tcBorders>
            <w:shd w:val="clear" w:color="000000" w:fill="DA9896"/>
            <w:vAlign w:val="center"/>
          </w:tcPr>
          <w:p w14:paraId="59E81F15" w14:textId="77777777" w:rsidR="006663E3" w:rsidRPr="002E34E5" w:rsidRDefault="006663E3" w:rsidP="00FE3F6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2E34E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633</w:t>
            </w:r>
          </w:p>
        </w:tc>
      </w:tr>
    </w:tbl>
    <w:p w14:paraId="6941AC5D" w14:textId="77777777" w:rsidR="00636AF2" w:rsidRDefault="00636AF2" w:rsidP="00636AF2">
      <w:pPr>
        <w:pStyle w:val="Normlnzprva"/>
      </w:pPr>
    </w:p>
    <w:p w14:paraId="177E5E5A" w14:textId="0E2639C5" w:rsidR="004052F5" w:rsidRDefault="004052F5" w:rsidP="004052F5">
      <w:pPr>
        <w:pStyle w:val="NORMLN0"/>
      </w:pPr>
      <w:r w:rsidRPr="00EA42F9">
        <w:t xml:space="preserve">Průměrná hodnota </w:t>
      </w:r>
      <w:r>
        <w:t>OKF</w:t>
      </w:r>
      <w:r w:rsidR="00DE53F8">
        <w:t xml:space="preserve"> u </w:t>
      </w:r>
      <w:r w:rsidR="00CB1E06">
        <w:t>Porovnání</w:t>
      </w:r>
      <w:r w:rsidRPr="00EA42F9">
        <w:t xml:space="preserve"> s nedostatečnou tvorbou </w:t>
      </w:r>
      <w:r>
        <w:t>P</w:t>
      </w:r>
      <w:r w:rsidR="00962A95">
        <w:t>O </w:t>
      </w:r>
      <w:r w:rsidRPr="00EA42F9">
        <w:t xml:space="preserve">je </w:t>
      </w:r>
      <w:r>
        <w:t xml:space="preserve">menší </w:t>
      </w:r>
      <w:r w:rsidR="00962A95">
        <w:t>než </w:t>
      </w:r>
      <w:r w:rsidRPr="00EA42F9">
        <w:t>1 (</w:t>
      </w:r>
      <w:r>
        <w:t xml:space="preserve">tj. </w:t>
      </w:r>
      <w:r w:rsidR="00962A95">
        <w:t>v </w:t>
      </w:r>
      <w:r>
        <w:t>rozmezí od</w:t>
      </w:r>
      <w:r w:rsidRPr="00EA42F9">
        <w:t xml:space="preserve"> 0,3</w:t>
      </w:r>
      <w:r>
        <w:t>3</w:t>
      </w:r>
      <w:r w:rsidRPr="00EA42F9">
        <w:t xml:space="preserve"> p</w:t>
      </w:r>
      <w:r w:rsidR="00962A95">
        <w:t>o </w:t>
      </w:r>
      <w:r w:rsidRPr="00EA42F9">
        <w:t>0,</w:t>
      </w:r>
      <w:r>
        <w:t>96</w:t>
      </w:r>
      <w:r w:rsidRPr="00EA42F9">
        <w:t>)</w:t>
      </w:r>
      <w:r>
        <w:t>, což</w:t>
      </w:r>
      <w:r w:rsidRPr="00EA42F9">
        <w:t xml:space="preserve"> upozorňuje </w:t>
      </w:r>
      <w:r w:rsidR="00962A95">
        <w:t>na </w:t>
      </w:r>
      <w:r>
        <w:t xml:space="preserve">nesprávné nastavení ceny </w:t>
      </w:r>
      <w:r w:rsidR="00962A95">
        <w:t>pro </w:t>
      </w:r>
      <w:r>
        <w:t xml:space="preserve">stočné, která nepokrývá jednotkové ÚVN a minimální teoretickou výši PO. </w:t>
      </w:r>
      <w:r w:rsidR="00962A95">
        <w:t>Na </w:t>
      </w:r>
      <w:r>
        <w:t>rozdíl od pitné vody je</w:t>
      </w:r>
      <w:r w:rsidR="00DE53F8">
        <w:t xml:space="preserve"> u </w:t>
      </w:r>
      <w:r w:rsidRPr="00EA42F9">
        <w:t xml:space="preserve">všech dotčených vlastnických skupin průměrná </w:t>
      </w:r>
      <w:r>
        <w:t>výše</w:t>
      </w:r>
      <w:r w:rsidRPr="00EA42F9">
        <w:t xml:space="preserve"> ceny </w:t>
      </w:r>
      <w:r w:rsidR="00DE53F8">
        <w:t>u </w:t>
      </w:r>
      <w:r>
        <w:t>Porovnání nepokrývajících P</w:t>
      </w:r>
      <w:r w:rsidR="00962A95">
        <w:t>O </w:t>
      </w:r>
      <w:r w:rsidRPr="00EA42F9">
        <w:t xml:space="preserve">nižší </w:t>
      </w:r>
      <w:r w:rsidR="00962A95">
        <w:t>než </w:t>
      </w:r>
      <w:r w:rsidRPr="00EA42F9">
        <w:t xml:space="preserve">průměrná </w:t>
      </w:r>
      <w:r>
        <w:t>výše</w:t>
      </w:r>
      <w:r w:rsidRPr="00EA42F9">
        <w:t xml:space="preserve"> jednotkových </w:t>
      </w:r>
      <w:r>
        <w:t>ÚVN</w:t>
      </w:r>
      <w:r w:rsidRPr="00EA42F9">
        <w:t>.</w:t>
      </w:r>
      <w:r w:rsidR="00CB1E06">
        <w:t xml:space="preserve"> U</w:t>
      </w:r>
      <w:r w:rsidR="00DE53F8">
        <w:t> </w:t>
      </w:r>
      <w:r>
        <w:t xml:space="preserve">Porovnání, kde stočné pokrývá dostatečné množství PO, je průměrná hodnota OKF větší </w:t>
      </w:r>
      <w:r w:rsidR="00962A95">
        <w:t>než </w:t>
      </w:r>
      <w:r>
        <w:t>1.</w:t>
      </w:r>
      <w:r w:rsidRPr="00EA42F9">
        <w:t xml:space="preserve"> </w:t>
      </w:r>
    </w:p>
    <w:p w14:paraId="1548FAA4" w14:textId="0022C9C8" w:rsidR="004052F5" w:rsidRPr="003E34AC" w:rsidRDefault="004052F5" w:rsidP="003E34AC">
      <w:pPr>
        <w:pStyle w:val="NORMLN0"/>
      </w:pPr>
      <w:r w:rsidRPr="003E34AC">
        <w:t xml:space="preserve">Nastavený systém tvorby </w:t>
      </w:r>
      <w:r w:rsidR="003F6F10" w:rsidRPr="003E34AC">
        <w:t>ceny, umožňuje</w:t>
      </w:r>
      <w:r w:rsidRPr="003E34AC">
        <w:t xml:space="preserve"> vlastníkům zabezpečit tvorbu dostatečnéh</w:t>
      </w:r>
      <w:r w:rsidR="00962A95">
        <w:t>o </w:t>
      </w:r>
      <w:r w:rsidRPr="003E34AC">
        <w:t>množství P</w:t>
      </w:r>
      <w:r w:rsidR="00962A95">
        <w:t>O </w:t>
      </w:r>
      <w:r w:rsidRPr="003E34AC">
        <w:t xml:space="preserve">prostřednictvím využívání řádku 4.4 </w:t>
      </w:r>
      <w:r w:rsidR="00962A95">
        <w:t>v </w:t>
      </w:r>
      <w:r w:rsidRPr="003E34AC">
        <w:t>Porovnání.</w:t>
      </w:r>
      <w:r w:rsidR="00371EFB" w:rsidRPr="003E34AC">
        <w:t xml:space="preserve"> </w:t>
      </w:r>
      <w:r w:rsidRPr="003E34AC">
        <w:t>Potřebnou výši P</w:t>
      </w:r>
      <w:r w:rsidR="00962A95">
        <w:t>O </w:t>
      </w:r>
      <w:r w:rsidRPr="003E34AC">
        <w:t>stanoví vlastní</w:t>
      </w:r>
      <w:r w:rsidR="00962A95">
        <w:t>k </w:t>
      </w:r>
      <w:r w:rsidRPr="003E34AC">
        <w:t>VIM</w:t>
      </w:r>
      <w:r w:rsidR="00371EFB" w:rsidRPr="003E34AC">
        <w:t xml:space="preserve"> </w:t>
      </w:r>
      <w:r w:rsidRPr="003E34AC">
        <w:t>pomocí</w:t>
      </w:r>
      <w:r w:rsidR="00371EFB" w:rsidRPr="003E34AC">
        <w:t xml:space="preserve"> </w:t>
      </w:r>
      <w:r w:rsidRPr="003E34AC">
        <w:t>PFO, který by měl mim</w:t>
      </w:r>
      <w:r w:rsidR="00962A95">
        <w:t>o </w:t>
      </w:r>
      <w:r w:rsidRPr="003E34AC">
        <w:t xml:space="preserve">jiné vycházet </w:t>
      </w:r>
      <w:r w:rsidR="00962A95">
        <w:t>z </w:t>
      </w:r>
      <w:r w:rsidRPr="003E34AC">
        <w:t>plánu opra</w:t>
      </w:r>
      <w:r w:rsidR="00962A95">
        <w:t>v </w:t>
      </w:r>
      <w:r w:rsidRPr="003E34AC">
        <w:t xml:space="preserve">a investic s charakterem obnovy. </w:t>
      </w:r>
      <w:r w:rsidR="00962A95">
        <w:t>V </w:t>
      </w:r>
      <w:r w:rsidRPr="003E34AC">
        <w:t>případě oddílnéh</w:t>
      </w:r>
      <w:r w:rsidR="00962A95">
        <w:t>o </w:t>
      </w:r>
      <w:r w:rsidRPr="003E34AC">
        <w:t>a kombinovanéh</w:t>
      </w:r>
      <w:r w:rsidR="00962A95">
        <w:t>o </w:t>
      </w:r>
      <w:r w:rsidRPr="003E34AC">
        <w:t>modelu provozování, by se tvorba P</w:t>
      </w:r>
      <w:r w:rsidR="00962A95">
        <w:t>O </w:t>
      </w:r>
      <w:r w:rsidRPr="003E34AC">
        <w:t>řešila i odpovídajícím navýšením nájemnéh</w:t>
      </w:r>
      <w:r w:rsidR="00962A95">
        <w:t>o </w:t>
      </w:r>
      <w:r w:rsidRPr="003E34AC">
        <w:t xml:space="preserve">VIM. </w:t>
      </w:r>
    </w:p>
    <w:p w14:paraId="2BC42618" w14:textId="1FF48BC3" w:rsidR="004052F5" w:rsidRPr="003E34AC" w:rsidRDefault="004052F5" w:rsidP="003E34AC">
      <w:pPr>
        <w:pStyle w:val="NORMLN0"/>
      </w:pPr>
      <w:r w:rsidRPr="003E34AC">
        <w:t>Dalším problémem zejmé</w:t>
      </w:r>
      <w:r w:rsidR="00962A95">
        <w:t>na</w:t>
      </w:r>
      <w:r w:rsidR="00DE53F8">
        <w:t xml:space="preserve"> u </w:t>
      </w:r>
      <w:r w:rsidRPr="003E34AC">
        <w:t>menších vlastníků, může být nepřiměřené zatížení trvale žijící</w:t>
      </w:r>
      <w:r w:rsidR="00CB1E06">
        <w:t>ch</w:t>
      </w:r>
      <w:r w:rsidRPr="003E34AC">
        <w:t xml:space="preserve"> obyvatel náklady </w:t>
      </w:r>
      <w:r w:rsidR="00962A95">
        <w:t>na </w:t>
      </w:r>
      <w:r w:rsidRPr="003E34AC">
        <w:t xml:space="preserve">VIM </w:t>
      </w:r>
      <w:r w:rsidR="00962A95">
        <w:t>v </w:t>
      </w:r>
      <w:r w:rsidRPr="003E34AC">
        <w:t>porovnání s odběrateli, kteří využívají služby nepravidelně (např. chalupáři, chataři). Tit</w:t>
      </w:r>
      <w:r w:rsidR="00962A95">
        <w:t>o </w:t>
      </w:r>
      <w:r w:rsidRPr="003E34AC">
        <w:t xml:space="preserve">odběratelé neparticipují </w:t>
      </w:r>
      <w:r w:rsidR="00962A95">
        <w:t>na </w:t>
      </w:r>
      <w:r w:rsidRPr="003E34AC">
        <w:t>nákladech souvisejících s obnovou VIM rovným dílem. Řešením je využívání dvousložkové ceny. Tat</w:t>
      </w:r>
      <w:r w:rsidR="00962A95">
        <w:t>o </w:t>
      </w:r>
      <w:r w:rsidRPr="003E34AC">
        <w:t>ce</w:t>
      </w:r>
      <w:r w:rsidR="00962A95">
        <w:t>na </w:t>
      </w:r>
      <w:r w:rsidRPr="003E34AC">
        <w:t xml:space="preserve">sama </w:t>
      </w:r>
      <w:r w:rsidR="00962A95">
        <w:t>o </w:t>
      </w:r>
      <w:r w:rsidRPr="003E34AC">
        <w:t>sobě</w:t>
      </w:r>
      <w:r w:rsidR="00371EFB" w:rsidRPr="003E34AC">
        <w:t xml:space="preserve"> </w:t>
      </w:r>
      <w:r w:rsidR="00CB1E06">
        <w:t>nezajišťuje vyšší tržby</w:t>
      </w:r>
      <w:r w:rsidRPr="003E34AC">
        <w:t xml:space="preserve">, ale zabezpečuje rovnoměrnost příspěvku všech uživatelů infrastruktury </w:t>
      </w:r>
      <w:r w:rsidR="00962A95">
        <w:t>na </w:t>
      </w:r>
      <w:r w:rsidRPr="003E34AC">
        <w:t xml:space="preserve">její dlouhodobé udržování a zvyšování ceny </w:t>
      </w:r>
      <w:r w:rsidR="00962A95">
        <w:t>za </w:t>
      </w:r>
      <w:r w:rsidRPr="003E34AC">
        <w:t>účelem tvorby P</w:t>
      </w:r>
      <w:r w:rsidR="00962A95">
        <w:t>O </w:t>
      </w:r>
      <w:r w:rsidRPr="003E34AC">
        <w:t>méně zatěžuje trvale žijící obyvatele.</w:t>
      </w:r>
    </w:p>
    <w:p w14:paraId="1EF62942" w14:textId="114B3AC3" w:rsidR="004052F5" w:rsidRPr="003E34AC" w:rsidRDefault="00962A95" w:rsidP="003E34AC">
      <w:pPr>
        <w:pStyle w:val="NORMLN0"/>
      </w:pPr>
      <w:r>
        <w:t>Pro </w:t>
      </w:r>
      <w:r w:rsidR="004052F5" w:rsidRPr="003E34AC">
        <w:t xml:space="preserve">dosažení záměru regulátora samofinancovatelnosti infrastruktury a dosažením rovnovážné cenotvorby (odpovídající pokrytí všech provozních nákladů a obnovy VIM) je zásadní cenotvorba. Regulační rámec cenotvorby umožňuje vlastníku a provozovateli zahrnutí všech ekonomicky oprávněných nákladů, prostředků </w:t>
      </w:r>
      <w:r>
        <w:t>na </w:t>
      </w:r>
      <w:r w:rsidR="004052F5" w:rsidRPr="003E34AC">
        <w:t>obnovu a přiměřenéh</w:t>
      </w:r>
      <w:r>
        <w:t>o </w:t>
      </w:r>
      <w:r w:rsidR="004052F5" w:rsidRPr="003E34AC">
        <w:t>zisku d</w:t>
      </w:r>
      <w:r>
        <w:t>o </w:t>
      </w:r>
      <w:r w:rsidR="004052F5" w:rsidRPr="003E34AC">
        <w:t>ceny. Zejmé</w:t>
      </w:r>
      <w:r>
        <w:t>na</w:t>
      </w:r>
      <w:r w:rsidR="00DE53F8">
        <w:t xml:space="preserve"> u </w:t>
      </w:r>
      <w:r w:rsidR="004052F5" w:rsidRPr="003E34AC">
        <w:t>menších vlastníků, menších systémů by takt</w:t>
      </w:r>
      <w:r>
        <w:t>o </w:t>
      </w:r>
      <w:r w:rsidR="004052F5" w:rsidRPr="003E34AC">
        <w:t>nastavená hladi</w:t>
      </w:r>
      <w:r>
        <w:t>na </w:t>
      </w:r>
      <w:r w:rsidR="004052F5" w:rsidRPr="003E34AC">
        <w:t>ceny mohla</w:t>
      </w:r>
      <w:r w:rsidR="003E34AC">
        <w:t xml:space="preserve"> převýšit hranici sociální únosn</w:t>
      </w:r>
      <w:r w:rsidR="004052F5" w:rsidRPr="003E34AC">
        <w:t>osti ceny a způsobit ekonomickou nedostupnost služby. Dále může mít vlastní</w:t>
      </w:r>
      <w:r>
        <w:t>k </w:t>
      </w:r>
      <w:r w:rsidR="004052F5" w:rsidRPr="003E34AC">
        <w:t xml:space="preserve">jiné důvody, </w:t>
      </w:r>
      <w:r>
        <w:t>na </w:t>
      </w:r>
      <w:r w:rsidR="004052F5" w:rsidRPr="003E34AC">
        <w:t xml:space="preserve">základě kterých se rozhodne dotovat cenu. </w:t>
      </w:r>
      <w:r>
        <w:t>V </w:t>
      </w:r>
      <w:r w:rsidR="004052F5" w:rsidRPr="003E34AC">
        <w:t>takovém pří</w:t>
      </w:r>
      <w:r w:rsidR="003E34AC">
        <w:t xml:space="preserve">padě dochází </w:t>
      </w:r>
      <w:r>
        <w:t>k </w:t>
      </w:r>
      <w:r w:rsidR="003E34AC">
        <w:t>využívání zápornéh</w:t>
      </w:r>
      <w:r>
        <w:t>o </w:t>
      </w:r>
      <w:r w:rsidR="003E34AC">
        <w:t>kalkulační</w:t>
      </w:r>
      <w:r w:rsidR="004052F5" w:rsidRPr="003E34AC">
        <w:t>h</w:t>
      </w:r>
      <w:r>
        <w:t>o </w:t>
      </w:r>
      <w:r w:rsidR="004052F5" w:rsidRPr="003E34AC">
        <w:t xml:space="preserve">zisku již </w:t>
      </w:r>
      <w:r>
        <w:t>při </w:t>
      </w:r>
      <w:r w:rsidR="004052F5" w:rsidRPr="003E34AC">
        <w:t>se</w:t>
      </w:r>
      <w:r w:rsidR="003E34AC">
        <w:t>s</w:t>
      </w:r>
      <w:r w:rsidR="004052F5" w:rsidRPr="003E34AC">
        <w:t>tavování kalkulace.</w:t>
      </w:r>
    </w:p>
    <w:p w14:paraId="649987D7" w14:textId="207DA270" w:rsidR="004052F5" w:rsidRPr="003E34AC" w:rsidRDefault="004052F5" w:rsidP="003E34AC">
      <w:pPr>
        <w:pStyle w:val="NORMLN0"/>
      </w:pPr>
      <w:r w:rsidRPr="003E34AC">
        <w:t xml:space="preserve"> </w:t>
      </w:r>
      <w:r w:rsidR="00962A95">
        <w:t>Pro </w:t>
      </w:r>
      <w:r w:rsidRPr="003E34AC">
        <w:t>Porovnání, která negene</w:t>
      </w:r>
      <w:r w:rsidR="00DE53F8">
        <w:t>rují dost</w:t>
      </w:r>
      <w:r w:rsidRPr="003E34AC">
        <w:t xml:space="preserve">atečnou minimální výši prostředků </w:t>
      </w:r>
      <w:r w:rsidR="00962A95">
        <w:t>na </w:t>
      </w:r>
      <w:r w:rsidRPr="003E34AC">
        <w:t>obnovu, je příznačný výskyt záporné hodnoty kalkulačníh</w:t>
      </w:r>
      <w:r w:rsidR="00962A95">
        <w:t>o </w:t>
      </w:r>
      <w:r w:rsidRPr="003E34AC">
        <w:t xml:space="preserve">zisku. </w:t>
      </w:r>
      <w:r w:rsidR="00962A95">
        <w:t>Z </w:t>
      </w:r>
      <w:r w:rsidRPr="003E34AC">
        <w:t xml:space="preserve">2 443 analyzovaných Porovnání se </w:t>
      </w:r>
      <w:r w:rsidR="00962A95">
        <w:t>v </w:t>
      </w:r>
      <w:r w:rsidRPr="003E34AC">
        <w:t>1 485 případech (tj. 60,8 % Porovnání) vyskytuje záporná hodnota skutečně dosaženéh</w:t>
      </w:r>
      <w:r w:rsidR="00962A95">
        <w:t>o </w:t>
      </w:r>
      <w:r w:rsidRPr="003E34AC">
        <w:t>kalkulačníh</w:t>
      </w:r>
      <w:r w:rsidR="00962A95">
        <w:t>o </w:t>
      </w:r>
      <w:r w:rsidRPr="003E34AC">
        <w:t xml:space="preserve">zisku. </w:t>
      </w:r>
      <w:r w:rsidR="00962A95">
        <w:t>Z </w:t>
      </w:r>
      <w:r w:rsidRPr="003E34AC">
        <w:t xml:space="preserve">hlediska objemu fakturované vody se jedná </w:t>
      </w:r>
      <w:r w:rsidR="00962A95">
        <w:t>o </w:t>
      </w:r>
      <w:r w:rsidRPr="003E34AC">
        <w:t>50,83 mil. m</w:t>
      </w:r>
      <w:r w:rsidRPr="00DE53F8">
        <w:rPr>
          <w:vertAlign w:val="superscript"/>
        </w:rPr>
        <w:t>3</w:t>
      </w:r>
      <w:r w:rsidRPr="003E34AC">
        <w:t>.</w:t>
      </w:r>
      <w:r w:rsidR="00DE53F8">
        <w:t xml:space="preserve"> </w:t>
      </w:r>
      <w:r w:rsidR="00DE53F8">
        <w:lastRenderedPageBreak/>
        <w:t>Zajímavé je, že u některých</w:t>
      </w:r>
      <w:r w:rsidRPr="003E34AC">
        <w:t> </w:t>
      </w:r>
      <w:r w:rsidR="00846B96" w:rsidRPr="003E34AC">
        <w:t xml:space="preserve">Porovnání </w:t>
      </w:r>
      <w:r w:rsidR="00846B96">
        <w:t>(celkem</w:t>
      </w:r>
      <w:r w:rsidR="00DE53F8">
        <w:t xml:space="preserve"> 43 Porovnání) </w:t>
      </w:r>
      <w:r w:rsidRPr="003E34AC">
        <w:t xml:space="preserve">s vykázaným </w:t>
      </w:r>
      <w:r w:rsidR="00DE53F8">
        <w:t xml:space="preserve">záporným kalkulačním ziskem </w:t>
      </w:r>
      <w:r w:rsidR="00962A95">
        <w:t> </w:t>
      </w:r>
      <w:r w:rsidR="00DE53F8">
        <w:t>výše ceny postačovala</w:t>
      </w:r>
      <w:r w:rsidRPr="003E34AC">
        <w:t xml:space="preserve"> </w:t>
      </w:r>
      <w:r w:rsidR="00962A95">
        <w:t>na </w:t>
      </w:r>
      <w:r w:rsidRPr="003E34AC">
        <w:t>generování dostatečnéh</w:t>
      </w:r>
      <w:r w:rsidR="00962A95">
        <w:t>o </w:t>
      </w:r>
      <w:r w:rsidRPr="003E34AC">
        <w:t>množství P</w:t>
      </w:r>
      <w:r w:rsidR="00962A95">
        <w:t>O </w:t>
      </w:r>
      <w:r w:rsidRPr="003E34AC">
        <w:t>(</w:t>
      </w:r>
      <w:r w:rsidR="00DE53F8">
        <w:t xml:space="preserve">za </w:t>
      </w:r>
      <w:r w:rsidRPr="003E34AC">
        <w:t xml:space="preserve">předpokladu, že Porovnání obsahovala veškeré ekonomicky oprávněné náklady </w:t>
      </w:r>
      <w:r w:rsidR="00962A95">
        <w:t>v </w:t>
      </w:r>
      <w:r w:rsidRPr="003E34AC">
        <w:t>plné výši).</w:t>
      </w:r>
      <w:r w:rsidR="00DE53F8">
        <w:t xml:space="preserve"> U</w:t>
      </w:r>
      <w:r w:rsidR="00CB1E06">
        <w:t> </w:t>
      </w:r>
      <w:r w:rsidR="00DE53F8">
        <w:t>těchto Porovnání součet hodnot kalkulačních položek, z nichž se generují PO, výrazně přesahuje hodnotu záporného kalkulačního zisku.</w:t>
      </w:r>
      <w:r w:rsidRPr="003E34AC">
        <w:t xml:space="preserve"> </w:t>
      </w:r>
    </w:p>
    <w:p w14:paraId="70FD2C27" w14:textId="56E1B5F4" w:rsidR="00657FB0" w:rsidRPr="003E34AC" w:rsidRDefault="004052F5" w:rsidP="003E34AC">
      <w:pPr>
        <w:pStyle w:val="NORMLN0"/>
      </w:pPr>
      <w:r w:rsidRPr="003E34AC">
        <w:t>Využívání zápornéh</w:t>
      </w:r>
      <w:r w:rsidR="00962A95">
        <w:t>o </w:t>
      </w:r>
      <w:r w:rsidRPr="003E34AC">
        <w:t>kalkulačníh</w:t>
      </w:r>
      <w:r w:rsidR="00962A95">
        <w:t>o </w:t>
      </w:r>
      <w:r w:rsidRPr="003E34AC">
        <w:t xml:space="preserve">zisku některými vlastníky již </w:t>
      </w:r>
      <w:r w:rsidR="00962A95">
        <w:t>při </w:t>
      </w:r>
      <w:r w:rsidRPr="003E34AC">
        <w:t xml:space="preserve">sestavování </w:t>
      </w:r>
      <w:r w:rsidR="00B27299">
        <w:t xml:space="preserve">plánové </w:t>
      </w:r>
      <w:r w:rsidRPr="003E34AC">
        <w:t>kalkulace ceny naznačuje, že vlastníci cenu cíleně dotují. Uvedená skutečnost byla zjiště</w:t>
      </w:r>
      <w:r w:rsidR="00962A95">
        <w:t>na</w:t>
      </w:r>
      <w:r w:rsidR="00DE53F8">
        <w:t xml:space="preserve"> u </w:t>
      </w:r>
      <w:r w:rsidRPr="003E34AC">
        <w:t xml:space="preserve">712 Porovnání (19,02 mil. m3 fakturované vody). Nejčastěji </w:t>
      </w:r>
      <w:r w:rsidR="00962A95">
        <w:t>ve </w:t>
      </w:r>
      <w:r w:rsidRPr="003E34AC">
        <w:t>vyskytovala IV. a V. vlastnické skupině. Následující tabulka obsahuje rozložení používání zápornéh</w:t>
      </w:r>
      <w:r w:rsidR="00962A95">
        <w:t>o </w:t>
      </w:r>
      <w:r w:rsidRPr="003E34AC">
        <w:t>kalkulačníh</w:t>
      </w:r>
      <w:r w:rsidR="00962A95">
        <w:t>o </w:t>
      </w:r>
      <w:r w:rsidRPr="003E34AC">
        <w:t xml:space="preserve">zisku podle jednotlivých skupin </w:t>
      </w:r>
      <w:r w:rsidR="00962A95">
        <w:t>v </w:t>
      </w:r>
      <w:r w:rsidRPr="003E34AC">
        <w:t xml:space="preserve">rozdělení </w:t>
      </w:r>
      <w:r w:rsidR="00962A95">
        <w:t>na </w:t>
      </w:r>
      <w:r w:rsidRPr="003E34AC">
        <w:t>cílenou dotaci ceny</w:t>
      </w:r>
      <w:r w:rsidR="00B27299">
        <w:t xml:space="preserve"> a</w:t>
      </w:r>
      <w:r w:rsidRPr="003E34AC">
        <w:t xml:space="preserve"> neplánované ztrátové hospodaření způsobené nepředvídanými okolnostmi.</w:t>
      </w:r>
    </w:p>
    <w:p w14:paraId="2F52E8C3" w14:textId="77777777" w:rsidR="00636AF2" w:rsidRDefault="00636AF2" w:rsidP="004052F5">
      <w:pPr>
        <w:pStyle w:val="NORMLN0"/>
      </w:pPr>
    </w:p>
    <w:tbl>
      <w:tblPr>
        <w:tblW w:w="572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046"/>
        <w:gridCol w:w="1236"/>
        <w:gridCol w:w="1464"/>
        <w:gridCol w:w="1464"/>
        <w:gridCol w:w="1536"/>
        <w:gridCol w:w="1536"/>
      </w:tblGrid>
      <w:tr w:rsidR="00CC3126" w:rsidRPr="00CC3126" w14:paraId="43769D8E" w14:textId="77777777" w:rsidTr="00CC3126">
        <w:trPr>
          <w:trHeight w:val="514"/>
          <w:jc w:val="center"/>
        </w:trPr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000000" w:fill="FFEDB3"/>
            <w:noWrap/>
            <w:vAlign w:val="center"/>
            <w:hideMark/>
          </w:tcPr>
          <w:p w14:paraId="1AB8555D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DB3"/>
            <w:vAlign w:val="center"/>
            <w:hideMark/>
          </w:tcPr>
          <w:p w14:paraId="2CAF8011" w14:textId="665073E8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ZÁPORNÝ KALKULAČNÍ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NA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POROVNÁNÍ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DCD1"/>
            <w:vAlign w:val="center"/>
            <w:hideMark/>
          </w:tcPr>
          <w:p w14:paraId="63D0D741" w14:textId="4C5098C5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 xml:space="preserve">CÍLENÁ DOTACE CENY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PRO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STOČNÉ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BB7"/>
            <w:vAlign w:val="center"/>
            <w:hideMark/>
          </w:tcPr>
          <w:p w14:paraId="5DDEB29A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ZTRÁTOVÉ HOSPODAŘENÍ</w:t>
            </w:r>
          </w:p>
        </w:tc>
      </w:tr>
      <w:tr w:rsidR="00CC3126" w:rsidRPr="00CC3126" w14:paraId="5B83F044" w14:textId="77777777" w:rsidTr="00CC3126">
        <w:trPr>
          <w:trHeight w:val="1759"/>
          <w:jc w:val="center"/>
        </w:trPr>
        <w:tc>
          <w:tcPr>
            <w:tcW w:w="114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EDB3"/>
            <w:vAlign w:val="center"/>
            <w:hideMark/>
          </w:tcPr>
          <w:p w14:paraId="388721BC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VLASTNICKÁ SKUPINA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EDB3"/>
            <w:vAlign w:val="center"/>
            <w:hideMark/>
          </w:tcPr>
          <w:p w14:paraId="3325F846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POČET POROVNÁNÍ - ZÁPORNÝ KALKULAČNÍ ZISK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EDB3"/>
            <w:vAlign w:val="center"/>
            <w:hideMark/>
          </w:tcPr>
          <w:p w14:paraId="52B25A23" w14:textId="6DAE3F0E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 xml:space="preserve">OBJEM FAKTUROVANÉ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V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MIL. M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vertAlign w:val="superscript"/>
                <w:lang w:eastAsia="cs-CZ"/>
              </w:rPr>
              <w:t xml:space="preserve">3 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_ZÁPORNÝ KALKULAČNÍ ZISK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4DCD1"/>
            <w:vAlign w:val="center"/>
            <w:hideMark/>
          </w:tcPr>
          <w:p w14:paraId="1F38E036" w14:textId="43DFDEAE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POČET POROVNÁNÍ - ZÁPORNÝ KALKULAČNÍ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KALKULOVÁN A ZÁPORNÝ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DOSAŽEN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4DCD1"/>
            <w:vAlign w:val="center"/>
            <w:hideMark/>
          </w:tcPr>
          <w:p w14:paraId="63FE35E1" w14:textId="6F0A06BC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 xml:space="preserve">OBJEM FAKTUROVANÉ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V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MIL. M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_ZÁPORNÝ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KALKULOVÁN A ZÁPORNÝ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DOSAŽEN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DBB7"/>
            <w:vAlign w:val="center"/>
            <w:hideMark/>
          </w:tcPr>
          <w:p w14:paraId="2A65F6C5" w14:textId="425C0B1C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POČET POROVNÁNÍ - KALKULOVÁN KLADNÝ NEB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O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NULOVÝ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A DOSAŽE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NA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DBB7"/>
            <w:vAlign w:val="center"/>
            <w:hideMark/>
          </w:tcPr>
          <w:p w14:paraId="24B8AAFA" w14:textId="205D86B3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 xml:space="preserve">OBJEM FAKTUROVANÉ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V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MIL. M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_- KALKULOVÁN KLADNÝ NEB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O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NULOVÝ ZIS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K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A DOSAŽE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NA </w:t>
            </w: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ZTRÁTA</w:t>
            </w:r>
          </w:p>
        </w:tc>
      </w:tr>
      <w:tr w:rsidR="00CC3126" w:rsidRPr="00CC3126" w14:paraId="41D69952" w14:textId="77777777" w:rsidTr="00CC3126">
        <w:trPr>
          <w:trHeight w:val="300"/>
          <w:jc w:val="center"/>
        </w:trPr>
        <w:tc>
          <w:tcPr>
            <w:tcW w:w="114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6FA54A6D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  <w:t>I.skupina(&gt;10 000mil.Kč)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33251CC1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31CCD3FB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A4DCD1"/>
            <w:noWrap/>
            <w:vAlign w:val="center"/>
            <w:hideMark/>
          </w:tcPr>
          <w:p w14:paraId="19ED230C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A4DCD1"/>
            <w:noWrap/>
            <w:vAlign w:val="center"/>
            <w:hideMark/>
          </w:tcPr>
          <w:p w14:paraId="39663530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DBB7"/>
            <w:noWrap/>
            <w:vAlign w:val="center"/>
            <w:hideMark/>
          </w:tcPr>
          <w:p w14:paraId="21134443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DBB7"/>
            <w:noWrap/>
            <w:vAlign w:val="center"/>
            <w:hideMark/>
          </w:tcPr>
          <w:p w14:paraId="7B2E7F4D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CC3126" w:rsidRPr="00CC3126" w14:paraId="0466F6AB" w14:textId="77777777" w:rsidTr="00CC3126">
        <w:trPr>
          <w:trHeight w:val="286"/>
          <w:jc w:val="center"/>
        </w:trPr>
        <w:tc>
          <w:tcPr>
            <w:tcW w:w="114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60C4AB70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  <w:t>II.skupina(&gt;1 000mil.Kč)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73F1E0EB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214E9388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8,88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4F4F1"/>
            <w:noWrap/>
            <w:vAlign w:val="center"/>
            <w:hideMark/>
          </w:tcPr>
          <w:p w14:paraId="5E7E7B22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4F4F1"/>
            <w:noWrap/>
            <w:vAlign w:val="center"/>
            <w:hideMark/>
          </w:tcPr>
          <w:p w14:paraId="3546A011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2,96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ECD9"/>
            <w:noWrap/>
            <w:vAlign w:val="center"/>
            <w:hideMark/>
          </w:tcPr>
          <w:p w14:paraId="71778869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ECD9"/>
            <w:noWrap/>
            <w:vAlign w:val="center"/>
            <w:hideMark/>
          </w:tcPr>
          <w:p w14:paraId="11B914FD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5,91</w:t>
            </w:r>
          </w:p>
        </w:tc>
      </w:tr>
      <w:tr w:rsidR="00CC3126" w:rsidRPr="00CC3126" w14:paraId="28CA3D2D" w14:textId="77777777" w:rsidTr="00CC3126">
        <w:trPr>
          <w:trHeight w:val="300"/>
          <w:jc w:val="center"/>
        </w:trPr>
        <w:tc>
          <w:tcPr>
            <w:tcW w:w="114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7D11BFE8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  <w:t>III.skupina(&gt;100mil.Kč)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2CFC138E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5D86F431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16,45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A4DCD1"/>
            <w:noWrap/>
            <w:vAlign w:val="center"/>
            <w:hideMark/>
          </w:tcPr>
          <w:p w14:paraId="1D52F231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A4DCD1"/>
            <w:noWrap/>
            <w:vAlign w:val="center"/>
            <w:hideMark/>
          </w:tcPr>
          <w:p w14:paraId="1221F4FB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4,37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DBB7"/>
            <w:noWrap/>
            <w:vAlign w:val="center"/>
            <w:hideMark/>
          </w:tcPr>
          <w:p w14:paraId="3BBFF6FC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DBB7"/>
            <w:noWrap/>
            <w:vAlign w:val="center"/>
            <w:hideMark/>
          </w:tcPr>
          <w:p w14:paraId="4E72E50F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12,08</w:t>
            </w:r>
          </w:p>
        </w:tc>
      </w:tr>
      <w:tr w:rsidR="00CC3126" w:rsidRPr="00CC3126" w14:paraId="76F75C3A" w14:textId="77777777" w:rsidTr="00CC3126">
        <w:trPr>
          <w:trHeight w:val="286"/>
          <w:jc w:val="center"/>
        </w:trPr>
        <w:tc>
          <w:tcPr>
            <w:tcW w:w="114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7199C12F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  <w:t>IV.skupina(&gt;10mil.Kč)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3295201C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1 064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1DFDABB7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23,33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4F4F1"/>
            <w:noWrap/>
            <w:vAlign w:val="center"/>
            <w:hideMark/>
          </w:tcPr>
          <w:p w14:paraId="27B14148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526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4F4F1"/>
            <w:noWrap/>
            <w:vAlign w:val="center"/>
            <w:hideMark/>
          </w:tcPr>
          <w:p w14:paraId="56222AAA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10,59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ECD9"/>
            <w:noWrap/>
            <w:vAlign w:val="center"/>
            <w:hideMark/>
          </w:tcPr>
          <w:p w14:paraId="77CBAED8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538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ECD9"/>
            <w:noWrap/>
            <w:vAlign w:val="center"/>
            <w:hideMark/>
          </w:tcPr>
          <w:p w14:paraId="5BFF94AB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12,74</w:t>
            </w:r>
          </w:p>
        </w:tc>
      </w:tr>
      <w:tr w:rsidR="00CC3126" w:rsidRPr="00CC3126" w14:paraId="191D52A4" w14:textId="77777777" w:rsidTr="00CC3126">
        <w:trPr>
          <w:trHeight w:val="300"/>
          <w:jc w:val="center"/>
        </w:trPr>
        <w:tc>
          <w:tcPr>
            <w:tcW w:w="114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0A9A23CC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  <w:t>V.skupina(&gt;1mil.Kč)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565BED00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EDB3"/>
            <w:noWrap/>
            <w:vAlign w:val="center"/>
            <w:hideMark/>
          </w:tcPr>
          <w:p w14:paraId="1F9FF311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2,04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A4DCD1"/>
            <w:noWrap/>
            <w:vAlign w:val="center"/>
            <w:hideMark/>
          </w:tcPr>
          <w:p w14:paraId="563C9363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A4DCD1"/>
            <w:noWrap/>
            <w:vAlign w:val="center"/>
            <w:hideMark/>
          </w:tcPr>
          <w:p w14:paraId="6CEF305A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1,06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95B3D7"/>
              <w:right w:val="single" w:sz="8" w:space="0" w:color="FFFFFF"/>
            </w:tcBorders>
            <w:shd w:val="clear" w:color="000000" w:fill="FFDBB7"/>
            <w:noWrap/>
            <w:vAlign w:val="center"/>
            <w:hideMark/>
          </w:tcPr>
          <w:p w14:paraId="2F1EE269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153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DBB7"/>
            <w:noWrap/>
            <w:vAlign w:val="center"/>
            <w:hideMark/>
          </w:tcPr>
          <w:p w14:paraId="4EE09768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0,98</w:t>
            </w:r>
          </w:p>
        </w:tc>
      </w:tr>
      <w:tr w:rsidR="00CC3126" w:rsidRPr="00CC3126" w14:paraId="5187E6CA" w14:textId="77777777" w:rsidTr="00CC3126">
        <w:trPr>
          <w:trHeight w:val="286"/>
          <w:jc w:val="center"/>
        </w:trPr>
        <w:tc>
          <w:tcPr>
            <w:tcW w:w="114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14F81999" w14:textId="77777777" w:rsidR="00CC3126" w:rsidRPr="00CC3126" w:rsidRDefault="00CC3126" w:rsidP="00CC3126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20"/>
                <w:szCs w:val="18"/>
                <w:lang w:eastAsia="cs-CZ"/>
              </w:rPr>
              <w:t>VI.skupina(&lt;1mil.Kč)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0CFAC905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8E1"/>
            <w:noWrap/>
            <w:vAlign w:val="center"/>
            <w:hideMark/>
          </w:tcPr>
          <w:p w14:paraId="0BFE6E68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0,14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4F4F1"/>
            <w:noWrap/>
            <w:vAlign w:val="center"/>
            <w:hideMark/>
          </w:tcPr>
          <w:p w14:paraId="3ADE37FD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4F4F1"/>
            <w:noWrap/>
            <w:vAlign w:val="center"/>
            <w:hideMark/>
          </w:tcPr>
          <w:p w14:paraId="7A16C531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0,03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ECD9"/>
            <w:noWrap/>
            <w:vAlign w:val="center"/>
            <w:hideMark/>
          </w:tcPr>
          <w:p w14:paraId="5697D24C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FFECD9"/>
            <w:noWrap/>
            <w:vAlign w:val="center"/>
            <w:hideMark/>
          </w:tcPr>
          <w:p w14:paraId="196BA439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smallCaps/>
                <w:color w:val="000000"/>
                <w:sz w:val="18"/>
                <w:szCs w:val="18"/>
                <w:lang w:eastAsia="cs-CZ"/>
              </w:rPr>
              <w:t>0,10</w:t>
            </w:r>
          </w:p>
        </w:tc>
      </w:tr>
      <w:tr w:rsidR="00CC3126" w:rsidRPr="00CC3126" w14:paraId="3CEF7663" w14:textId="77777777" w:rsidTr="00CC3126">
        <w:trPr>
          <w:trHeight w:val="300"/>
          <w:jc w:val="center"/>
        </w:trPr>
        <w:tc>
          <w:tcPr>
            <w:tcW w:w="114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EDB3"/>
            <w:vAlign w:val="center"/>
            <w:hideMark/>
          </w:tcPr>
          <w:p w14:paraId="65ADA32E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EDB3"/>
            <w:vAlign w:val="center"/>
            <w:hideMark/>
          </w:tcPr>
          <w:p w14:paraId="515A06B5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1 485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EDB3"/>
            <w:vAlign w:val="center"/>
            <w:hideMark/>
          </w:tcPr>
          <w:p w14:paraId="05C03648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50,83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4DCD1"/>
            <w:vAlign w:val="center"/>
            <w:hideMark/>
          </w:tcPr>
          <w:p w14:paraId="39EF2A8B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712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4DCD1"/>
            <w:vAlign w:val="center"/>
            <w:hideMark/>
          </w:tcPr>
          <w:p w14:paraId="273FEDCA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19,02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DBB7"/>
            <w:vAlign w:val="center"/>
            <w:hideMark/>
          </w:tcPr>
          <w:p w14:paraId="5A92294F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773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DBB7"/>
            <w:vAlign w:val="center"/>
            <w:hideMark/>
          </w:tcPr>
          <w:p w14:paraId="3447AE1E" w14:textId="77777777" w:rsidR="00CC3126" w:rsidRPr="00CC3126" w:rsidRDefault="00CC3126" w:rsidP="00CC3126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</w:pPr>
            <w:r w:rsidRPr="00CC3126">
              <w:rPr>
                <w:rFonts w:asciiTheme="majorHAnsi" w:eastAsia="Times New Roman" w:hAnsiTheme="majorHAnsi" w:cstheme="majorHAnsi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31,81</w:t>
            </w:r>
          </w:p>
        </w:tc>
      </w:tr>
    </w:tbl>
    <w:p w14:paraId="499D845D" w14:textId="77777777" w:rsidR="00636AF2" w:rsidRDefault="00636AF2" w:rsidP="00636AF2">
      <w:pPr>
        <w:pStyle w:val="Normlnzprva"/>
      </w:pPr>
    </w:p>
    <w:p w14:paraId="3AEBB9CE" w14:textId="57F22EAD" w:rsidR="007124D0" w:rsidRDefault="00962A95" w:rsidP="00636AF2">
      <w:pPr>
        <w:pStyle w:val="NORMLN0"/>
      </w:pPr>
      <w:r>
        <w:t>V </w:t>
      </w:r>
      <w:r w:rsidR="004052F5">
        <w:t xml:space="preserve">mnoha případech souvisí dotace ceny s vysokým stupněm atomizace sektoru. </w:t>
      </w:r>
      <w:r>
        <w:t>Z </w:t>
      </w:r>
      <w:r w:rsidR="004052F5">
        <w:t>dlouhodobéh</w:t>
      </w:r>
      <w:r>
        <w:t>o </w:t>
      </w:r>
      <w:r w:rsidR="004052F5">
        <w:t>hlediska</w:t>
      </w:r>
      <w:r w:rsidR="00B27299">
        <w:t xml:space="preserve"> </w:t>
      </w:r>
      <w:r w:rsidR="004052F5">
        <w:t>vša</w:t>
      </w:r>
      <w:r>
        <w:t>k </w:t>
      </w:r>
      <w:r w:rsidR="004052F5">
        <w:t>tent</w:t>
      </w:r>
      <w:r>
        <w:t>o </w:t>
      </w:r>
      <w:r w:rsidR="004052F5">
        <w:t>přístup zabraňuje plnění záměru dosažení samofinancovatelnosti VIM a zvyšuje se rizik</w:t>
      </w:r>
      <w:r>
        <w:t>o </w:t>
      </w:r>
      <w:r w:rsidR="004052F5" w:rsidRPr="000937F8">
        <w:t>zatížení budoucích generací</w:t>
      </w:r>
      <w:r w:rsidR="004052F5">
        <w:t xml:space="preserve"> </w:t>
      </w:r>
      <w:r w:rsidR="004052F5" w:rsidRPr="000937F8">
        <w:t xml:space="preserve">výdaji </w:t>
      </w:r>
      <w:r>
        <w:t>na </w:t>
      </w:r>
      <w:r w:rsidR="004052F5" w:rsidRPr="000937F8">
        <w:t>obnovu VIM buď formou státních dotací</w:t>
      </w:r>
      <w:r w:rsidR="004052F5">
        <w:t>,</w:t>
      </w:r>
      <w:r w:rsidR="004052F5" w:rsidRPr="000937F8">
        <w:t xml:space="preserve"> neb</w:t>
      </w:r>
      <w:r>
        <w:t>o </w:t>
      </w:r>
      <w:r w:rsidR="004052F5" w:rsidRPr="000937F8">
        <w:t>skokově zvýšenou cenou</w:t>
      </w:r>
      <w:r w:rsidR="004052F5">
        <w:t>, pokud vlastní</w:t>
      </w:r>
      <w:r>
        <w:t>k o </w:t>
      </w:r>
      <w:r w:rsidR="004052F5">
        <w:t xml:space="preserve">VIM dostatečně systematicky nepečuje a nefinancuje obnovu </w:t>
      </w:r>
      <w:r>
        <w:t>z </w:t>
      </w:r>
      <w:r w:rsidR="004052F5">
        <w:t>jiných příjmů.</w:t>
      </w:r>
      <w:r w:rsidR="00636AF2">
        <w:t xml:space="preserve"> </w:t>
      </w:r>
    </w:p>
    <w:p w14:paraId="00F57DE4" w14:textId="77777777" w:rsidR="007124D0" w:rsidRDefault="007124D0">
      <w:pPr>
        <w:spacing w:before="0" w:after="160" w:line="259" w:lineRule="auto"/>
        <w:contextualSpacing w:val="0"/>
        <w:jc w:val="left"/>
        <w:rPr>
          <w:szCs w:val="20"/>
        </w:rPr>
      </w:pPr>
      <w:r>
        <w:br w:type="page"/>
      </w:r>
    </w:p>
    <w:p w14:paraId="46447713" w14:textId="1FC8E357" w:rsidR="00636AF2" w:rsidRDefault="00636AF2" w:rsidP="00636AF2">
      <w:pPr>
        <w:pStyle w:val="Nadpis3"/>
        <w:rPr>
          <w:rFonts w:asciiTheme="minorHAnsi" w:hAnsiTheme="minorHAnsi"/>
          <w:noProof/>
        </w:rPr>
      </w:pPr>
      <w:bookmarkStart w:id="69" w:name="_Toc963487"/>
      <w:bookmarkStart w:id="70" w:name="_Toc34210399"/>
      <w:r w:rsidRPr="00C62639">
        <w:rPr>
          <w:rFonts w:asciiTheme="minorHAnsi" w:hAnsiTheme="minorHAnsi"/>
          <w:noProof/>
        </w:rPr>
        <w:lastRenderedPageBreak/>
        <w:t xml:space="preserve">Výskyt anomálii </w:t>
      </w:r>
      <w:r w:rsidR="00962A95">
        <w:rPr>
          <w:rFonts w:asciiTheme="minorHAnsi" w:hAnsiTheme="minorHAnsi"/>
          <w:noProof/>
        </w:rPr>
        <w:t>v </w:t>
      </w:r>
      <w:r w:rsidRPr="00C62639">
        <w:rPr>
          <w:rFonts w:asciiTheme="minorHAnsi" w:hAnsiTheme="minorHAnsi"/>
          <w:noProof/>
        </w:rPr>
        <w:t>jednotlivých skupinách vlastníků</w:t>
      </w:r>
      <w:bookmarkEnd w:id="69"/>
      <w:bookmarkEnd w:id="70"/>
    </w:p>
    <w:p w14:paraId="460AA4E4" w14:textId="5FD161E0" w:rsidR="004052F5" w:rsidRPr="004052F5" w:rsidRDefault="00962A95" w:rsidP="004052F5">
      <w:r>
        <w:rPr>
          <w:noProof/>
          <w:lang w:eastAsia="cs-CZ"/>
        </w:rPr>
        <w:t>Z </w:t>
      </w:r>
      <w:r w:rsidR="004052F5">
        <w:rPr>
          <w:noProof/>
          <w:lang w:eastAsia="cs-CZ"/>
        </w:rPr>
        <w:t xml:space="preserve">hlediska objemu fakturované vody zasahují anomálie všechny skupiny. I </w:t>
      </w:r>
      <w:r>
        <w:rPr>
          <w:noProof/>
          <w:lang w:eastAsia="cs-CZ"/>
        </w:rPr>
        <w:t>v </w:t>
      </w:r>
      <w:r w:rsidR="004052F5">
        <w:rPr>
          <w:noProof/>
          <w:lang w:eastAsia="cs-CZ"/>
        </w:rPr>
        <w:t>první vlastnické skupině se vyskytuje alespoň jed</w:t>
      </w:r>
      <w:r>
        <w:rPr>
          <w:noProof/>
          <w:lang w:eastAsia="cs-CZ"/>
        </w:rPr>
        <w:t>na </w:t>
      </w:r>
      <w:r w:rsidR="004052F5">
        <w:rPr>
          <w:noProof/>
          <w:lang w:eastAsia="cs-CZ"/>
        </w:rPr>
        <w:t>anomálie</w:t>
      </w:r>
      <w:r w:rsidR="00DE53F8">
        <w:rPr>
          <w:noProof/>
          <w:lang w:eastAsia="cs-CZ"/>
        </w:rPr>
        <w:t xml:space="preserve"> u </w:t>
      </w:r>
      <w:r w:rsidR="004052F5">
        <w:rPr>
          <w:noProof/>
          <w:lang w:eastAsia="cs-CZ"/>
        </w:rPr>
        <w:t xml:space="preserve">více </w:t>
      </w:r>
      <w:r>
        <w:rPr>
          <w:noProof/>
          <w:lang w:eastAsia="cs-CZ"/>
        </w:rPr>
        <w:t>než </w:t>
      </w:r>
      <w:r w:rsidR="004052F5">
        <w:rPr>
          <w:noProof/>
          <w:lang w:eastAsia="cs-CZ"/>
        </w:rPr>
        <w:t xml:space="preserve">50 % objemu fakturované vody. Více </w:t>
      </w:r>
      <w:r>
        <w:rPr>
          <w:noProof/>
          <w:lang w:eastAsia="cs-CZ"/>
        </w:rPr>
        <w:t>než </w:t>
      </w:r>
      <w:r w:rsidR="004052F5">
        <w:rPr>
          <w:noProof/>
          <w:lang w:eastAsia="cs-CZ"/>
        </w:rPr>
        <w:t>90 % objemu fakturované odpadní vody je ovlivněn</w:t>
      </w:r>
      <w:r>
        <w:rPr>
          <w:noProof/>
          <w:lang w:eastAsia="cs-CZ"/>
        </w:rPr>
        <w:t>o ve </w:t>
      </w:r>
      <w:r w:rsidR="004052F5">
        <w:rPr>
          <w:noProof/>
          <w:lang w:eastAsia="cs-CZ"/>
        </w:rPr>
        <w:t>IV., V. a VI. skupině.</w:t>
      </w:r>
    </w:p>
    <w:bookmarkStart w:id="71" w:name="_MON_1642594937"/>
    <w:bookmarkEnd w:id="71"/>
    <w:p w14:paraId="21649513" w14:textId="30C14668" w:rsidR="00636AF2" w:rsidRDefault="00F205E9" w:rsidP="00CC3126">
      <w:pPr>
        <w:pStyle w:val="NORMLN0"/>
        <w:ind w:firstLine="0"/>
        <w:jc w:val="center"/>
        <w:rPr>
          <w:noProof/>
          <w:lang w:eastAsia="cs-CZ"/>
        </w:rPr>
      </w:pPr>
      <w:r>
        <w:rPr>
          <w:noProof/>
          <w:lang w:eastAsia="cs-CZ"/>
        </w:rPr>
        <w:object w:dxaOrig="9914" w:dyaOrig="4011" w14:anchorId="40788EB4">
          <v:shape id="_x0000_i1030" type="#_x0000_t75" style="width:465pt;height:197.25pt" o:ole="">
            <v:imagedata r:id="rId29" o:title=""/>
          </v:shape>
          <o:OLEObject Type="Embed" ProgID="Excel.Sheet.12" ShapeID="_x0000_i1030" DrawAspect="Content" ObjectID="_1662960750" r:id="rId30"/>
        </w:object>
      </w:r>
    </w:p>
    <w:p w14:paraId="2AB7B001" w14:textId="24F93616" w:rsidR="00636AF2" w:rsidRPr="003E34AC" w:rsidRDefault="00962A95" w:rsidP="003E34AC">
      <w:pPr>
        <w:pStyle w:val="NORMLN0"/>
      </w:pPr>
      <w:r>
        <w:t>V </w:t>
      </w:r>
      <w:r w:rsidR="004052F5" w:rsidRPr="003E34AC">
        <w:t xml:space="preserve">následujících tabulkách jsou blíže specifikovány anomálie a jejich rozložení </w:t>
      </w:r>
      <w:r>
        <w:t>ve </w:t>
      </w:r>
      <w:r w:rsidR="004052F5" w:rsidRPr="003E34AC">
        <w:t>všech skupinách s uvedením počtu připojených obyvatel a množství fakturované vody</w:t>
      </w:r>
      <w:r w:rsidR="003E34AC">
        <w:t xml:space="preserve"> </w:t>
      </w:r>
      <w:r>
        <w:t>v </w:t>
      </w:r>
      <w:r w:rsidR="004052F5" w:rsidRPr="003E34AC">
        <w:t>jednotlivých skupinách.</w:t>
      </w:r>
      <w:r w:rsidR="00371EFB" w:rsidRPr="003E34AC">
        <w:t xml:space="preserve"> </w:t>
      </w:r>
    </w:p>
    <w:p w14:paraId="63E7CF62" w14:textId="77777777" w:rsidR="00636AF2" w:rsidRDefault="00636AF2" w:rsidP="00636AF2">
      <w:pPr>
        <w:pStyle w:val="NORMLN0"/>
        <w:rPr>
          <w:noProof/>
          <w:lang w:eastAsia="cs-CZ"/>
        </w:rPr>
        <w:sectPr w:rsidR="00636AF2" w:rsidSect="00636AF2">
          <w:footerReference w:type="default" r:id="rId3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674"/>
        <w:gridCol w:w="2535"/>
        <w:gridCol w:w="1461"/>
        <w:gridCol w:w="2277"/>
      </w:tblGrid>
      <w:tr w:rsidR="00036CBE" w:rsidRPr="00036CBE" w14:paraId="0626F9AD" w14:textId="77777777" w:rsidTr="00663098">
        <w:trPr>
          <w:trHeight w:val="972"/>
          <w:jc w:val="center"/>
        </w:trPr>
        <w:tc>
          <w:tcPr>
            <w:tcW w:w="666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center"/>
            <w:hideMark/>
          </w:tcPr>
          <w:p w14:paraId="4F0BC535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167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11995D9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I.SKUPINA</w:t>
            </w:r>
            <w:r w:rsidR="00663098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(&gt;10 000 MIL.KČ)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ČETNOST VÝSKYTU ANOMÁLIE</w:t>
            </w:r>
          </w:p>
        </w:tc>
        <w:tc>
          <w:tcPr>
            <w:tcW w:w="253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43A853CE" w14:textId="206E54F5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(MIL. M3) OVLIVNĚN ALESPOŇ JEDNOU ANOMÁLIÍ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I. SKUPINĚ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2BA3D988" w14:textId="39B97651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="00663098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(&gt;1 000 MIL.KČ)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ČETNOST VÝSKYTU ANOMÁLIE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ED7D31" w:fill="ED7D31"/>
            <w:vAlign w:val="center"/>
            <w:hideMark/>
          </w:tcPr>
          <w:p w14:paraId="47DD0C20" w14:textId="6BA5F17F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(MIL. M3) OVLIVNĚN ALESPOŇ JEDNOU ANOMÁLIÍ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II. SKUPINĚ</w:t>
            </w:r>
          </w:p>
        </w:tc>
      </w:tr>
      <w:tr w:rsidR="00036CBE" w:rsidRPr="00036CBE" w14:paraId="0D37CCCE" w14:textId="77777777" w:rsidTr="00663098">
        <w:trPr>
          <w:trHeight w:val="20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bottom"/>
            <w:hideMark/>
          </w:tcPr>
          <w:p w14:paraId="2045115B" w14:textId="18779EFD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4B789AE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204,54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6029A5D6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38CBE37A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186,86</w:t>
            </w:r>
          </w:p>
        </w:tc>
        <w:tc>
          <w:tcPr>
            <w:tcW w:w="22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00E285E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036CBE" w:rsidRPr="00036CBE" w14:paraId="66E17977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bottom"/>
            <w:hideMark/>
          </w:tcPr>
          <w:p w14:paraId="30B8C52B" w14:textId="77777777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3B70C8CB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3 292 326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0D3DE7C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0B0B2F3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3 038 338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471E0CE5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036CBE" w:rsidRPr="00036CBE" w14:paraId="770BDC11" w14:textId="77777777" w:rsidTr="00663098">
        <w:trPr>
          <w:trHeight w:val="385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72FDC6FC" w14:textId="0A8945F2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NÁJEM JE MENŠÍ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ROVEN 0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ODDÍLNÉM (BE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SERVISNÍCH SMLUV)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KOMBINOVANÉM MODELU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CC79BF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0B66A0E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10F7E71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5A72895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22,94</w:t>
            </w:r>
          </w:p>
        </w:tc>
      </w:tr>
      <w:tr w:rsidR="00036CBE" w:rsidRPr="00036CBE" w14:paraId="69871D2B" w14:textId="77777777" w:rsidTr="00663098">
        <w:trPr>
          <w:trHeight w:val="299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1D0675FC" w14:textId="723AE873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NEDOSTATEČNÁ TVORBA PROSTŘEDKŮ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OBNOVU VIM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BE8F72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35D5167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E08C0E6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70DD014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49,83</w:t>
            </w:r>
          </w:p>
        </w:tc>
      </w:tr>
      <w:tr w:rsidR="00036CBE" w:rsidRPr="00036CBE" w14:paraId="78CB2E46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7F76D7C1" w14:textId="1DF1D69F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NULOVÝ CELÝ ŘÁDE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D3FFEDA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B20AEDC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FE11A91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59C5153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10,80</w:t>
            </w:r>
          </w:p>
        </w:tc>
      </w:tr>
      <w:tr w:rsidR="00036CBE" w:rsidRPr="00036CBE" w14:paraId="68BDAEAE" w14:textId="77777777" w:rsidTr="00663098">
        <w:trPr>
          <w:trHeight w:val="385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25BB3116" w14:textId="69072B7F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NULOVÉ ODPISY + NULOVÉ OPRAVY +4.4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SMÍŠENÉM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KOMBINOVANÉM MODELU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956E40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57580A9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7D590C2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571F599D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036CBE" w:rsidRPr="00036CBE" w14:paraId="5FB7BC4B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4FE33076" w14:textId="5269DDFD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STOČNÉ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9C7043E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2FAB582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7122727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7E74BE5C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036CBE" w:rsidRPr="00036CBE" w14:paraId="7914E9ED" w14:textId="77777777" w:rsidTr="00663098">
        <w:trPr>
          <w:trHeight w:val="770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26BF603D" w14:textId="0FBEC1AC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NÍZKÁ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STOČNÉ</w:t>
            </w:r>
            <w:r w:rsidR="00371EF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ÚROVNI 10% PERCENTILU CENY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STOČNÉ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SOUBORU DAT,</w:t>
            </w:r>
            <w:r w:rsidR="00DE53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u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KTERÝCH JSOU JEDNOTKOVÉ NÁKLASDY 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4,76 KČ/M3 - VYKAZUJÍ NÁKLADY)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6DBD995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B36DF4E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321735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455215A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036CBE" w:rsidRPr="00036CBE" w14:paraId="3E56ACD8" w14:textId="77777777" w:rsidTr="00663098">
        <w:trPr>
          <w:trHeight w:val="578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325F0F87" w14:textId="1C1B9D23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VYSOKÝ POČET PORUCH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STOKOVÉ SÍTĚ / RO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(HODNOTA 1,5 NÁSOBKU 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NULOVÉ HODNOTY UKAZATELE)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3E36D36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6E168D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116,32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07ED63E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2CEDEAD5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71,27</w:t>
            </w:r>
          </w:p>
        </w:tc>
      </w:tr>
      <w:tr w:rsidR="00036CBE" w:rsidRPr="00036CBE" w14:paraId="27B9C659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1E31AE8A" w14:textId="77777777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301B654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3BC9852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52C598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617384C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8,88</w:t>
            </w:r>
          </w:p>
        </w:tc>
      </w:tr>
      <w:tr w:rsidR="00036CBE" w:rsidRPr="00036CBE" w14:paraId="5C101A56" w14:textId="77777777" w:rsidTr="00663098">
        <w:trPr>
          <w:trHeight w:val="385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1CFB0812" w14:textId="31B7BD00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KALKULOVÁN KLADNÝ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A DOSAŽEN ZÁPORNÝ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57155CE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7F5B3AD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7FAC6A5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2AA376C5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5,91</w:t>
            </w:r>
          </w:p>
        </w:tc>
      </w:tr>
      <w:tr w:rsidR="00036CBE" w:rsidRPr="00036CBE" w14:paraId="23B28F52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70CF4CFA" w14:textId="026D3784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KALKULOVÁN A ZÁPORNÝ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DOSAŽEN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BC8F6B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7AD0FD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5446FC9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3D8147F6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2,96</w:t>
            </w:r>
          </w:p>
        </w:tc>
      </w:tr>
      <w:tr w:rsidR="00036CBE" w:rsidRPr="00036CBE" w14:paraId="36C52A87" w14:textId="77777777" w:rsidTr="00663098">
        <w:trPr>
          <w:trHeight w:val="770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1431064C" w14:textId="03C8131F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ÚVN (BE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ČÁSTI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OBNOVU A ROZVOJ) (HODNOTA 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KALKULAČNÍM ZISKEM)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7CB4C5B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D3D021F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25,11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7887288A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742B28B2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60,93</w:t>
            </w:r>
          </w:p>
        </w:tc>
      </w:tr>
      <w:tr w:rsidR="00036CBE" w:rsidRPr="00036CBE" w14:paraId="0E963F98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44FD4C3E" w14:textId="77777777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 &gt; 1 A NEPLNÍ OBNOVU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462C02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B71E1D9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AF2013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3125B4CF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28,12</w:t>
            </w:r>
          </w:p>
        </w:tc>
      </w:tr>
      <w:tr w:rsidR="00036CBE" w:rsidRPr="00036CBE" w14:paraId="5D6F2D1E" w14:textId="77777777" w:rsidTr="00663098">
        <w:trPr>
          <w:trHeight w:val="385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7D31"/>
            <w:vAlign w:val="center"/>
            <w:hideMark/>
          </w:tcPr>
          <w:p w14:paraId="35126E41" w14:textId="77777777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1F1C8AC2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2503F17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141,42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23535CE4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D7D31"/>
            <w:noWrap/>
            <w:vAlign w:val="center"/>
            <w:hideMark/>
          </w:tcPr>
          <w:p w14:paraId="501F5791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261,64</w:t>
            </w:r>
          </w:p>
        </w:tc>
      </w:tr>
      <w:tr w:rsidR="00036CBE" w:rsidRPr="00036CBE" w14:paraId="1F48C711" w14:textId="77777777" w:rsidTr="00663098">
        <w:trPr>
          <w:trHeight w:val="578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0D22B0C4" w14:textId="77777777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6E41304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6BA42B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116,32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29D49A7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471F8547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141,13</w:t>
            </w:r>
          </w:p>
        </w:tc>
      </w:tr>
      <w:tr w:rsidR="00036CBE" w:rsidRPr="00036CBE" w14:paraId="3316503A" w14:textId="77777777" w:rsidTr="00663098">
        <w:trPr>
          <w:trHeight w:val="192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6099B96" w14:textId="0811028C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79A29D1C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E723048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DB336C3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4F48B360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036CBE" w:rsidRPr="00036CBE" w14:paraId="7AE718CC" w14:textId="77777777" w:rsidTr="00663098">
        <w:trPr>
          <w:trHeight w:val="770"/>
          <w:jc w:val="center"/>
        </w:trPr>
        <w:tc>
          <w:tcPr>
            <w:tcW w:w="666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7A109F8D" w14:textId="584379CF" w:rsidR="00036CBE" w:rsidRPr="00036CBE" w:rsidRDefault="00036CBE" w:rsidP="00036CBE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PODÍL POČTU POROVNÁNÍ S ALESPOŇ JEDNOU ANOMÁLIÍ /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 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AC5E64C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40,00%</w:t>
            </w:r>
          </w:p>
        </w:tc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520D809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56,87%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80CB6CD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72,92%</w:t>
            </w:r>
          </w:p>
        </w:tc>
        <w:tc>
          <w:tcPr>
            <w:tcW w:w="227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CE4D6" w:fill="FCE4D6"/>
            <w:noWrap/>
            <w:vAlign w:val="center"/>
            <w:hideMark/>
          </w:tcPr>
          <w:p w14:paraId="3ACD8EAB" w14:textId="77777777" w:rsidR="00036CBE" w:rsidRPr="00036CBE" w:rsidRDefault="00036CBE" w:rsidP="00036CBE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  <w:t>75,53%</w:t>
            </w:r>
          </w:p>
        </w:tc>
      </w:tr>
    </w:tbl>
    <w:p w14:paraId="0EAF52C8" w14:textId="77777777" w:rsidR="00636AF2" w:rsidRDefault="00636AF2" w:rsidP="00636AF2">
      <w:pPr>
        <w:spacing w:before="0" w:after="0"/>
        <w:contextualSpacing w:val="0"/>
        <w:jc w:val="left"/>
        <w:rPr>
          <w:rFonts w:asciiTheme="minorHAnsi" w:hAnsiTheme="minorHAnsi"/>
          <w:noProof/>
          <w:lang w:eastAsia="cs-CZ"/>
        </w:rPr>
      </w:pPr>
    </w:p>
    <w:tbl>
      <w:tblPr>
        <w:tblW w:w="15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701"/>
        <w:gridCol w:w="2165"/>
        <w:gridCol w:w="1496"/>
        <w:gridCol w:w="2332"/>
      </w:tblGrid>
      <w:tr w:rsidR="00663098" w:rsidRPr="00036CBE" w14:paraId="2BEA25CF" w14:textId="77777777" w:rsidTr="00663098">
        <w:trPr>
          <w:trHeight w:val="1528"/>
          <w:jc w:val="center"/>
        </w:trPr>
        <w:tc>
          <w:tcPr>
            <w:tcW w:w="80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center"/>
            <w:hideMark/>
          </w:tcPr>
          <w:p w14:paraId="7707821E" w14:textId="77777777" w:rsidR="00663098" w:rsidRPr="00036CBE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ANOMÁLIE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7617B354" w14:textId="5D662550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III.SKUPI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(&gt;100 MIL.KČ)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16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0647963B" w14:textId="585360FE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OBJEM VODY ODPADNÍ A SRÁŽKOVÉ FAKTUROVANÉ 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(MIL. M3) OVLIVNĚN ALESPOŇ JEDNOU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 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III. SKUPINĚ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035AFA8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IV.SKUPINA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(&gt;10 MIL.KČ)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ED7D31" w:fill="ED7D31"/>
            <w:vAlign w:val="center"/>
            <w:hideMark/>
          </w:tcPr>
          <w:p w14:paraId="5449BD25" w14:textId="1351E452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OBJEM VODY ODPADNÍ A SRÁŽKOVÉ FAKTUROVANÉ (MIL. M3) OVLIVNĚN ALESPOŇ JEDNOU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 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IV. SKUPINĚ</w:t>
            </w:r>
          </w:p>
        </w:tc>
      </w:tr>
      <w:tr w:rsidR="00663098" w:rsidRPr="00036CBE" w14:paraId="40B171B5" w14:textId="77777777" w:rsidTr="00663098">
        <w:trPr>
          <w:trHeight w:val="317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bottom"/>
            <w:hideMark/>
          </w:tcPr>
          <w:p w14:paraId="50B94938" w14:textId="63C2FA25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6F3ACD1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78,18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3DDA22A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471197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42,34</w:t>
            </w:r>
          </w:p>
        </w:tc>
        <w:tc>
          <w:tcPr>
            <w:tcW w:w="233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31EBDE0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63098" w:rsidRPr="00036CBE" w14:paraId="2406935B" w14:textId="77777777" w:rsidTr="00663098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bottom"/>
            <w:hideMark/>
          </w:tcPr>
          <w:p w14:paraId="72640B50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0312DEB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1 311 113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05F8016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65AB93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983 123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318059E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63098" w:rsidRPr="00036CBE" w14:paraId="31E1B0A5" w14:textId="77777777" w:rsidTr="00663098">
        <w:trPr>
          <w:trHeight w:val="34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2B4FD95F" w14:textId="67D9F288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NÁJEM JE MENŠÍ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ROVEN 0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ODDÍLNÉM (BE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SERVISNÍCH SMLUV)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KOMBINOVANÉM MODELU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152E26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3C42CD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2,19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7F85A9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7DB8B41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1,95</w:t>
            </w:r>
          </w:p>
        </w:tc>
      </w:tr>
      <w:tr w:rsidR="00663098" w:rsidRPr="00036CBE" w14:paraId="76E2A0F5" w14:textId="77777777" w:rsidTr="00663098">
        <w:trPr>
          <w:trHeight w:val="125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3A427F23" w14:textId="011AA571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NEDOSTATEČNÁ TVORBA PROSTŘEDKŮ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OBNOVU VIM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414295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48307A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40,11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1CAA1F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1 517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75B3341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34,64</w:t>
            </w:r>
          </w:p>
        </w:tc>
      </w:tr>
      <w:tr w:rsidR="00663098" w:rsidRPr="00036CBE" w14:paraId="0FF72D29" w14:textId="77777777" w:rsidTr="00663098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6F45DD33" w14:textId="53CEB180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NULOVÝ CELÝ ŘÁDE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643D3A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31B9DA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10,64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57D319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0EE55B95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8,16</w:t>
            </w:r>
          </w:p>
        </w:tc>
      </w:tr>
      <w:tr w:rsidR="00663098" w:rsidRPr="00036CBE" w14:paraId="773F1BDF" w14:textId="77777777" w:rsidTr="00663098">
        <w:trPr>
          <w:trHeight w:val="6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188C430E" w14:textId="7AE4FA60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NULOVÉ ODPISY + NULOVÉ OPRAVY +4.4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SMÍŠENÉM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KOMBINOVANÉM MODELU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7F53CA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62511A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0,28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7235A5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724C615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0,03</w:t>
            </w:r>
          </w:p>
        </w:tc>
      </w:tr>
      <w:tr w:rsidR="00663098" w:rsidRPr="00036CBE" w14:paraId="120F6724" w14:textId="77777777" w:rsidTr="00663098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4B1D2F20" w14:textId="7F0FFEC1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STOČNÉ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9A5B4D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518851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0,29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8B7628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6E4CC43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0,88</w:t>
            </w:r>
          </w:p>
        </w:tc>
      </w:tr>
      <w:tr w:rsidR="00663098" w:rsidRPr="00036CBE" w14:paraId="5CBB1BBC" w14:textId="77777777" w:rsidTr="00663098">
        <w:trPr>
          <w:trHeight w:val="487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73F493BC" w14:textId="5CD1BF25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NÍZKÁ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STOČNÉ</w:t>
            </w:r>
            <w:r w:rsidR="00371EF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ÚROVNI 10% PERCENTILU CENY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STOČNÉ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SOUBORU DAT,</w:t>
            </w:r>
            <w:r w:rsidR="00DE53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u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KTERÝCH JSOU JEDNOTKOVÉ NÁKLASDY 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4,76 KČ/M3 - VYKAZUJÍ NÁKLADY)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8D49454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E4B05E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4,67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F2E28E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28E4631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4,90</w:t>
            </w:r>
          </w:p>
        </w:tc>
      </w:tr>
      <w:tr w:rsidR="00663098" w:rsidRPr="00036CBE" w14:paraId="49D77682" w14:textId="77777777" w:rsidTr="00663098">
        <w:trPr>
          <w:trHeight w:val="313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1123F116" w14:textId="2CEE1040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VYSOKÝ POČET PORUCH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STOKOVÉ SÍTĚ / RO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(HODNOTA 1,5 NÁSOBKU 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NULOVÉ HODNOTY UKAZATELE)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AE4A12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007059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13,00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86D98E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2F9031E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2,97</w:t>
            </w:r>
          </w:p>
        </w:tc>
      </w:tr>
      <w:tr w:rsidR="00663098" w:rsidRPr="00036CBE" w14:paraId="5852C5C0" w14:textId="77777777" w:rsidTr="00663098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69EA4246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AFD6A9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6EF2A0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16,45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02C1C1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1 064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173E9E7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23,33</w:t>
            </w:r>
          </w:p>
        </w:tc>
      </w:tr>
      <w:tr w:rsidR="00663098" w:rsidRPr="00036CBE" w14:paraId="7BBDF36A" w14:textId="77777777" w:rsidTr="00663098">
        <w:trPr>
          <w:trHeight w:val="6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7A793442" w14:textId="3FB50128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KALKULOVÁN KLADNÝ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A DOSAŽEN ZÁPORNÝ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6D6BC3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6FE732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12,08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A94605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19415DF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12,74</w:t>
            </w:r>
          </w:p>
        </w:tc>
      </w:tr>
      <w:tr w:rsidR="00663098" w:rsidRPr="00036CBE" w14:paraId="5F00E658" w14:textId="77777777" w:rsidTr="00663098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413015EE" w14:textId="78AAD863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KALKULOVÁN A ZÁPORNÝ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DOSAŽEN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CC61F0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7A0578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4,37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D49F0A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08A28CD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10,59</w:t>
            </w:r>
          </w:p>
        </w:tc>
      </w:tr>
      <w:tr w:rsidR="00663098" w:rsidRPr="00036CBE" w14:paraId="13E94580" w14:textId="77777777" w:rsidTr="00663098">
        <w:trPr>
          <w:trHeight w:val="347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4091B58E" w14:textId="0E274D3A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ÚVN (BE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ČÁSTI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OBNOVU A ROZVOJ) (HODNOTA 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KALKULAČNÍM ZISKEM)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0EEDE8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6DBC7F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16,78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8944B24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7C13852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5,67</w:t>
            </w:r>
          </w:p>
        </w:tc>
      </w:tr>
      <w:tr w:rsidR="00663098" w:rsidRPr="00036CBE" w14:paraId="63DA2F47" w14:textId="77777777" w:rsidTr="00663098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771C08DA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 &gt; 1 A NEPLNÍ OBNOVU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98C8CB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FFFAD6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5,91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EAB856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552ABE7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2,13</w:t>
            </w:r>
          </w:p>
        </w:tc>
      </w:tr>
      <w:tr w:rsidR="00663098" w:rsidRPr="00036CBE" w14:paraId="510BDCAF" w14:textId="77777777" w:rsidTr="00663098">
        <w:trPr>
          <w:trHeight w:val="32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7D31"/>
            <w:vAlign w:val="center"/>
            <w:hideMark/>
          </w:tcPr>
          <w:p w14:paraId="44549248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B7CA5A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7ECCFA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  <w:szCs w:val="20"/>
              </w:rPr>
              <w:t>126,77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52E7834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4 762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D7D31"/>
            <w:noWrap/>
            <w:vAlign w:val="center"/>
            <w:hideMark/>
          </w:tcPr>
          <w:p w14:paraId="16A4F30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  <w:szCs w:val="20"/>
              </w:rPr>
              <w:t>107,99</w:t>
            </w:r>
          </w:p>
        </w:tc>
      </w:tr>
      <w:tr w:rsidR="00663098" w:rsidRPr="00036CBE" w14:paraId="5880B077" w14:textId="77777777" w:rsidTr="00663098">
        <w:trPr>
          <w:trHeight w:val="282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4F1E058F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DC80C9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E97442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60,27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C1DB94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1 604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7B5A767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39,52</w:t>
            </w:r>
          </w:p>
        </w:tc>
      </w:tr>
      <w:tr w:rsidR="00663098" w:rsidRPr="00036CBE" w14:paraId="5B7B87B0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BFEA643" w14:textId="115A7CB1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33D3AC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F05718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14:paraId="3EE07A6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1 652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noWrap/>
            <w:vAlign w:val="bottom"/>
            <w:hideMark/>
          </w:tcPr>
          <w:p w14:paraId="44C52DD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 </w:t>
            </w:r>
          </w:p>
        </w:tc>
      </w:tr>
      <w:tr w:rsidR="00663098" w:rsidRPr="00036CBE" w14:paraId="60BF8569" w14:textId="77777777" w:rsidTr="00663098">
        <w:trPr>
          <w:trHeight w:val="103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2D113FD5" w14:textId="4006EBF8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PODÍL POČTU POROVNÁNÍ S ALESPOŇ JEDNOU ANOMÁLIÍ /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 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9CAA08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89,97%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D7C2B5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77,09%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F975E1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97,09%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CE4D6" w:fill="FCE4D6"/>
            <w:noWrap/>
            <w:vAlign w:val="center"/>
            <w:hideMark/>
          </w:tcPr>
          <w:p w14:paraId="4D01FFC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93,35%</w:t>
            </w:r>
          </w:p>
        </w:tc>
      </w:tr>
    </w:tbl>
    <w:p w14:paraId="2E6DE57D" w14:textId="77777777" w:rsidR="00663098" w:rsidRDefault="00663098">
      <w:pPr>
        <w:spacing w:before="0" w:after="160" w:line="259" w:lineRule="auto"/>
        <w:contextualSpacing w:val="0"/>
        <w:jc w:val="left"/>
        <w:rPr>
          <w:rFonts w:asciiTheme="minorHAnsi" w:hAnsiTheme="minorHAnsi"/>
          <w:noProof/>
          <w:lang w:eastAsia="cs-CZ"/>
        </w:rPr>
      </w:pPr>
    </w:p>
    <w:tbl>
      <w:tblPr>
        <w:tblW w:w="15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701"/>
        <w:gridCol w:w="2165"/>
        <w:gridCol w:w="1496"/>
        <w:gridCol w:w="2332"/>
      </w:tblGrid>
      <w:tr w:rsidR="00663098" w:rsidRPr="00036CBE" w14:paraId="338853C4" w14:textId="77777777" w:rsidTr="005B6369">
        <w:trPr>
          <w:trHeight w:val="1528"/>
          <w:jc w:val="center"/>
        </w:trPr>
        <w:tc>
          <w:tcPr>
            <w:tcW w:w="80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center"/>
            <w:hideMark/>
          </w:tcPr>
          <w:p w14:paraId="4909A5CE" w14:textId="77777777" w:rsidR="00663098" w:rsidRPr="00036CBE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122AAEEC" w14:textId="4EB4F09E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NA </w:t>
            </w:r>
            <w:r w:rsidR="00D46D6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(&gt;1 MIL.KČ)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16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0A855A78" w14:textId="6AA44F25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OBJEM VODY ODPADNÍ A SRÁŽKOVÉ FAKTUROVANÉ </w:t>
            </w:r>
            <w:r w:rsidR="00D46D6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(MIL. M3) OVLIVNĚN ALESPOŇ JEDNOU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 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V. SKUPINĚ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38EC730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VI.SKUPINA</w:t>
            </w:r>
            <w:r w:rsidR="00D46D6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(&lt;1 MIL.KČ)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ED7D31" w:fill="ED7D31"/>
            <w:vAlign w:val="center"/>
            <w:hideMark/>
          </w:tcPr>
          <w:p w14:paraId="6206A22C" w14:textId="2707E919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OBJEM VODY ODPADNÍ A SRÁŽKOVÉ FAKTUROVANÉ (MIL. M3) OVLIVNĚN ALESPOŇ JEDNOU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 </w:t>
            </w: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VI. SKUPINĚ</w:t>
            </w:r>
          </w:p>
        </w:tc>
      </w:tr>
      <w:tr w:rsidR="00663098" w:rsidRPr="00036CBE" w14:paraId="70F47039" w14:textId="77777777" w:rsidTr="005B6369">
        <w:trPr>
          <w:trHeight w:val="317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bottom"/>
            <w:hideMark/>
          </w:tcPr>
          <w:p w14:paraId="1002619E" w14:textId="1E5C60C4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4667B4F4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3,13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395C43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395481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0,17</w:t>
            </w:r>
          </w:p>
        </w:tc>
        <w:tc>
          <w:tcPr>
            <w:tcW w:w="233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40FACF6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63098" w:rsidRPr="00036CBE" w14:paraId="2F53C08C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bottom"/>
            <w:hideMark/>
          </w:tcPr>
          <w:p w14:paraId="6C821C90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68EA2D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71 591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390A0CE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19E3BA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3 636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3E6477C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63098" w:rsidRPr="00036CBE" w14:paraId="08BBAB06" w14:textId="77777777" w:rsidTr="005B6369">
        <w:trPr>
          <w:trHeight w:val="34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3B0E77A0" w14:textId="34ACF5D6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NÁJEM JE MENŠÍ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ROVEN 0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ODDÍLNÉM (BE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SERVISNÍCH SMLUV)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KOMBINOVANÉM MODELU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5101AE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5E3F6D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0,11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5816C6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61294EA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0,00</w:t>
            </w:r>
          </w:p>
        </w:tc>
      </w:tr>
      <w:tr w:rsidR="00663098" w:rsidRPr="00036CBE" w14:paraId="19409504" w14:textId="77777777" w:rsidTr="005B6369">
        <w:trPr>
          <w:trHeight w:val="125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229CC1CC" w14:textId="5415B74C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NEDOSTATEČNÁ TVORBA PROSTŘEDKŮ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OBNOVU VIM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2C386E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21C077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2,35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8564FB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423C2AB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0,06</w:t>
            </w:r>
          </w:p>
        </w:tc>
      </w:tr>
      <w:tr w:rsidR="00663098" w:rsidRPr="00036CBE" w14:paraId="050FA224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5DA173B2" w14:textId="3761EF5C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NULOVÝ CELÝ ŘÁDE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5E06B2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D7C6C5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1,22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95470D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077A976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0,08</w:t>
            </w:r>
          </w:p>
        </w:tc>
      </w:tr>
      <w:tr w:rsidR="00663098" w:rsidRPr="00036CBE" w14:paraId="21ACAE7A" w14:textId="77777777" w:rsidTr="005B6369">
        <w:trPr>
          <w:trHeight w:val="6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43CBF062" w14:textId="64938B93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NULOVÉ ODPISY + NULOVÉ OPRAVY +4.4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SMÍŠENÉM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KOMBINOVANÉM MODELU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1D1A70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300D58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0,02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20CD27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30F427E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0,00</w:t>
            </w:r>
          </w:p>
        </w:tc>
      </w:tr>
      <w:tr w:rsidR="00663098" w:rsidRPr="00036CBE" w14:paraId="6FD41578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78AE5010" w14:textId="14E3F9B8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STOČNÉ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2427C8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BB05E0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0,29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813E63F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4E74BF1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0,01</w:t>
            </w:r>
          </w:p>
        </w:tc>
      </w:tr>
      <w:tr w:rsidR="00663098" w:rsidRPr="00036CBE" w14:paraId="3F172E55" w14:textId="77777777" w:rsidTr="005B6369">
        <w:trPr>
          <w:trHeight w:val="487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3648924F" w14:textId="679E8204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NÍZKÁ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STOČNÉ</w:t>
            </w:r>
            <w:r w:rsidR="00371EF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ÚROVNI 10% PERCENTILU CENY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PRO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STOČNÉ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SOUBORU DAT,</w:t>
            </w:r>
            <w:r w:rsidR="00DE53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u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KTERÝCH JSOU JEDNOTKOVÉ NÁKLASDY 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4,76 KČ/M3 - VYKAZUJÍ NÁKLADY)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921A1F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A4F3C3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1,34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CC6391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2B88EDC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0,10</w:t>
            </w:r>
          </w:p>
        </w:tc>
      </w:tr>
      <w:tr w:rsidR="00663098" w:rsidRPr="00036CBE" w14:paraId="60FC11A0" w14:textId="77777777" w:rsidTr="005B6369">
        <w:trPr>
          <w:trHeight w:val="313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77594572" w14:textId="7FBB77A0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 VYSOKÝ POČET PORUCH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STOKOVÉ SÍTĚ / RO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(HODNOTA 1,5 NÁSOBKU 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NULOVÉ HODNOTY UKAZATELE)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6CA2D1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52F820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0,18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A9BF76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1C6EC804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0,00</w:t>
            </w:r>
          </w:p>
        </w:tc>
      </w:tr>
      <w:tr w:rsidR="00663098" w:rsidRPr="00036CBE" w14:paraId="6720CEB8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413D0E9A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E65FDD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9C8F1E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2,04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CF53D5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673E968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0,14</w:t>
            </w:r>
          </w:p>
        </w:tc>
      </w:tr>
      <w:tr w:rsidR="00663098" w:rsidRPr="00036CBE" w14:paraId="3DF35325" w14:textId="77777777" w:rsidTr="005B6369">
        <w:trPr>
          <w:trHeight w:val="64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70A74C59" w14:textId="6C512479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KALKULOVÁN KLADNÝ NEB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NULOVÝ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A DOSAŽEN ZÁPORNÝ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D28D49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26F774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0,98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93E8B0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3F69191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0,10</w:t>
            </w:r>
          </w:p>
        </w:tc>
      </w:tr>
      <w:tr w:rsidR="00663098" w:rsidRPr="00036CBE" w14:paraId="13F9085C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3AC982EA" w14:textId="6CCA9229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KALKULOVÁN A ZÁPORNÝ ZIS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DOSAŽEN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FB027F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3FB2514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1,06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4CA0FA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66C7A45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0,03</w:t>
            </w:r>
          </w:p>
        </w:tc>
      </w:tr>
      <w:tr w:rsidR="00663098" w:rsidRPr="00036CBE" w14:paraId="3D20FD19" w14:textId="77777777" w:rsidTr="005B6369">
        <w:trPr>
          <w:trHeight w:val="347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  <w:hideMark/>
          </w:tcPr>
          <w:p w14:paraId="53C267F8" w14:textId="0792D7D6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ÚVN (BE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ČÁSTI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OBNOVU A ROZVOJ) (HODNOTA 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KALKULAČNÍM ZISKEM)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41B77EC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CD488FB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0,53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097BC6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6823B69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0,01</w:t>
            </w:r>
          </w:p>
        </w:tc>
      </w:tr>
      <w:tr w:rsidR="00663098" w:rsidRPr="00036CBE" w14:paraId="0D2D408D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359A890A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 &gt; 1 A NEPLNÍ OBNOVU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488202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54516C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0,17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687E87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56EE4080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0,01</w:t>
            </w:r>
          </w:p>
        </w:tc>
      </w:tr>
      <w:tr w:rsidR="00663098" w:rsidRPr="00036CBE" w14:paraId="28CAB8AE" w14:textId="77777777" w:rsidTr="005B6369">
        <w:trPr>
          <w:trHeight w:val="605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7D31"/>
            <w:vAlign w:val="center"/>
            <w:hideMark/>
          </w:tcPr>
          <w:p w14:paraId="1C1210BB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036CB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C188F8D" w14:textId="57BC256D" w:rsidR="00663098" w:rsidRPr="00663098" w:rsidRDefault="00663098" w:rsidP="00F205E9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1 43</w:t>
            </w:r>
            <w:r w:rsidR="00F205E9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55480836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  <w:szCs w:val="20"/>
              </w:rPr>
              <w:t>10,30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476FE059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65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D7D31"/>
            <w:noWrap/>
            <w:vAlign w:val="center"/>
            <w:hideMark/>
          </w:tcPr>
          <w:p w14:paraId="29FEA348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  <w:szCs w:val="20"/>
              </w:rPr>
              <w:t>0,54</w:t>
            </w:r>
          </w:p>
        </w:tc>
      </w:tr>
      <w:tr w:rsidR="00663098" w:rsidRPr="00036CBE" w14:paraId="40ECD468" w14:textId="77777777" w:rsidTr="005B6369">
        <w:trPr>
          <w:trHeight w:val="282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041BB58B" w14:textId="77777777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610502A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AE03DB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2,98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7AC62E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CE4D6" w:fill="FCE4D6"/>
            <w:noWrap/>
            <w:vAlign w:val="center"/>
            <w:hideMark/>
          </w:tcPr>
          <w:p w14:paraId="2B5A43EE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0,17</w:t>
            </w:r>
          </w:p>
        </w:tc>
      </w:tr>
      <w:tr w:rsidR="00663098" w:rsidRPr="00036CBE" w14:paraId="04AEF48F" w14:textId="77777777" w:rsidTr="005B6369">
        <w:trPr>
          <w:trHeight w:val="301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89D768B" w14:textId="426D705B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BD98764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32BD97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441ED9D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noWrap/>
            <w:vAlign w:val="center"/>
            <w:hideMark/>
          </w:tcPr>
          <w:p w14:paraId="00457BE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 </w:t>
            </w:r>
          </w:p>
        </w:tc>
      </w:tr>
      <w:tr w:rsidR="00663098" w:rsidRPr="00036CBE" w14:paraId="3A01B526" w14:textId="77777777" w:rsidTr="005B6369">
        <w:trPr>
          <w:trHeight w:val="103"/>
          <w:jc w:val="center"/>
        </w:trPr>
        <w:tc>
          <w:tcPr>
            <w:tcW w:w="808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CE4D6" w:fill="FCE4D6"/>
            <w:vAlign w:val="center"/>
            <w:hideMark/>
          </w:tcPr>
          <w:p w14:paraId="46E8C8CC" w14:textId="635DC18C" w:rsidR="00663098" w:rsidRPr="00036CBE" w:rsidRDefault="00663098" w:rsidP="0066309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036CB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PODÍL POČTU POROVNÁNÍ S ALESPOŇ JEDNOU ANOMÁLIÍ /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 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036CBE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B6C20D2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96,90%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E3402C3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95,18%</w:t>
            </w: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C5AD107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95,00%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CE4D6" w:fill="FCE4D6"/>
            <w:noWrap/>
            <w:vAlign w:val="center"/>
            <w:hideMark/>
          </w:tcPr>
          <w:p w14:paraId="6311B961" w14:textId="77777777" w:rsidR="00663098" w:rsidRPr="00663098" w:rsidRDefault="00663098" w:rsidP="0066309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63098">
              <w:rPr>
                <w:rFonts w:asciiTheme="majorHAnsi" w:hAnsiTheme="majorHAnsi" w:cstheme="majorHAnsi"/>
                <w:i/>
                <w:iCs/>
                <w:color w:val="833C0C"/>
                <w:sz w:val="20"/>
                <w:szCs w:val="20"/>
              </w:rPr>
              <w:t>97,06%</w:t>
            </w:r>
          </w:p>
        </w:tc>
      </w:tr>
    </w:tbl>
    <w:p w14:paraId="6E8F56C2" w14:textId="77777777" w:rsidR="00DF09D1" w:rsidRDefault="00DF09D1">
      <w:pPr>
        <w:spacing w:before="0" w:after="160" w:line="259" w:lineRule="auto"/>
        <w:contextualSpacing w:val="0"/>
        <w:jc w:val="left"/>
        <w:rPr>
          <w:rFonts w:asciiTheme="minorHAnsi" w:hAnsiTheme="minorHAnsi"/>
          <w:noProof/>
          <w:lang w:eastAsia="cs-CZ"/>
        </w:rPr>
      </w:pPr>
      <w:r>
        <w:rPr>
          <w:rFonts w:asciiTheme="minorHAnsi" w:hAnsiTheme="minorHAnsi"/>
          <w:noProof/>
          <w:lang w:eastAsia="cs-CZ"/>
        </w:rPr>
        <w:br w:type="page"/>
      </w:r>
    </w:p>
    <w:p w14:paraId="0C003628" w14:textId="77777777" w:rsidR="00DF09D1" w:rsidRDefault="00DF09D1" w:rsidP="00636AF2">
      <w:pPr>
        <w:spacing w:before="0" w:after="0"/>
        <w:contextualSpacing w:val="0"/>
        <w:jc w:val="left"/>
        <w:rPr>
          <w:rFonts w:asciiTheme="minorHAnsi" w:hAnsiTheme="minorHAnsi"/>
          <w:noProof/>
          <w:lang w:eastAsia="cs-CZ"/>
        </w:rPr>
        <w:sectPr w:rsidR="00DF09D1" w:rsidSect="00636AF2">
          <w:footerReference w:type="default" r:id="rId3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F2A62BC" w14:textId="7D1AE0C3" w:rsidR="00DF09D1" w:rsidRDefault="00962A95" w:rsidP="00636AF2">
      <w:pPr>
        <w:pStyle w:val="NORMLN0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lastRenderedPageBreak/>
        <w:t>Pro </w:t>
      </w:r>
      <w:r w:rsidR="00636AF2" w:rsidRPr="00C62639">
        <w:rPr>
          <w:rFonts w:asciiTheme="minorHAnsi" w:hAnsiTheme="minorHAnsi"/>
          <w:noProof/>
        </w:rPr>
        <w:t xml:space="preserve">ucelení přehledu uvádíme graf znázorňující situaci </w:t>
      </w:r>
      <w:r>
        <w:rPr>
          <w:rFonts w:asciiTheme="minorHAnsi" w:hAnsiTheme="minorHAnsi"/>
          <w:noProof/>
        </w:rPr>
        <w:t>v </w:t>
      </w:r>
      <w:r w:rsidR="00636AF2" w:rsidRPr="00C62639">
        <w:rPr>
          <w:rFonts w:asciiTheme="minorHAnsi" w:hAnsiTheme="minorHAnsi"/>
          <w:noProof/>
        </w:rPr>
        <w:t xml:space="preserve">rámci jednotlivých skupin. </w:t>
      </w:r>
    </w:p>
    <w:p w14:paraId="181ACE12" w14:textId="77777777" w:rsidR="00DF09D1" w:rsidRDefault="00DF09D1">
      <w:pPr>
        <w:spacing w:before="0" w:after="160" w:line="259" w:lineRule="auto"/>
        <w:contextualSpacing w:val="0"/>
        <w:jc w:val="left"/>
        <w:rPr>
          <w:rFonts w:asciiTheme="minorHAnsi" w:hAnsiTheme="minorHAnsi"/>
          <w:noProof/>
          <w:szCs w:val="20"/>
        </w:rPr>
      </w:pPr>
      <w:r>
        <w:rPr>
          <w:noProof/>
          <w:lang w:eastAsia="cs-CZ"/>
        </w:rPr>
        <w:drawing>
          <wp:inline distT="0" distB="0" distL="0" distR="0" wp14:anchorId="79B92A63" wp14:editId="4F9C0CDA">
            <wp:extent cx="5760720" cy="7973695"/>
            <wp:effectExtent l="0" t="0" r="0" b="8255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A031458C-5B21-4E6C-8491-0094E91E7B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rFonts w:asciiTheme="minorHAnsi" w:hAnsiTheme="minorHAnsi"/>
          <w:noProof/>
        </w:rPr>
        <w:br w:type="page"/>
      </w:r>
    </w:p>
    <w:p w14:paraId="5760411C" w14:textId="06C5154F" w:rsidR="00636AF2" w:rsidRPr="000211A7" w:rsidRDefault="00636AF2" w:rsidP="00636AF2">
      <w:pPr>
        <w:pStyle w:val="Nadpis2"/>
        <w:rPr>
          <w:rFonts w:asciiTheme="minorHAnsi" w:eastAsia="Calibri Light" w:hAnsiTheme="minorHAnsi"/>
          <w:noProof/>
        </w:rPr>
      </w:pPr>
      <w:r>
        <w:rPr>
          <w:rFonts w:asciiTheme="minorHAnsi" w:eastAsia="Calibri Light" w:hAnsiTheme="minorHAnsi"/>
          <w:noProof/>
        </w:rPr>
        <w:lastRenderedPageBreak/>
        <w:t xml:space="preserve"> </w:t>
      </w:r>
      <w:bookmarkStart w:id="72" w:name="_Toc963488"/>
      <w:bookmarkStart w:id="73" w:name="_Toc34210400"/>
      <w:r w:rsidRPr="000211A7">
        <w:rPr>
          <w:rFonts w:asciiTheme="minorHAnsi" w:eastAsia="Calibri Light" w:hAnsiTheme="minorHAnsi"/>
          <w:noProof/>
        </w:rPr>
        <w:t>Závěry benchmarkingovéh</w:t>
      </w:r>
      <w:r w:rsidR="00962A95">
        <w:rPr>
          <w:rFonts w:asciiTheme="minorHAnsi" w:eastAsia="Calibri Light" w:hAnsiTheme="minorHAnsi"/>
          <w:noProof/>
        </w:rPr>
        <w:t>o </w:t>
      </w:r>
      <w:r w:rsidRPr="000211A7">
        <w:rPr>
          <w:rFonts w:asciiTheme="minorHAnsi" w:eastAsia="Calibri Light" w:hAnsiTheme="minorHAnsi"/>
          <w:noProof/>
        </w:rPr>
        <w:t xml:space="preserve">projektu vlastnických subjektů </w:t>
      </w:r>
      <w:r w:rsidR="00962A95">
        <w:rPr>
          <w:rFonts w:asciiTheme="minorHAnsi" w:eastAsia="Calibri Light" w:hAnsiTheme="minorHAnsi"/>
          <w:noProof/>
        </w:rPr>
        <w:t>za </w:t>
      </w:r>
      <w:r w:rsidRPr="000211A7">
        <w:rPr>
          <w:rFonts w:asciiTheme="minorHAnsi" w:eastAsia="Calibri Light" w:hAnsiTheme="minorHAnsi"/>
          <w:noProof/>
        </w:rPr>
        <w:t>ro</w:t>
      </w:r>
      <w:r w:rsidR="00962A95">
        <w:rPr>
          <w:rFonts w:asciiTheme="minorHAnsi" w:eastAsia="Calibri Light" w:hAnsiTheme="minorHAnsi"/>
          <w:noProof/>
        </w:rPr>
        <w:t>k </w:t>
      </w:r>
      <w:r w:rsidRPr="000211A7">
        <w:rPr>
          <w:rFonts w:asciiTheme="minorHAnsi" w:eastAsia="Calibri Light" w:hAnsiTheme="minorHAnsi"/>
          <w:noProof/>
        </w:rPr>
        <w:t>201</w:t>
      </w:r>
      <w:bookmarkEnd w:id="72"/>
      <w:r w:rsidR="005A127A">
        <w:rPr>
          <w:rFonts w:asciiTheme="minorHAnsi" w:eastAsia="Calibri Light" w:hAnsiTheme="minorHAnsi"/>
          <w:noProof/>
        </w:rPr>
        <w:t>8</w:t>
      </w:r>
      <w:bookmarkEnd w:id="73"/>
    </w:p>
    <w:p w14:paraId="22AEAE55" w14:textId="77777777" w:rsidR="00636AF2" w:rsidRDefault="00636AF2" w:rsidP="00636AF2">
      <w:pPr>
        <w:pStyle w:val="Nadpis3"/>
        <w:rPr>
          <w:noProof/>
        </w:rPr>
      </w:pPr>
      <w:bookmarkStart w:id="74" w:name="_Toc963489"/>
      <w:bookmarkStart w:id="75" w:name="_Toc34210401"/>
      <w:r>
        <w:t>SWOT analýza</w:t>
      </w:r>
      <w:bookmarkEnd w:id="74"/>
      <w:bookmarkEnd w:id="75"/>
    </w:p>
    <w:p w14:paraId="2262C095" w14:textId="1686A82B" w:rsidR="00636AF2" w:rsidRPr="00C62639" w:rsidRDefault="00962A95" w:rsidP="00636AF2">
      <w:pPr>
        <w:pStyle w:val="NORMLN0"/>
      </w:pPr>
      <w:r>
        <w:t>Na </w:t>
      </w:r>
      <w:r w:rsidR="00FC764C" w:rsidRPr="00331FCA">
        <w:t xml:space="preserve">základě realizovaných benchmarkingových projektů, podrobné analýzy dat zasílaných </w:t>
      </w:r>
      <w:r>
        <w:t>na </w:t>
      </w:r>
      <w:r w:rsidR="00FC764C" w:rsidRPr="00331FCA">
        <w:t xml:space="preserve">MZe, informací vyplývajících </w:t>
      </w:r>
      <w:r>
        <w:t>z </w:t>
      </w:r>
      <w:r w:rsidR="00FC764C" w:rsidRPr="00331FCA">
        <w:t>nálezů provedených kontrol vlastníků a provozovatelů VIM a </w:t>
      </w:r>
      <w:r>
        <w:t>z </w:t>
      </w:r>
      <w:r w:rsidR="00FC764C" w:rsidRPr="00331FCA">
        <w:t>přijatých stížností byla sestave</w:t>
      </w:r>
      <w:r>
        <w:t>na </w:t>
      </w:r>
      <w:r w:rsidR="00FC764C" w:rsidRPr="00331FCA">
        <w:t>následující SWOT analýza.</w:t>
      </w:r>
    </w:p>
    <w:tbl>
      <w:tblPr>
        <w:tblW w:w="10417" w:type="dxa"/>
        <w:jc w:val="center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ook w:val="04A0" w:firstRow="1" w:lastRow="0" w:firstColumn="1" w:lastColumn="0" w:noHBand="0" w:noVBand="1"/>
      </w:tblPr>
      <w:tblGrid>
        <w:gridCol w:w="5240"/>
        <w:gridCol w:w="5177"/>
      </w:tblGrid>
      <w:tr w:rsidR="00636AF2" w:rsidRPr="00C62639" w14:paraId="77683A58" w14:textId="77777777" w:rsidTr="00636AF2">
        <w:trPr>
          <w:jc w:val="center"/>
        </w:trPr>
        <w:tc>
          <w:tcPr>
            <w:tcW w:w="524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B2A1C7"/>
            <w:vAlign w:val="center"/>
            <w:hideMark/>
          </w:tcPr>
          <w:p w14:paraId="4182D577" w14:textId="77777777" w:rsidR="00636AF2" w:rsidRPr="00C62639" w:rsidRDefault="00636AF2" w:rsidP="00636AF2">
            <w:pPr>
              <w:spacing w:before="0"/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2"/>
                <w:szCs w:val="20"/>
              </w:rPr>
            </w:pPr>
            <w:r w:rsidRPr="00C62639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2"/>
                <w:szCs w:val="20"/>
              </w:rPr>
              <w:t>Silné stránky</w:t>
            </w:r>
          </w:p>
        </w:tc>
        <w:tc>
          <w:tcPr>
            <w:tcW w:w="5177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B2A1C7"/>
            <w:vAlign w:val="center"/>
            <w:hideMark/>
          </w:tcPr>
          <w:p w14:paraId="53441F0E" w14:textId="77777777" w:rsidR="00636AF2" w:rsidRPr="00C62639" w:rsidRDefault="00636AF2" w:rsidP="00636AF2">
            <w:pPr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2"/>
                <w:szCs w:val="20"/>
              </w:rPr>
            </w:pPr>
            <w:r w:rsidRPr="00C62639">
              <w:rPr>
                <w:rFonts w:asciiTheme="minorHAnsi" w:hAnsiTheme="minorHAnsi"/>
                <w:b/>
                <w:bCs/>
                <w:smallCaps/>
                <w:noProof/>
                <w:color w:val="FFFFFF"/>
                <w:sz w:val="22"/>
                <w:szCs w:val="20"/>
              </w:rPr>
              <w:t>Slabé stránky</w:t>
            </w:r>
          </w:p>
        </w:tc>
      </w:tr>
      <w:tr w:rsidR="00FC764C" w:rsidRPr="00C62639" w14:paraId="3C1641FC" w14:textId="77777777" w:rsidTr="00636AF2">
        <w:trPr>
          <w:jc w:val="center"/>
        </w:trPr>
        <w:tc>
          <w:tcPr>
            <w:tcW w:w="524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FFFFFF"/>
            <w:hideMark/>
          </w:tcPr>
          <w:p w14:paraId="74932F23" w14:textId="4D9F8ECE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Rozvinutá síť VIM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většině území ČR.</w:t>
            </w:r>
          </w:p>
          <w:p w14:paraId="4D844494" w14:textId="77777777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2.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Legislativní rámec upravující práva a povinnosti vlastníka VIM.</w:t>
            </w:r>
          </w:p>
          <w:p w14:paraId="6647CD23" w14:textId="77777777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3.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Legislativní rámec upravující vztah mezi vlastníkem a provozovatelem.</w:t>
            </w:r>
          </w:p>
          <w:p w14:paraId="6B959CB7" w14:textId="5043C7D8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4.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Mechanismus upravující investiční proces fungující zejmé</w:t>
            </w:r>
            <w:r w:rsidR="00962A95">
              <w:rPr>
                <w:rFonts w:ascii="Calibri Light" w:hAnsi="Calibri Light"/>
                <w:sz w:val="22"/>
                <w:szCs w:val="20"/>
              </w:rPr>
              <w:t>na</w:t>
            </w:r>
            <w:r w:rsidR="00DE53F8">
              <w:rPr>
                <w:rFonts w:ascii="Calibri Light" w:hAnsi="Calibri Light"/>
                <w:sz w:val="22"/>
                <w:szCs w:val="20"/>
              </w:rPr>
              <w:t xml:space="preserve"> u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větších vlastníků.</w:t>
            </w:r>
          </w:p>
          <w:p w14:paraId="65AA12FC" w14:textId="66D2C295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5.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Vysoké % napojení obyvatelstva 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vodovodu a</w:t>
            </w:r>
            <w:r w:rsidR="00BD5FF3">
              <w:rPr>
                <w:rFonts w:ascii="Calibri Light" w:hAnsi="Calibri Light"/>
                <w:sz w:val="22"/>
                <w:szCs w:val="20"/>
              </w:rPr>
              <w:t xml:space="preserve"> ke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kanalizaci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veřejnou potřebu.</w:t>
            </w:r>
          </w:p>
          <w:p w14:paraId="48A74D26" w14:textId="3A89E6A7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6.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Legislativně zaveden systém cenotvorby, který umožňuje pokrývat všechny ekonomicky oprávněné náklady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ceny vodnéh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 stočnéh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- předpoklad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dosažení samofinancovatelnosti vodovodů a kanalizací.</w:t>
            </w:r>
          </w:p>
          <w:p w14:paraId="55479175" w14:textId="7012C434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7.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Možnost využití nástroje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cenovém výměru „Dohoda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rozdělení přiměřenéh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zisku mezi vlastníkem a provozovatelem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výpočet přiměřenéh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použitéh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kapitálu podle položky č. 2 části II. výměru“.</w:t>
            </w:r>
          </w:p>
          <w:p w14:paraId="35A40980" w14:textId="3A8E56FB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8.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Organizovaný sběr dat upraven legislativou (vybrané údaje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majetkové a provozní evidence, „Porovnání“, hlášení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ČSÚ, mechanizmy sběru dat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kvalitě pitné vody a hodnotách vyčištěných odpadních vod).</w:t>
            </w:r>
          </w:p>
          <w:p w14:paraId="710D3EBA" w14:textId="217E1365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b/>
                <w:bCs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9.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Existence dotačních titulů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rozvoj VIM.</w:t>
            </w:r>
          </w:p>
        </w:tc>
        <w:tc>
          <w:tcPr>
            <w:tcW w:w="5177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  <w:hideMark/>
          </w:tcPr>
          <w:p w14:paraId="242C4D7F" w14:textId="55EF3819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Vysoký stupeň atomizace trhu (dle evidence M</w:t>
            </w:r>
            <w:r w:rsidR="00962A95">
              <w:rPr>
                <w:rFonts w:ascii="Calibri Light" w:hAnsi="Calibri Light"/>
                <w:sz w:val="22"/>
                <w:szCs w:val="20"/>
              </w:rPr>
              <w:t>Ze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vlastníků, provozovatelů).</w:t>
            </w:r>
          </w:p>
          <w:p w14:paraId="52A5D894" w14:textId="3AF7E85A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2.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Zejmé</w:t>
            </w:r>
            <w:r w:rsidR="00962A95">
              <w:rPr>
                <w:rFonts w:ascii="Calibri Light" w:hAnsi="Calibri Light"/>
                <w:sz w:val="22"/>
                <w:szCs w:val="20"/>
              </w:rPr>
              <w:t>na</w:t>
            </w:r>
            <w:r w:rsidR="00DE53F8">
              <w:rPr>
                <w:rFonts w:ascii="Calibri Light" w:hAnsi="Calibri Light"/>
                <w:sz w:val="22"/>
                <w:szCs w:val="20"/>
              </w:rPr>
              <w:t xml:space="preserve"> u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menších vlastníků - prioritní využívání zdrojů vody </w:t>
            </w:r>
            <w:r w:rsidR="00962A95">
              <w:rPr>
                <w:rFonts w:ascii="Calibri Light" w:hAnsi="Calibri Light"/>
                <w:sz w:val="22"/>
                <w:szCs w:val="20"/>
              </w:rPr>
              <w:t>ve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vlastním katastru a případné doplňování nedostatečné kapacity vlastních zdrojů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oblastních vodovodů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úkor ekonomické efektivity a kolísající úrovně kvality dodávané vody.</w:t>
            </w:r>
          </w:p>
          <w:p w14:paraId="3F727EA2" w14:textId="1DA5E817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3.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Různorodost struktury obchodních vztahů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rámci jednotlivých modelů provozování ovlivňuje možnosti vlastníka rozhodovat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způsobu generování prostředků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obnovu,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jejich výši a době akumulace, která může souviset s délkou trvání smlouvy uzavřené mezi vlastníkem VIM a provozovatelem.</w:t>
            </w:r>
          </w:p>
          <w:p w14:paraId="2670D0AA" w14:textId="46A0483C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4.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Slabá vyjednávací pozice vlastníka vůči provozovateli zapříčiněná nedostatečnou znalostí prá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 povinnosti vlastníka VIM (zejmé</w:t>
            </w:r>
            <w:r w:rsidR="00962A95">
              <w:rPr>
                <w:rFonts w:ascii="Calibri Light" w:hAnsi="Calibri Light"/>
                <w:sz w:val="22"/>
                <w:szCs w:val="20"/>
              </w:rPr>
              <w:t>na</w:t>
            </w:r>
            <w:r w:rsidR="00DE53F8">
              <w:rPr>
                <w:rFonts w:ascii="Calibri Light" w:hAnsi="Calibri Light"/>
                <w:sz w:val="22"/>
                <w:szCs w:val="20"/>
              </w:rPr>
              <w:t xml:space="preserve"> u </w:t>
            </w:r>
            <w:r w:rsidRPr="00331FCA">
              <w:rPr>
                <w:rFonts w:ascii="Calibri Light" w:hAnsi="Calibri Light"/>
                <w:sz w:val="22"/>
                <w:szCs w:val="20"/>
              </w:rPr>
              <w:t>menších vlastníků).</w:t>
            </w:r>
          </w:p>
          <w:p w14:paraId="5101CBFE" w14:textId="46AA001C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5.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Nedodržování legislativy </w:t>
            </w:r>
            <w:r w:rsidR="00962A95">
              <w:rPr>
                <w:rFonts w:ascii="Calibri Light" w:hAnsi="Calibri Light"/>
                <w:sz w:val="22"/>
                <w:szCs w:val="20"/>
              </w:rPr>
              <w:t>ze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strany vlastníků a provozovatelů (zákon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cenách, vyhláška č. 428/2001 Sb., zákon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vodovodech a kanalizacích č. 274/2001 Sb., Koncesní zákon 139/2006 Sb. platný 1. 1. 2014 - 30. 9. 2016, zákon č. 134/2016 Sb.,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zadávání veřejných zakázek).</w:t>
            </w:r>
          </w:p>
          <w:p w14:paraId="4CFBBEFE" w14:textId="5505C63F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6.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Neexistence legislativní úpravy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stanovení minimální výše nájemnéh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neb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ceny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vodné a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stočné s vazbou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dosažení samofinancovatelnosti VIM. Nedostatečný dozor nad dodržováním legislativy (cenotvorba, plán financování obnovy a jeh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realizace, kalkulace neoprávněných nákladů, servisní smlouvy).</w:t>
            </w:r>
          </w:p>
          <w:p w14:paraId="70DAE971" w14:textId="61F49032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7.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Dotace ceny vlastníkem přes položku kalkulační zis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- trend</w:t>
            </w:r>
            <w:r w:rsidR="00DE53F8">
              <w:rPr>
                <w:rFonts w:ascii="Calibri Light" w:hAnsi="Calibri Light"/>
                <w:sz w:val="22"/>
                <w:szCs w:val="20"/>
              </w:rPr>
              <w:t xml:space="preserve"> u </w:t>
            </w:r>
            <w:r w:rsidRPr="00331FCA">
              <w:rPr>
                <w:rFonts w:ascii="Calibri Light" w:hAnsi="Calibri Light"/>
                <w:sz w:val="22"/>
                <w:szCs w:val="20"/>
              </w:rPr>
              <w:t>komunálních vlastníků. Tent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postup zamezuje dosažení samofinancovatelnosti sektoru.</w:t>
            </w:r>
            <w:r>
              <w:rPr>
                <w:rFonts w:ascii="Calibri Light" w:hAnsi="Calibri Light"/>
                <w:sz w:val="22"/>
                <w:szCs w:val="20"/>
              </w:rPr>
              <w:t xml:space="preserve"> </w:t>
            </w:r>
            <w:r w:rsidRPr="00331FCA">
              <w:rPr>
                <w:rFonts w:ascii="Calibri Light" w:hAnsi="Calibri Light"/>
                <w:sz w:val="22"/>
                <w:szCs w:val="20"/>
              </w:rPr>
              <w:t>Dochází ta</w:t>
            </w:r>
            <w:r w:rsidR="00962A95">
              <w:rPr>
                <w:rFonts w:ascii="Calibri Light" w:hAnsi="Calibri Light"/>
                <w:sz w:val="22"/>
                <w:szCs w:val="20"/>
              </w:rPr>
              <w:t>k 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dotování samotnéh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provozu - zejmé</w:t>
            </w:r>
            <w:r w:rsidR="00962A95">
              <w:rPr>
                <w:rFonts w:ascii="Calibri Light" w:hAnsi="Calibri Light"/>
                <w:sz w:val="22"/>
                <w:szCs w:val="20"/>
              </w:rPr>
              <w:t>na</w:t>
            </w:r>
            <w:r w:rsidR="00DE53F8">
              <w:rPr>
                <w:rFonts w:ascii="Calibri Light" w:hAnsi="Calibri Light"/>
                <w:sz w:val="22"/>
                <w:szCs w:val="20"/>
              </w:rPr>
              <w:t xml:space="preserve"> u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vlastníků s malým počtem připojených osob.</w:t>
            </w:r>
          </w:p>
          <w:p w14:paraId="193A85B8" w14:textId="72404BA9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lastRenderedPageBreak/>
              <w:t>8.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Diskutabilní kvalita dat zasílaných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M</w:t>
            </w:r>
            <w:r w:rsidR="00962A95">
              <w:rPr>
                <w:rFonts w:ascii="Calibri Light" w:hAnsi="Calibri Light"/>
                <w:sz w:val="22"/>
                <w:szCs w:val="20"/>
              </w:rPr>
              <w:t>Ze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(výskyt logických chyb, neúplná data, nesouměřitelná data vyplývající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nejednotnéh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chápání pojmů, např. obnova, porucha, apod.) </w:t>
            </w:r>
          </w:p>
          <w:p w14:paraId="7528AC72" w14:textId="748780E3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 xml:space="preserve"> 9. Chybějící legislativní povinnost zasílání PF</w:t>
            </w:r>
            <w:r w:rsidR="00962A95">
              <w:rPr>
                <w:rFonts w:ascii="Calibri Light" w:hAnsi="Calibri Light"/>
                <w:sz w:val="22"/>
                <w:szCs w:val="20"/>
              </w:rPr>
              <w:t>O 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M</w:t>
            </w:r>
            <w:r w:rsidR="00962A95">
              <w:rPr>
                <w:rFonts w:ascii="Calibri Light" w:hAnsi="Calibri Light"/>
                <w:sz w:val="22"/>
                <w:szCs w:val="20"/>
              </w:rPr>
              <w:t>Ze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a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toh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plynoucí nemožnost systematické kontroly jeh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plnění a d</w:t>
            </w:r>
            <w:r>
              <w:rPr>
                <w:rFonts w:ascii="Calibri Light" w:hAnsi="Calibri Light"/>
                <w:sz w:val="22"/>
                <w:szCs w:val="20"/>
              </w:rPr>
              <w:t xml:space="preserve">alší chybějící informace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>
              <w:rPr>
                <w:rFonts w:ascii="Calibri Light" w:hAnsi="Calibri Light"/>
                <w:sz w:val="22"/>
                <w:szCs w:val="20"/>
              </w:rPr>
              <w:t>maje</w:t>
            </w:r>
            <w:r w:rsidRPr="00331FCA">
              <w:rPr>
                <w:rFonts w:ascii="Calibri Light" w:hAnsi="Calibri Light"/>
                <w:sz w:val="22"/>
                <w:szCs w:val="20"/>
              </w:rPr>
              <w:t>t</w:t>
            </w:r>
            <w:r>
              <w:rPr>
                <w:rFonts w:ascii="Calibri Light" w:hAnsi="Calibri Light"/>
                <w:sz w:val="22"/>
                <w:szCs w:val="20"/>
              </w:rPr>
              <w:t>k</w:t>
            </w:r>
            <w:r w:rsidRPr="00331FCA">
              <w:rPr>
                <w:rFonts w:ascii="Calibri Light" w:hAnsi="Calibri Light"/>
                <w:sz w:val="22"/>
                <w:szCs w:val="20"/>
              </w:rPr>
              <w:t>u</w:t>
            </w:r>
            <w:r>
              <w:rPr>
                <w:rFonts w:ascii="Calibri Light" w:hAnsi="Calibri Light"/>
                <w:sz w:val="22"/>
                <w:szCs w:val="20"/>
              </w:rPr>
              <w:t xml:space="preserve"> </w:t>
            </w:r>
            <w:r w:rsidRPr="00331FCA">
              <w:rPr>
                <w:rFonts w:ascii="Calibri Light" w:hAnsi="Calibri Light"/>
                <w:sz w:val="22"/>
                <w:szCs w:val="20"/>
              </w:rPr>
              <w:t>(např. stáří a opotřebení VIM, proinvestované dotace, objem plánovaných opra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apod.) snižuje schopnost správnéh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rozhodování regulátora. </w:t>
            </w:r>
          </w:p>
          <w:p w14:paraId="346C91FE" w14:textId="3A6A3B20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9.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</w:r>
            <w:r w:rsidR="00962A95">
              <w:rPr>
                <w:rFonts w:ascii="Calibri Light" w:hAnsi="Calibri Light"/>
                <w:sz w:val="22"/>
                <w:szCs w:val="20"/>
              </w:rPr>
              <w:t>Ve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vybraných údajích majetkové a provozní evidence se neposkytovaly informace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přivaděčích a sběračích, což má přímý vli</w:t>
            </w:r>
            <w:r w:rsidR="00962A95">
              <w:rPr>
                <w:rFonts w:ascii="Calibri Light" w:hAnsi="Calibri Light"/>
                <w:sz w:val="22"/>
                <w:szCs w:val="20"/>
              </w:rPr>
              <w:t>v 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vypovídací hodnotu některých ukazatelů benchmarkingu (např. hodnota VIM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reprodukční pořizovací ceně, minimální roční výše prostředků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obnovu, délka řadů a stok, množství nefakturované vody, ztrát a poruch a jejich hodnoty přepočtené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km sítě atd.).</w:t>
            </w:r>
          </w:p>
          <w:p w14:paraId="44298B6C" w14:textId="5B2B96DF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10.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Benchmarking </w:t>
            </w:r>
            <w:r w:rsidR="00962A95">
              <w:rPr>
                <w:rFonts w:ascii="Calibri Light" w:hAnsi="Calibri Light"/>
                <w:sz w:val="22"/>
                <w:szCs w:val="20"/>
              </w:rPr>
              <w:t>při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hodnocení pokrytí minimálních prostředků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obnovu nepočítá s prostředky obnovy uváděnými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provozovatelských Porovnáních.</w:t>
            </w:r>
          </w:p>
          <w:p w14:paraId="08D69963" w14:textId="7FB7EA4F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11.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Nedostatky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databázích vybraných údajů majetkové a provozní evidence a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databázi povolení 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provozování neumožňují hloubkovou kontrolu úplnosti databází a správnosti údajů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nich uváděných.</w:t>
            </w:r>
          </w:p>
          <w:p w14:paraId="2BC714B4" w14:textId="29FB74D3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12.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Nedostate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znalostí a zkušenosti vlastníků jak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investora VIM (efektivní investování finančních prostředků d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VIM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pohledu životníh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cyklu majetku).</w:t>
            </w:r>
          </w:p>
          <w:p w14:paraId="0F71F78A" w14:textId="77777777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13.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Stanovení hodnoty majetku podle orientačních ukazatelů se řídí metodickým pokynem, který je zastaralý a je nutné jej novelizovat. Vypočtené reprodukční ceny VIM neodpovídají reálným reprodukčním cenám.</w:t>
            </w:r>
          </w:p>
          <w:p w14:paraId="22321AD0" w14:textId="04F19793" w:rsidR="00FC764C" w:rsidRPr="00331FCA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14.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Současné ustanovení cenovéh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výměru MF neumožňuje využívat ř. 4.4. - Prostředky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obnovu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plném rozsahu tak, ja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je upraven</w:t>
            </w:r>
            <w:r w:rsidR="00962A95">
              <w:rPr>
                <w:rFonts w:ascii="Calibri Light" w:hAnsi="Calibri Light"/>
                <w:sz w:val="22"/>
                <w:szCs w:val="20"/>
              </w:rPr>
              <w:t>o 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příslušných předpisech MZe.</w:t>
            </w:r>
          </w:p>
          <w:p w14:paraId="589F4CE3" w14:textId="77777777" w:rsidR="00FC764C" w:rsidRDefault="00FC764C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15.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</w:r>
            <w:r w:rsidR="00962A95">
              <w:rPr>
                <w:rFonts w:ascii="Calibri Light" w:hAnsi="Calibri Light"/>
                <w:sz w:val="22"/>
                <w:szCs w:val="20"/>
              </w:rPr>
              <w:t>Při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hodnocení tvorby prostředků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vodnéh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 stočnéh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 pokrytí minimální teoretické výše prostředků obnovy nel</w:t>
            </w:r>
            <w:r w:rsidR="00962A95">
              <w:rPr>
                <w:rFonts w:ascii="Calibri Light" w:hAnsi="Calibri Light"/>
                <w:sz w:val="22"/>
                <w:szCs w:val="20"/>
              </w:rPr>
              <w:t>ze </w:t>
            </w:r>
            <w:r w:rsidRPr="00331FCA">
              <w:rPr>
                <w:rFonts w:ascii="Calibri Light" w:hAnsi="Calibri Light"/>
                <w:sz w:val="22"/>
                <w:szCs w:val="20"/>
              </w:rPr>
              <w:t>zohlednit vli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toho, zda vlastní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je plátce DPH či nikoliv.</w:t>
            </w:r>
          </w:p>
          <w:p w14:paraId="798500F9" w14:textId="77777777" w:rsidR="00B27299" w:rsidRDefault="00B27299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</w:p>
          <w:p w14:paraId="773B6172" w14:textId="0B7A9A7A" w:rsidR="00B27299" w:rsidRPr="00331FCA" w:rsidRDefault="00B27299" w:rsidP="00FC764C">
            <w:pPr>
              <w:pStyle w:val="Odstavecseseznamem"/>
              <w:spacing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</w:p>
        </w:tc>
      </w:tr>
      <w:tr w:rsidR="00636AF2" w:rsidRPr="00C62639" w14:paraId="057B2591" w14:textId="77777777" w:rsidTr="00636AF2">
        <w:trPr>
          <w:jc w:val="center"/>
        </w:trPr>
        <w:tc>
          <w:tcPr>
            <w:tcW w:w="524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C4BC96"/>
            <w:hideMark/>
          </w:tcPr>
          <w:p w14:paraId="3CEE25DB" w14:textId="77777777" w:rsidR="00636AF2" w:rsidRPr="00C62639" w:rsidRDefault="00636AF2" w:rsidP="00636AF2">
            <w:pPr>
              <w:rPr>
                <w:rFonts w:asciiTheme="minorHAnsi" w:hAnsiTheme="minorHAnsi"/>
                <w:b/>
                <w:bCs/>
                <w:smallCaps/>
                <w:noProof/>
                <w:sz w:val="22"/>
                <w:szCs w:val="20"/>
              </w:rPr>
            </w:pPr>
            <w:r w:rsidRPr="00C62639">
              <w:rPr>
                <w:rFonts w:asciiTheme="minorHAnsi" w:hAnsiTheme="minorHAnsi"/>
                <w:b/>
                <w:bCs/>
                <w:smallCaps/>
                <w:noProof/>
                <w:sz w:val="22"/>
                <w:szCs w:val="20"/>
              </w:rPr>
              <w:lastRenderedPageBreak/>
              <w:t>Příležitosti</w:t>
            </w:r>
          </w:p>
        </w:tc>
        <w:tc>
          <w:tcPr>
            <w:tcW w:w="5177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C4BC96"/>
            <w:hideMark/>
          </w:tcPr>
          <w:p w14:paraId="172F1D13" w14:textId="77777777" w:rsidR="00636AF2" w:rsidRPr="00C62639" w:rsidRDefault="00636AF2" w:rsidP="00636AF2">
            <w:pPr>
              <w:rPr>
                <w:rFonts w:asciiTheme="minorHAnsi" w:hAnsiTheme="minorHAnsi"/>
                <w:b/>
                <w:smallCaps/>
                <w:noProof/>
                <w:sz w:val="22"/>
                <w:szCs w:val="20"/>
              </w:rPr>
            </w:pPr>
            <w:r w:rsidRPr="00C62639">
              <w:rPr>
                <w:rFonts w:asciiTheme="minorHAnsi" w:hAnsiTheme="minorHAnsi"/>
                <w:b/>
                <w:smallCaps/>
                <w:noProof/>
                <w:sz w:val="22"/>
                <w:szCs w:val="20"/>
              </w:rPr>
              <w:t>Hrozby</w:t>
            </w:r>
          </w:p>
        </w:tc>
      </w:tr>
      <w:tr w:rsidR="00FC764C" w:rsidRPr="00C62639" w14:paraId="5BDC7BB8" w14:textId="77777777" w:rsidTr="00636AF2">
        <w:trPr>
          <w:jc w:val="center"/>
        </w:trPr>
        <w:tc>
          <w:tcPr>
            <w:tcW w:w="524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FFFFFF"/>
            <w:hideMark/>
          </w:tcPr>
          <w:p w14:paraId="605CDFF9" w14:textId="1C8D9A39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Dosažení sociálně únosné samofinancovatelnosti infrastruktury (splnění EU směrnic, nastavení zodpovědnéh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financování sektoru s ohledem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nezatěžování dalších generací).</w:t>
            </w:r>
          </w:p>
          <w:p w14:paraId="66094B6A" w14:textId="498897D1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2.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Detailnější vypracování podmíne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hospodaření s prostředky určenými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PFO.</w:t>
            </w:r>
          </w:p>
          <w:p w14:paraId="0D9F1A4C" w14:textId="34E9D22E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3.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Zavedení PF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jak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investičníh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nástroje vlastníků VIM </w:t>
            </w:r>
            <w:r w:rsidR="00962A95">
              <w:rPr>
                <w:rFonts w:ascii="Calibri Light" w:hAnsi="Calibri Light"/>
                <w:sz w:val="22"/>
                <w:szCs w:val="20"/>
              </w:rPr>
              <w:t>za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účelem zefektivnění investiční činnosti.</w:t>
            </w:r>
          </w:p>
          <w:p w14:paraId="2BC08198" w14:textId="6A3EDF4B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4.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Vypracování podrobné metodiky vyplňování ř. 20 Porovnání, který poskytuje informace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tvorbě a čerpání prostředků obnovy.</w:t>
            </w:r>
          </w:p>
          <w:p w14:paraId="13386F9A" w14:textId="40AD07F6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5.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Zvýšení informovanosti všech zúčastněných stran sektoru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jejich právech a povinnostech.</w:t>
            </w:r>
          </w:p>
          <w:p w14:paraId="771E1014" w14:textId="1C621C48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6.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Zavedení pomocných nástrojů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úpravu vztahu mezi vlastníky a provozovateli VIM, zejmé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doporučené obsahové náležitosti servisní smlouvy a smlouvy s odborným zástupcem.</w:t>
            </w:r>
          </w:p>
          <w:p w14:paraId="575BC4C1" w14:textId="7B8B5A78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7.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Dosažení cenové úrovně, která by zabezpečila c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nejvyšší stupeň samofinancovatelnosti a pokud možn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nepřekročila sociálně únosnou cenu.</w:t>
            </w:r>
          </w:p>
          <w:p w14:paraId="7697F2C2" w14:textId="003DE670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8.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Větší možnost využívání úspor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rozsahu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případě snížení atomizace trhu, které by sebou nesl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i zvýšení odborné úrovně provozování VIM.</w:t>
            </w:r>
          </w:p>
          <w:p w14:paraId="3E48E3BA" w14:textId="77777777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9.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Zvyšování kvality dat, spolupráce se subjekty. Zavedení přesných definic některých pojmů např. obnova, oprava, porucha atd.</w:t>
            </w:r>
          </w:p>
          <w:p w14:paraId="0D553C1A" w14:textId="25923121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b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 xml:space="preserve">10. Zvýšení úrovně znalostí vlastníků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investičním procesu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hlediska prodloužení životníh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cyklu VIM.</w:t>
            </w:r>
          </w:p>
        </w:tc>
        <w:tc>
          <w:tcPr>
            <w:tcW w:w="5177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  <w:hideMark/>
          </w:tcPr>
          <w:p w14:paraId="19EF69A5" w14:textId="50A4956F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1.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Zhoršující se vodní bilance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ČR a snižující se zásoby vody.</w:t>
            </w:r>
          </w:p>
          <w:p w14:paraId="10B49B43" w14:textId="62CC86DF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2.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Neexistence smlu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provozně souvisejících vodovodů</w:t>
            </w:r>
            <w:r w:rsidR="00DE53F8">
              <w:rPr>
                <w:rFonts w:ascii="Calibri Light" w:hAnsi="Calibri Light"/>
                <w:sz w:val="22"/>
                <w:szCs w:val="20"/>
              </w:rPr>
              <w:t xml:space="preserve"> u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všech povinných vlastníků VIM </w:t>
            </w:r>
            <w:r w:rsidR="00962A95">
              <w:rPr>
                <w:rFonts w:ascii="Calibri Light" w:hAnsi="Calibri Light"/>
                <w:sz w:val="22"/>
                <w:szCs w:val="20"/>
              </w:rPr>
              <w:t>ze </w:t>
            </w:r>
            <w:r w:rsidRPr="00331FCA">
              <w:rPr>
                <w:rFonts w:ascii="Calibri Light" w:hAnsi="Calibri Light"/>
                <w:sz w:val="22"/>
                <w:szCs w:val="20"/>
              </w:rPr>
              <w:t>záko</w:t>
            </w:r>
            <w:r w:rsidR="00962A95">
              <w:rPr>
                <w:rFonts w:ascii="Calibri Light" w:hAnsi="Calibri Light"/>
                <w:sz w:val="22"/>
                <w:szCs w:val="20"/>
              </w:rPr>
              <w:t>na 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vodovodech a kanalizacích č. 274/2001 Sb.</w:t>
            </w:r>
          </w:p>
          <w:p w14:paraId="7BB51547" w14:textId="77777777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 xml:space="preserve">3. 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Nejednotné chápání termínů (obnova, oprava, porucha apod.) a nízká úroveň kvality stávajících dat.</w:t>
            </w:r>
          </w:p>
          <w:p w14:paraId="6CFE50FB" w14:textId="4008E319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4.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Neexistující legislativní úprava možností využití zisku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regulované činnosti vázanéh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použití řádku 4.4 Prostředky obnovy VIM. Ideální sta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>- použití tét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části zisku zákonem účelově vázat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zabezpečení samofinancovatelnosti VIM.</w:t>
            </w:r>
          </w:p>
          <w:p w14:paraId="7375A7B0" w14:textId="42DEBB11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5.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6.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>Rozdílná pravidla účtování pořízení a odepisování dlouhodobéh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majetku pořízenéh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z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dotačních prostředků mezi podnikatelskými subjekty a municipalitami, což má </w:t>
            </w:r>
            <w:r w:rsidR="00962A95">
              <w:rPr>
                <w:rFonts w:ascii="Calibri Light" w:hAnsi="Calibri Light"/>
                <w:sz w:val="22"/>
                <w:szCs w:val="20"/>
              </w:rPr>
              <w:t>za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následe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nemožnost využití informací 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pořizovací hodnotě majetku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účetní evidence.</w:t>
            </w:r>
          </w:p>
          <w:p w14:paraId="03AF0A8B" w14:textId="310F313A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7.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Ustanovení §6 odst. 6 zák. č. 274/2001 Sb., umožňující získání povolení 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provozování be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živnostenskéh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oprávnění obcím, organizačním složkám státu neb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sdružením vlastníků vodovodů a kanalizací, které jsou právnickými osobami, pokud neprovozují vodovod neb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kanalizaci </w:t>
            </w:r>
            <w:r w:rsidR="00962A95">
              <w:rPr>
                <w:rFonts w:ascii="Calibri Light" w:hAnsi="Calibri Light"/>
                <w:sz w:val="22"/>
                <w:szCs w:val="20"/>
              </w:rPr>
              <w:t>za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účelem dosažení zisku, znemožňuje využití kalkulačníh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generování prostředků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obnovu. Uvedené ustanovení je vlastníky různě chápán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 komplikuje dosažení samofinancovatelnosti VIM (záměr regulátora).</w:t>
            </w:r>
          </w:p>
          <w:p w14:paraId="6D3436DB" w14:textId="4555647F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8.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 Příliš dlouhá doba potřebná 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dosažení samofinancovatelnosti může vést </w:t>
            </w:r>
            <w:r w:rsidR="00962A95">
              <w:rPr>
                <w:rFonts w:ascii="Calibri Light" w:hAnsi="Calibri Light"/>
                <w:sz w:val="22"/>
                <w:szCs w:val="20"/>
              </w:rPr>
              <w:t>k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opětovnému tlaku sektoru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dotace (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obnovu) neb</w:t>
            </w:r>
            <w:r w:rsidR="00962A95">
              <w:rPr>
                <w:rFonts w:ascii="Calibri Light" w:hAnsi="Calibri Light"/>
                <w:sz w:val="22"/>
                <w:szCs w:val="20"/>
              </w:rPr>
              <w:t>o</w:t>
            </w:r>
            <w:r w:rsidR="00BD5FF3">
              <w:rPr>
                <w:rFonts w:ascii="Calibri Light" w:hAnsi="Calibri Light"/>
                <w:sz w:val="22"/>
                <w:szCs w:val="20"/>
              </w:rPr>
              <w:t xml:space="preserve"> ke </w:t>
            </w:r>
            <w:r w:rsidRPr="00331FCA">
              <w:rPr>
                <w:rFonts w:ascii="Calibri Light" w:hAnsi="Calibri Light"/>
                <w:sz w:val="22"/>
                <w:szCs w:val="20"/>
              </w:rPr>
              <w:t>skokovým nárůstům cen vodnéh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a stočného, které mohou být </w:t>
            </w:r>
            <w:r w:rsidR="00962A95">
              <w:rPr>
                <w:rFonts w:ascii="Calibri Light" w:hAnsi="Calibri Light"/>
                <w:sz w:val="22"/>
                <w:szCs w:val="20"/>
              </w:rPr>
              <w:t>za </w:t>
            </w:r>
            <w:r w:rsidRPr="00331FCA">
              <w:rPr>
                <w:rFonts w:ascii="Calibri Light" w:hAnsi="Calibri Light"/>
                <w:sz w:val="22"/>
                <w:szCs w:val="20"/>
              </w:rPr>
              <w:t>sociální únosností. Tent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postup může znamenat významné ekonomické zatížení budoucích generací, případně snížení kvality služeb.</w:t>
            </w:r>
          </w:p>
          <w:p w14:paraId="072970E3" w14:textId="1AB49E45" w:rsidR="00FC764C" w:rsidRPr="00331FCA" w:rsidRDefault="00FC764C" w:rsidP="00FC764C">
            <w:pPr>
              <w:pStyle w:val="Odstavecseseznamem"/>
              <w:spacing w:before="0" w:after="60" w:line="276" w:lineRule="auto"/>
              <w:ind w:left="313" w:hanging="313"/>
              <w:rPr>
                <w:rFonts w:ascii="Calibri Light" w:hAnsi="Calibri Light"/>
                <w:sz w:val="22"/>
                <w:szCs w:val="20"/>
              </w:rPr>
            </w:pPr>
            <w:r w:rsidRPr="00331FCA">
              <w:rPr>
                <w:rFonts w:ascii="Calibri Light" w:hAnsi="Calibri Light"/>
                <w:sz w:val="22"/>
                <w:szCs w:val="20"/>
              </w:rPr>
              <w:t>9.</w:t>
            </w:r>
            <w:r w:rsidRPr="00331FCA">
              <w:rPr>
                <w:rFonts w:ascii="Calibri Light" w:hAnsi="Calibri Light"/>
                <w:sz w:val="22"/>
                <w:szCs w:val="20"/>
              </w:rPr>
              <w:tab/>
              <w:t xml:space="preserve">Neúčelové použití prostředků </w:t>
            </w:r>
            <w:r w:rsidR="00962A95">
              <w:rPr>
                <w:rFonts w:ascii="Calibri Light" w:hAnsi="Calibri Light"/>
                <w:sz w:val="22"/>
                <w:szCs w:val="20"/>
              </w:rPr>
              <w:t>na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obnovu </w:t>
            </w:r>
            <w:r w:rsidR="00962A95">
              <w:rPr>
                <w:rFonts w:ascii="Calibri Light" w:hAnsi="Calibri Light"/>
                <w:sz w:val="22"/>
                <w:szCs w:val="20"/>
              </w:rPr>
              <w:t>z </w:t>
            </w:r>
            <w:r w:rsidRPr="00331FCA">
              <w:rPr>
                <w:rFonts w:ascii="Calibri Light" w:hAnsi="Calibri Light"/>
                <w:sz w:val="22"/>
                <w:szCs w:val="20"/>
              </w:rPr>
              <w:t>vodnéh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a stočnéh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(jakožt</w:t>
            </w:r>
            <w:r w:rsidR="00962A95">
              <w:rPr>
                <w:rFonts w:ascii="Calibri Light" w:hAnsi="Calibri Light"/>
                <w:sz w:val="22"/>
                <w:szCs w:val="20"/>
              </w:rPr>
              <w:t>o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veřejných zdrojů) </w:t>
            </w:r>
            <w:r w:rsidR="00962A95">
              <w:rPr>
                <w:rFonts w:ascii="Calibri Light" w:hAnsi="Calibri Light"/>
                <w:sz w:val="22"/>
                <w:szCs w:val="20"/>
              </w:rPr>
              <w:t>v </w:t>
            </w:r>
            <w:r w:rsidRPr="00331FCA">
              <w:rPr>
                <w:rFonts w:ascii="Calibri Light" w:hAnsi="Calibri Light"/>
                <w:sz w:val="22"/>
                <w:szCs w:val="20"/>
              </w:rPr>
              <w:t xml:space="preserve">důsledku neexistence detailních pravidel </w:t>
            </w:r>
            <w:r w:rsidR="00962A95">
              <w:rPr>
                <w:rFonts w:ascii="Calibri Light" w:hAnsi="Calibri Light"/>
                <w:sz w:val="22"/>
                <w:szCs w:val="20"/>
              </w:rPr>
              <w:t>pro </w:t>
            </w:r>
            <w:r w:rsidRPr="00331FCA">
              <w:rPr>
                <w:rFonts w:ascii="Calibri Light" w:hAnsi="Calibri Light"/>
                <w:sz w:val="22"/>
                <w:szCs w:val="20"/>
              </w:rPr>
              <w:t>hospodaření s nimi.</w:t>
            </w:r>
          </w:p>
        </w:tc>
      </w:tr>
    </w:tbl>
    <w:p w14:paraId="34833815" w14:textId="1AA81C54" w:rsidR="00636AF2" w:rsidRPr="00C62639" w:rsidRDefault="00636AF2" w:rsidP="00636AF2">
      <w:pPr>
        <w:pStyle w:val="Nadpis3"/>
        <w:rPr>
          <w:rFonts w:asciiTheme="minorHAnsi" w:hAnsiTheme="minorHAnsi"/>
          <w:noProof/>
        </w:rPr>
      </w:pPr>
      <w:bookmarkStart w:id="76" w:name="_Toc502677214"/>
      <w:r w:rsidRPr="00C62639">
        <w:rPr>
          <w:rFonts w:asciiTheme="minorHAnsi" w:hAnsiTheme="minorHAnsi"/>
          <w:noProof/>
        </w:rPr>
        <w:lastRenderedPageBreak/>
        <w:t xml:space="preserve"> </w:t>
      </w:r>
      <w:bookmarkStart w:id="77" w:name="_Toc495564887"/>
      <w:bookmarkStart w:id="78" w:name="_Toc459133209"/>
      <w:bookmarkStart w:id="79" w:name="_Toc963490"/>
      <w:bookmarkStart w:id="80" w:name="_Toc34210402"/>
      <w:r w:rsidRPr="00C62639">
        <w:rPr>
          <w:rFonts w:asciiTheme="minorHAnsi" w:hAnsiTheme="minorHAnsi"/>
          <w:noProof/>
        </w:rPr>
        <w:t>Závěr, zhodnocení a návrh dalšíh</w:t>
      </w:r>
      <w:r w:rsidR="00962A95">
        <w:rPr>
          <w:rFonts w:asciiTheme="minorHAnsi" w:hAnsiTheme="minorHAnsi"/>
          <w:noProof/>
        </w:rPr>
        <w:t>o </w:t>
      </w:r>
      <w:r w:rsidRPr="00C62639">
        <w:rPr>
          <w:rFonts w:asciiTheme="minorHAnsi" w:hAnsiTheme="minorHAnsi"/>
          <w:noProof/>
        </w:rPr>
        <w:t>postupu</w:t>
      </w:r>
      <w:bookmarkEnd w:id="76"/>
      <w:bookmarkEnd w:id="77"/>
      <w:bookmarkEnd w:id="78"/>
      <w:bookmarkEnd w:id="79"/>
      <w:bookmarkEnd w:id="80"/>
    </w:p>
    <w:p w14:paraId="290B493C" w14:textId="6782C53E" w:rsidR="00FC764C" w:rsidRPr="008A6C6E" w:rsidRDefault="00FC764C" w:rsidP="00FC764C">
      <w:pPr>
        <w:pStyle w:val="normlntextvodstavcch"/>
        <w:spacing w:line="264" w:lineRule="auto"/>
        <w:rPr>
          <w:i/>
        </w:rPr>
      </w:pPr>
      <w:r w:rsidRPr="008A6C6E">
        <w:rPr>
          <w:i/>
        </w:rPr>
        <w:t xml:space="preserve">Výsledky benchmarkingu vlastnických subjektů, analýzy SWOT, informace </w:t>
      </w:r>
      <w:r w:rsidR="00962A95">
        <w:rPr>
          <w:i/>
        </w:rPr>
        <w:t>o </w:t>
      </w:r>
      <w:r w:rsidRPr="008A6C6E">
        <w:rPr>
          <w:i/>
        </w:rPr>
        <w:t xml:space="preserve">přijatých stížnostech a nálezy </w:t>
      </w:r>
      <w:r w:rsidR="00962A95">
        <w:rPr>
          <w:i/>
        </w:rPr>
        <w:t>z </w:t>
      </w:r>
      <w:r w:rsidRPr="008A6C6E">
        <w:rPr>
          <w:i/>
        </w:rPr>
        <w:t>realizovaných kontrol</w:t>
      </w:r>
      <w:r w:rsidR="00DE53F8">
        <w:rPr>
          <w:i/>
        </w:rPr>
        <w:t xml:space="preserve"> u </w:t>
      </w:r>
      <w:r w:rsidRPr="008A6C6E">
        <w:rPr>
          <w:i/>
        </w:rPr>
        <w:t>vlastníků a provozovatelů VIM opětovně potvrdily, že by regulátor měl upřesnit legislativní podmínky, které umožní efektivní vymáhání plnění definovaných povinností vlastníků VIM (be</w:t>
      </w:r>
      <w:r w:rsidR="00962A95">
        <w:rPr>
          <w:i/>
        </w:rPr>
        <w:t>z </w:t>
      </w:r>
      <w:r w:rsidRPr="008A6C6E">
        <w:rPr>
          <w:i/>
        </w:rPr>
        <w:t xml:space="preserve">ohledu </w:t>
      </w:r>
      <w:r w:rsidR="00962A95">
        <w:rPr>
          <w:i/>
        </w:rPr>
        <w:t>na </w:t>
      </w:r>
      <w:r w:rsidRPr="008A6C6E">
        <w:rPr>
          <w:i/>
        </w:rPr>
        <w:t>aplikovaný model provozování).</w:t>
      </w:r>
    </w:p>
    <w:p w14:paraId="310540D7" w14:textId="139CF1B3" w:rsidR="00FC764C" w:rsidRPr="008A6C6E" w:rsidRDefault="00FC764C" w:rsidP="00FC764C">
      <w:pPr>
        <w:pStyle w:val="normlntextvodstavcch"/>
        <w:spacing w:line="264" w:lineRule="auto"/>
        <w:rPr>
          <w:i/>
        </w:rPr>
      </w:pPr>
      <w:r w:rsidRPr="008A6C6E">
        <w:rPr>
          <w:i/>
        </w:rPr>
        <w:t>Jak</w:t>
      </w:r>
      <w:r w:rsidR="00962A95">
        <w:rPr>
          <w:i/>
        </w:rPr>
        <w:t>o </w:t>
      </w:r>
      <w:r w:rsidRPr="008A6C6E">
        <w:rPr>
          <w:i/>
        </w:rPr>
        <w:t xml:space="preserve">součást řešení dlouhodobé problematiky sucha usiluje stát </w:t>
      </w:r>
      <w:r w:rsidR="00962A95">
        <w:rPr>
          <w:i/>
        </w:rPr>
        <w:t>o </w:t>
      </w:r>
      <w:r w:rsidRPr="008A6C6E">
        <w:rPr>
          <w:i/>
        </w:rPr>
        <w:t>zlepšení podmíne</w:t>
      </w:r>
      <w:r w:rsidR="00962A95">
        <w:rPr>
          <w:i/>
        </w:rPr>
        <w:t>k pro </w:t>
      </w:r>
      <w:r w:rsidRPr="008A6C6E">
        <w:rPr>
          <w:i/>
        </w:rPr>
        <w:t xml:space="preserve">napojení menších vodovodů </w:t>
      </w:r>
      <w:r w:rsidR="00962A95">
        <w:rPr>
          <w:i/>
        </w:rPr>
        <w:t>na </w:t>
      </w:r>
      <w:r w:rsidRPr="008A6C6E">
        <w:rPr>
          <w:i/>
        </w:rPr>
        <w:t xml:space="preserve">oblastní vodovody. Vláda ČR rozhodla </w:t>
      </w:r>
      <w:r w:rsidR="00962A95">
        <w:rPr>
          <w:i/>
        </w:rPr>
        <w:t>o </w:t>
      </w:r>
      <w:r w:rsidRPr="008A6C6E">
        <w:rPr>
          <w:i/>
        </w:rPr>
        <w:t>přípravě dotačníh</w:t>
      </w:r>
      <w:r w:rsidR="00962A95">
        <w:rPr>
          <w:i/>
        </w:rPr>
        <w:t>o </w:t>
      </w:r>
      <w:r w:rsidRPr="008A6C6E">
        <w:rPr>
          <w:i/>
        </w:rPr>
        <w:t xml:space="preserve">titulu, kterým významně podpoří rekonstrukci páteřních sítí vhodných </w:t>
      </w:r>
      <w:r w:rsidR="00962A95">
        <w:rPr>
          <w:i/>
        </w:rPr>
        <w:t>k </w:t>
      </w:r>
      <w:r w:rsidRPr="008A6C6E">
        <w:rPr>
          <w:i/>
        </w:rPr>
        <w:t>napojení menších obecních vodovodů. Realizace tohot</w:t>
      </w:r>
      <w:r w:rsidR="00962A95">
        <w:rPr>
          <w:i/>
        </w:rPr>
        <w:t>o </w:t>
      </w:r>
      <w:r w:rsidRPr="008A6C6E">
        <w:rPr>
          <w:i/>
        </w:rPr>
        <w:t>záměru má</w:t>
      </w:r>
      <w:r>
        <w:rPr>
          <w:i/>
        </w:rPr>
        <w:t xml:space="preserve"> </w:t>
      </w:r>
      <w:r w:rsidRPr="008A6C6E">
        <w:rPr>
          <w:i/>
        </w:rPr>
        <w:t>dlouhodobý charakter a bude mít pozitivní vli</w:t>
      </w:r>
      <w:r w:rsidR="00962A95">
        <w:rPr>
          <w:i/>
        </w:rPr>
        <w:t>v na </w:t>
      </w:r>
      <w:r w:rsidRPr="008A6C6E">
        <w:rPr>
          <w:i/>
        </w:rPr>
        <w:t xml:space="preserve">stabilizaci zásobování obyvatel pitnou vodou a </w:t>
      </w:r>
      <w:r w:rsidR="00962A95">
        <w:rPr>
          <w:i/>
        </w:rPr>
        <w:t>na </w:t>
      </w:r>
      <w:r w:rsidRPr="008A6C6E">
        <w:rPr>
          <w:i/>
        </w:rPr>
        <w:t>zlepšení kontroly kvality vyráběné a dodávané pitné vody.</w:t>
      </w:r>
      <w:r w:rsidR="00371EFB">
        <w:rPr>
          <w:i/>
        </w:rPr>
        <w:t xml:space="preserve"> </w:t>
      </w:r>
    </w:p>
    <w:p w14:paraId="31953ADE" w14:textId="4B21FB25" w:rsidR="00FC764C" w:rsidRPr="008A6C6E" w:rsidRDefault="00FC764C" w:rsidP="00FC764C">
      <w:pPr>
        <w:pStyle w:val="normlntextvodstavcch"/>
        <w:spacing w:line="264" w:lineRule="auto"/>
        <w:rPr>
          <w:i/>
        </w:rPr>
      </w:pPr>
      <w:r w:rsidRPr="008A6C6E">
        <w:rPr>
          <w:i/>
        </w:rPr>
        <w:t xml:space="preserve">Problematika obnovy VIM je </w:t>
      </w:r>
      <w:r w:rsidR="00962A95">
        <w:rPr>
          <w:i/>
        </w:rPr>
        <w:t>pro </w:t>
      </w:r>
      <w:r w:rsidRPr="008A6C6E">
        <w:rPr>
          <w:i/>
        </w:rPr>
        <w:t xml:space="preserve">regulátora jednou </w:t>
      </w:r>
      <w:r w:rsidR="00962A95">
        <w:rPr>
          <w:i/>
        </w:rPr>
        <w:t>z </w:t>
      </w:r>
      <w:r w:rsidRPr="008A6C6E">
        <w:rPr>
          <w:i/>
        </w:rPr>
        <w:t>prioritních oblastí zájmu. Provedená analý</w:t>
      </w:r>
      <w:r w:rsidR="00962A95">
        <w:rPr>
          <w:i/>
        </w:rPr>
        <w:t>za v </w:t>
      </w:r>
      <w:r w:rsidRPr="008A6C6E">
        <w:rPr>
          <w:i/>
        </w:rPr>
        <w:t>tomt</w:t>
      </w:r>
      <w:r w:rsidR="00962A95">
        <w:rPr>
          <w:i/>
        </w:rPr>
        <w:t>o </w:t>
      </w:r>
      <w:r w:rsidRPr="008A6C6E">
        <w:rPr>
          <w:i/>
        </w:rPr>
        <w:t>roce opět</w:t>
      </w:r>
      <w:r>
        <w:rPr>
          <w:i/>
        </w:rPr>
        <w:t xml:space="preserve"> </w:t>
      </w:r>
      <w:r w:rsidRPr="008A6C6E">
        <w:rPr>
          <w:i/>
        </w:rPr>
        <w:t>prokázala skutečnost, že mnozí vlastníci obnovu VIM nerealizují, nepoužívají</w:t>
      </w:r>
      <w:r>
        <w:rPr>
          <w:i/>
        </w:rPr>
        <w:t xml:space="preserve"> </w:t>
      </w:r>
      <w:r w:rsidRPr="008A6C6E">
        <w:rPr>
          <w:i/>
        </w:rPr>
        <w:t xml:space="preserve">základní nástroje </w:t>
      </w:r>
      <w:r w:rsidR="00962A95">
        <w:rPr>
          <w:i/>
        </w:rPr>
        <w:t>na </w:t>
      </w:r>
      <w:r w:rsidRPr="008A6C6E">
        <w:rPr>
          <w:i/>
        </w:rPr>
        <w:t>zjišťování stavu infrastruktury, mezi které patří zejmé</w:t>
      </w:r>
      <w:r w:rsidR="00962A95">
        <w:rPr>
          <w:i/>
        </w:rPr>
        <w:t>na </w:t>
      </w:r>
      <w:r w:rsidRPr="008A6C6E">
        <w:rPr>
          <w:i/>
        </w:rPr>
        <w:t xml:space="preserve">systematické sledování ztrát pitné vody a detekování a evidence počtu poruch. </w:t>
      </w:r>
      <w:r w:rsidR="00962A95">
        <w:rPr>
          <w:i/>
        </w:rPr>
        <w:t>Pro </w:t>
      </w:r>
      <w:r w:rsidRPr="008A6C6E">
        <w:rPr>
          <w:i/>
        </w:rPr>
        <w:t xml:space="preserve">oblast obnovy </w:t>
      </w:r>
      <w:r w:rsidR="00B27299">
        <w:rPr>
          <w:i/>
        </w:rPr>
        <w:t xml:space="preserve">VIM </w:t>
      </w:r>
      <w:r w:rsidR="00962A95">
        <w:rPr>
          <w:i/>
        </w:rPr>
        <w:t>v </w:t>
      </w:r>
      <w:r w:rsidRPr="008A6C6E">
        <w:rPr>
          <w:i/>
        </w:rPr>
        <w:t>uplynulém roce M</w:t>
      </w:r>
      <w:r w:rsidR="00962A95">
        <w:rPr>
          <w:i/>
        </w:rPr>
        <w:t>Ze </w:t>
      </w:r>
      <w:r w:rsidRPr="008A6C6E">
        <w:rPr>
          <w:i/>
        </w:rPr>
        <w:t>vypracoval</w:t>
      </w:r>
      <w:r w:rsidR="00962A95">
        <w:rPr>
          <w:i/>
        </w:rPr>
        <w:t>o </w:t>
      </w:r>
      <w:r w:rsidRPr="008A6C6E">
        <w:rPr>
          <w:i/>
        </w:rPr>
        <w:t xml:space="preserve">Metodický pokyn </w:t>
      </w:r>
      <w:r w:rsidR="00962A95">
        <w:rPr>
          <w:i/>
        </w:rPr>
        <w:t>pro </w:t>
      </w:r>
      <w:r w:rsidRPr="008A6C6E">
        <w:rPr>
          <w:i/>
        </w:rPr>
        <w:t xml:space="preserve">zpracování Plánu financování obnovy, který je </w:t>
      </w:r>
      <w:r w:rsidR="00962A95">
        <w:rPr>
          <w:i/>
        </w:rPr>
        <w:t>v </w:t>
      </w:r>
      <w:r w:rsidRPr="008A6C6E">
        <w:rPr>
          <w:i/>
        </w:rPr>
        <w:t>době vypracování tét</w:t>
      </w:r>
      <w:r w:rsidR="00962A95">
        <w:rPr>
          <w:i/>
        </w:rPr>
        <w:t>o </w:t>
      </w:r>
      <w:r w:rsidRPr="008A6C6E">
        <w:rPr>
          <w:i/>
        </w:rPr>
        <w:t>zprávy podrobován připomínkovému procesu.</w:t>
      </w:r>
      <w:r>
        <w:rPr>
          <w:i/>
        </w:rPr>
        <w:t xml:space="preserve"> </w:t>
      </w:r>
      <w:r w:rsidRPr="008A6C6E">
        <w:rPr>
          <w:i/>
        </w:rPr>
        <w:t>Cílem tohot</w:t>
      </w:r>
      <w:r w:rsidR="00962A95">
        <w:rPr>
          <w:i/>
        </w:rPr>
        <w:t>o </w:t>
      </w:r>
      <w:r w:rsidRPr="008A6C6E">
        <w:rPr>
          <w:i/>
        </w:rPr>
        <w:t>metodickéh</w:t>
      </w:r>
      <w:r w:rsidR="00962A95">
        <w:rPr>
          <w:i/>
        </w:rPr>
        <w:t>o </w:t>
      </w:r>
      <w:r w:rsidRPr="008A6C6E">
        <w:rPr>
          <w:i/>
        </w:rPr>
        <w:t>pokynu je vysvětlit vlastníkům VIM, c</w:t>
      </w:r>
      <w:r w:rsidR="00962A95">
        <w:rPr>
          <w:i/>
        </w:rPr>
        <w:t>o </w:t>
      </w:r>
      <w:r w:rsidRPr="008A6C6E">
        <w:rPr>
          <w:i/>
        </w:rPr>
        <w:t>se rozumí pojmem obnova VIM, c</w:t>
      </w:r>
      <w:r w:rsidR="00962A95">
        <w:rPr>
          <w:i/>
        </w:rPr>
        <w:t>o </w:t>
      </w:r>
      <w:r w:rsidRPr="008A6C6E">
        <w:rPr>
          <w:i/>
        </w:rPr>
        <w:t>je smyslem a obsahem PFO, ja</w:t>
      </w:r>
      <w:r w:rsidR="00962A95">
        <w:rPr>
          <w:i/>
        </w:rPr>
        <w:t>k </w:t>
      </w:r>
      <w:r w:rsidRPr="008A6C6E">
        <w:rPr>
          <w:i/>
        </w:rPr>
        <w:t xml:space="preserve">se stanoví roční potřeba prostředků obnovy a </w:t>
      </w:r>
      <w:r w:rsidR="00962A95">
        <w:rPr>
          <w:i/>
        </w:rPr>
        <w:t>z </w:t>
      </w:r>
      <w:r w:rsidR="00B27299">
        <w:rPr>
          <w:i/>
        </w:rPr>
        <w:t>jakých zdrojů mů</w:t>
      </w:r>
      <w:r w:rsidRPr="008A6C6E">
        <w:rPr>
          <w:i/>
        </w:rPr>
        <w:t>že být tat</w:t>
      </w:r>
      <w:r w:rsidR="00962A95">
        <w:rPr>
          <w:i/>
        </w:rPr>
        <w:t>o </w:t>
      </w:r>
      <w:r w:rsidRPr="008A6C6E">
        <w:rPr>
          <w:i/>
        </w:rPr>
        <w:t>potřeba kryta, jaká je vazba PF</w:t>
      </w:r>
      <w:r w:rsidR="00962A95">
        <w:rPr>
          <w:i/>
        </w:rPr>
        <w:t>O na </w:t>
      </w:r>
      <w:r w:rsidRPr="008A6C6E">
        <w:rPr>
          <w:i/>
        </w:rPr>
        <w:t xml:space="preserve">kalkulaci ceny </w:t>
      </w:r>
      <w:r w:rsidR="00962A95">
        <w:rPr>
          <w:i/>
        </w:rPr>
        <w:t>pro </w:t>
      </w:r>
      <w:r w:rsidRPr="008A6C6E">
        <w:rPr>
          <w:i/>
        </w:rPr>
        <w:t xml:space="preserve">vodné a stočné a </w:t>
      </w:r>
      <w:r w:rsidR="00962A95">
        <w:rPr>
          <w:i/>
        </w:rPr>
        <w:t>na </w:t>
      </w:r>
      <w:r w:rsidRPr="008A6C6E">
        <w:rPr>
          <w:i/>
        </w:rPr>
        <w:t>Porovnání a ja</w:t>
      </w:r>
      <w:r w:rsidR="00962A95">
        <w:rPr>
          <w:i/>
        </w:rPr>
        <w:t>k </w:t>
      </w:r>
      <w:r w:rsidRPr="008A6C6E">
        <w:rPr>
          <w:i/>
        </w:rPr>
        <w:t xml:space="preserve">správně tvořit a čerpat rezervu finančních prostředků </w:t>
      </w:r>
      <w:r w:rsidR="00962A95">
        <w:rPr>
          <w:i/>
        </w:rPr>
        <w:t>na </w:t>
      </w:r>
      <w:r w:rsidRPr="008A6C6E">
        <w:rPr>
          <w:i/>
        </w:rPr>
        <w:t>obnovu.</w:t>
      </w:r>
      <w:r>
        <w:rPr>
          <w:i/>
        </w:rPr>
        <w:t xml:space="preserve"> </w:t>
      </w:r>
      <w:r w:rsidRPr="008A6C6E">
        <w:rPr>
          <w:i/>
        </w:rPr>
        <w:t>Nadále vša</w:t>
      </w:r>
      <w:r w:rsidR="00962A95">
        <w:rPr>
          <w:i/>
        </w:rPr>
        <w:t>k </w:t>
      </w:r>
      <w:r w:rsidRPr="008A6C6E">
        <w:rPr>
          <w:i/>
        </w:rPr>
        <w:t>bude nutné zlepšit komunikaci s vlastníky VIM, která bude zaměře</w:t>
      </w:r>
      <w:r w:rsidR="00962A95">
        <w:rPr>
          <w:i/>
        </w:rPr>
        <w:t>na na </w:t>
      </w:r>
      <w:r w:rsidRPr="008A6C6E">
        <w:rPr>
          <w:i/>
        </w:rPr>
        <w:t>využívání PF</w:t>
      </w:r>
      <w:r w:rsidR="00962A95">
        <w:rPr>
          <w:i/>
        </w:rPr>
        <w:t>O </w:t>
      </w:r>
      <w:r w:rsidRPr="008A6C6E">
        <w:rPr>
          <w:i/>
        </w:rPr>
        <w:t>jak</w:t>
      </w:r>
      <w:r w:rsidR="00962A95">
        <w:rPr>
          <w:i/>
        </w:rPr>
        <w:t>o </w:t>
      </w:r>
      <w:r w:rsidRPr="008A6C6E">
        <w:rPr>
          <w:i/>
        </w:rPr>
        <w:t>podstatné součásti investičníh</w:t>
      </w:r>
      <w:r w:rsidR="00962A95">
        <w:rPr>
          <w:i/>
        </w:rPr>
        <w:t>o </w:t>
      </w:r>
      <w:r w:rsidRPr="008A6C6E">
        <w:rPr>
          <w:i/>
        </w:rPr>
        <w:t xml:space="preserve">procesu, jež poskytuje informace </w:t>
      </w:r>
      <w:r w:rsidR="00962A95">
        <w:rPr>
          <w:i/>
        </w:rPr>
        <w:t>o </w:t>
      </w:r>
      <w:r w:rsidRPr="008A6C6E">
        <w:rPr>
          <w:i/>
        </w:rPr>
        <w:t xml:space="preserve">způsobu financování obnovy. Regulátor by se měl zaměřit </w:t>
      </w:r>
      <w:r w:rsidR="00962A95">
        <w:rPr>
          <w:i/>
        </w:rPr>
        <w:t>na </w:t>
      </w:r>
      <w:r w:rsidRPr="008A6C6E">
        <w:rPr>
          <w:i/>
        </w:rPr>
        <w:t>kontrolu plnění PF</w:t>
      </w:r>
      <w:r w:rsidR="00962A95">
        <w:rPr>
          <w:i/>
        </w:rPr>
        <w:t>O </w:t>
      </w:r>
      <w:r w:rsidRPr="008A6C6E">
        <w:rPr>
          <w:i/>
        </w:rPr>
        <w:t xml:space="preserve">a stanovit jasná pravidla evidence tvorby (např. </w:t>
      </w:r>
      <w:r w:rsidR="00962A95">
        <w:rPr>
          <w:i/>
        </w:rPr>
        <w:t>na </w:t>
      </w:r>
      <w:r w:rsidRPr="008A6C6E">
        <w:rPr>
          <w:i/>
        </w:rPr>
        <w:t xml:space="preserve">zvláštním účtu) a použití finančních prostředků získaných </w:t>
      </w:r>
      <w:r w:rsidR="00962A95">
        <w:rPr>
          <w:i/>
        </w:rPr>
        <w:t>za </w:t>
      </w:r>
      <w:r w:rsidRPr="008A6C6E">
        <w:rPr>
          <w:i/>
        </w:rPr>
        <w:t xml:space="preserve">účelem obnovy VIM s přihlédnutím </w:t>
      </w:r>
      <w:r w:rsidR="00962A95">
        <w:rPr>
          <w:i/>
        </w:rPr>
        <w:t>k </w:t>
      </w:r>
      <w:r w:rsidRPr="008A6C6E">
        <w:rPr>
          <w:i/>
        </w:rPr>
        <w:t>typu finančníh</w:t>
      </w:r>
      <w:r w:rsidR="00962A95">
        <w:rPr>
          <w:i/>
        </w:rPr>
        <w:t>o </w:t>
      </w:r>
      <w:r w:rsidRPr="008A6C6E">
        <w:rPr>
          <w:i/>
        </w:rPr>
        <w:t xml:space="preserve">zdroje. Regulátor by měl následně sledovat, jakým způsobem a </w:t>
      </w:r>
      <w:r w:rsidR="00962A95">
        <w:rPr>
          <w:i/>
        </w:rPr>
        <w:t>k </w:t>
      </w:r>
      <w:r w:rsidRPr="008A6C6E">
        <w:rPr>
          <w:i/>
        </w:rPr>
        <w:t>jakým účelům jsou tyt</w:t>
      </w:r>
      <w:r w:rsidR="00962A95">
        <w:rPr>
          <w:i/>
        </w:rPr>
        <w:t>o </w:t>
      </w:r>
      <w:r w:rsidRPr="008A6C6E">
        <w:rPr>
          <w:i/>
        </w:rPr>
        <w:t>prostředky skutečně využity. Otevřenou problematikou nadále zůstává i otázka dočasnéh</w:t>
      </w:r>
      <w:r w:rsidR="00962A95">
        <w:rPr>
          <w:i/>
        </w:rPr>
        <w:t>o </w:t>
      </w:r>
      <w:r w:rsidRPr="008A6C6E">
        <w:rPr>
          <w:i/>
        </w:rPr>
        <w:t xml:space="preserve">využívání vytvořených prostředků obnovy </w:t>
      </w:r>
      <w:r w:rsidR="00962A95">
        <w:rPr>
          <w:i/>
        </w:rPr>
        <w:t>na </w:t>
      </w:r>
      <w:r w:rsidRPr="008A6C6E">
        <w:rPr>
          <w:i/>
        </w:rPr>
        <w:t xml:space="preserve">jiné účely </w:t>
      </w:r>
      <w:r w:rsidR="00962A95">
        <w:rPr>
          <w:i/>
        </w:rPr>
        <w:t>pro </w:t>
      </w:r>
      <w:r w:rsidRPr="008A6C6E">
        <w:rPr>
          <w:i/>
        </w:rPr>
        <w:t>města a obce a povinnéh</w:t>
      </w:r>
      <w:r w:rsidR="00962A95">
        <w:rPr>
          <w:i/>
        </w:rPr>
        <w:t>o </w:t>
      </w:r>
      <w:r w:rsidRPr="008A6C6E">
        <w:rPr>
          <w:i/>
        </w:rPr>
        <w:t>zasílání PF</w:t>
      </w:r>
      <w:r w:rsidR="00962A95">
        <w:rPr>
          <w:i/>
        </w:rPr>
        <w:t>O na </w:t>
      </w:r>
      <w:r w:rsidRPr="008A6C6E">
        <w:rPr>
          <w:i/>
        </w:rPr>
        <w:t>MZe, be</w:t>
      </w:r>
      <w:r w:rsidR="00962A95">
        <w:rPr>
          <w:i/>
        </w:rPr>
        <w:t>z </w:t>
      </w:r>
      <w:r w:rsidRPr="008A6C6E">
        <w:rPr>
          <w:i/>
        </w:rPr>
        <w:t>kteréh</w:t>
      </w:r>
      <w:r w:rsidR="00962A95">
        <w:rPr>
          <w:i/>
        </w:rPr>
        <w:t>o </w:t>
      </w:r>
      <w:r w:rsidRPr="008A6C6E">
        <w:rPr>
          <w:i/>
        </w:rPr>
        <w:t>nel</w:t>
      </w:r>
      <w:r w:rsidR="00962A95">
        <w:rPr>
          <w:i/>
        </w:rPr>
        <w:t>ze </w:t>
      </w:r>
      <w:r w:rsidRPr="008A6C6E">
        <w:rPr>
          <w:i/>
        </w:rPr>
        <w:t>jeh</w:t>
      </w:r>
      <w:r w:rsidR="00962A95">
        <w:rPr>
          <w:i/>
        </w:rPr>
        <w:t>o </w:t>
      </w:r>
      <w:r w:rsidRPr="008A6C6E">
        <w:rPr>
          <w:i/>
        </w:rPr>
        <w:t xml:space="preserve">systematickou kontrolu realizovat. </w:t>
      </w:r>
    </w:p>
    <w:p w14:paraId="45002A6B" w14:textId="7A1844E1" w:rsidR="00FC764C" w:rsidRPr="008A6C6E" w:rsidRDefault="00962A95" w:rsidP="00FC764C">
      <w:pPr>
        <w:pStyle w:val="normlntextvodstavcch"/>
        <w:spacing w:line="264" w:lineRule="auto"/>
        <w:rPr>
          <w:i/>
        </w:rPr>
      </w:pPr>
      <w:r>
        <w:rPr>
          <w:i/>
        </w:rPr>
        <w:t>Z </w:t>
      </w:r>
      <w:r w:rsidR="00FC764C" w:rsidRPr="008A6C6E">
        <w:rPr>
          <w:i/>
        </w:rPr>
        <w:t xml:space="preserve">výsledků analýzy </w:t>
      </w:r>
      <w:r>
        <w:rPr>
          <w:i/>
        </w:rPr>
        <w:t>za </w:t>
      </w:r>
      <w:r w:rsidR="00FC764C" w:rsidRPr="008A6C6E">
        <w:rPr>
          <w:i/>
        </w:rPr>
        <w:t>ro</w:t>
      </w:r>
      <w:r>
        <w:rPr>
          <w:i/>
        </w:rPr>
        <w:t>k </w:t>
      </w:r>
      <w:r w:rsidR="00FC764C" w:rsidRPr="008A6C6E">
        <w:rPr>
          <w:i/>
        </w:rPr>
        <w:t xml:space="preserve">2018 i </w:t>
      </w:r>
      <w:r>
        <w:rPr>
          <w:i/>
        </w:rPr>
        <w:t>z </w:t>
      </w:r>
      <w:r w:rsidR="00FC764C" w:rsidRPr="008A6C6E">
        <w:rPr>
          <w:i/>
        </w:rPr>
        <w:t>analý</w:t>
      </w:r>
      <w:r>
        <w:rPr>
          <w:i/>
        </w:rPr>
        <w:t>z </w:t>
      </w:r>
      <w:r w:rsidR="00FC764C" w:rsidRPr="008A6C6E">
        <w:rPr>
          <w:i/>
        </w:rPr>
        <w:t xml:space="preserve">let předchozích jednoznačně plyne, že problémy související s nízkou tvorbou prostředků </w:t>
      </w:r>
      <w:r>
        <w:rPr>
          <w:i/>
        </w:rPr>
        <w:t>na </w:t>
      </w:r>
      <w:r w:rsidR="00FC764C" w:rsidRPr="008A6C6E">
        <w:rPr>
          <w:i/>
        </w:rPr>
        <w:t>obnovu jsou přímým důsledkem vysokéh</w:t>
      </w:r>
      <w:r>
        <w:rPr>
          <w:i/>
        </w:rPr>
        <w:t>o </w:t>
      </w:r>
      <w:r w:rsidR="00FC764C" w:rsidRPr="008A6C6E">
        <w:rPr>
          <w:i/>
        </w:rPr>
        <w:t>stupně atomizace trhu. Tyt</w:t>
      </w:r>
      <w:r>
        <w:rPr>
          <w:i/>
        </w:rPr>
        <w:t>o </w:t>
      </w:r>
      <w:r w:rsidR="00FC764C" w:rsidRPr="008A6C6E">
        <w:rPr>
          <w:i/>
        </w:rPr>
        <w:t>problémy byly identifikovány zejmé</w:t>
      </w:r>
      <w:r>
        <w:rPr>
          <w:i/>
        </w:rPr>
        <w:t>na</w:t>
      </w:r>
      <w:r w:rsidR="00DE53F8">
        <w:rPr>
          <w:i/>
        </w:rPr>
        <w:t xml:space="preserve"> u </w:t>
      </w:r>
      <w:r w:rsidR="00FC764C" w:rsidRPr="008A6C6E">
        <w:rPr>
          <w:i/>
        </w:rPr>
        <w:t>vlastníků s nižší hodnotou VIM</w:t>
      </w:r>
      <w:r w:rsidR="00FC764C">
        <w:rPr>
          <w:i/>
        </w:rPr>
        <w:t xml:space="preserve"> </w:t>
      </w:r>
      <w:r w:rsidR="00FC764C" w:rsidRPr="008A6C6E">
        <w:rPr>
          <w:i/>
        </w:rPr>
        <w:t>a nízkým objemem fakturované vody. Závěry analý</w:t>
      </w:r>
      <w:r>
        <w:rPr>
          <w:i/>
        </w:rPr>
        <w:t>z </w:t>
      </w:r>
      <w:r w:rsidR="00FC764C" w:rsidRPr="008A6C6E">
        <w:rPr>
          <w:i/>
        </w:rPr>
        <w:t>ta</w:t>
      </w:r>
      <w:r>
        <w:rPr>
          <w:i/>
        </w:rPr>
        <w:t>k </w:t>
      </w:r>
      <w:r w:rsidR="00FC764C" w:rsidRPr="008A6C6E">
        <w:rPr>
          <w:i/>
        </w:rPr>
        <w:t>již několi</w:t>
      </w:r>
      <w:r>
        <w:rPr>
          <w:i/>
        </w:rPr>
        <w:t>k </w:t>
      </w:r>
      <w:r w:rsidR="00FC764C" w:rsidRPr="008A6C6E">
        <w:rPr>
          <w:i/>
        </w:rPr>
        <w:t xml:space="preserve">let upozorňují </w:t>
      </w:r>
      <w:r>
        <w:rPr>
          <w:i/>
        </w:rPr>
        <w:t>na </w:t>
      </w:r>
      <w:r w:rsidR="00FC764C" w:rsidRPr="008A6C6E">
        <w:rPr>
          <w:i/>
        </w:rPr>
        <w:t xml:space="preserve">to, že by se regulátor měl zaměřit </w:t>
      </w:r>
      <w:r>
        <w:rPr>
          <w:i/>
        </w:rPr>
        <w:t>na </w:t>
      </w:r>
      <w:r w:rsidR="00FC764C" w:rsidRPr="008A6C6E">
        <w:rPr>
          <w:i/>
        </w:rPr>
        <w:t>úpravu a vytváření podmíne</w:t>
      </w:r>
      <w:r>
        <w:rPr>
          <w:i/>
        </w:rPr>
        <w:t>k </w:t>
      </w:r>
      <w:r w:rsidR="00FC764C" w:rsidRPr="008A6C6E">
        <w:rPr>
          <w:i/>
        </w:rPr>
        <w:t>motivujících</w:t>
      </w:r>
      <w:r w:rsidR="00BD5FF3">
        <w:rPr>
          <w:i/>
        </w:rPr>
        <w:t xml:space="preserve"> ke </w:t>
      </w:r>
      <w:r w:rsidR="00FC764C" w:rsidRPr="008A6C6E">
        <w:rPr>
          <w:i/>
        </w:rPr>
        <w:t xml:space="preserve">vzniku větších vlastnických celků. Dalším problémem úzce souvisejícím s vysokým stupněm atomizace trhu a možností dosažení samofinancovatelnosti infrastruktury je </w:t>
      </w:r>
      <w:r w:rsidR="00BA616B">
        <w:rPr>
          <w:i/>
        </w:rPr>
        <w:t xml:space="preserve">slabší </w:t>
      </w:r>
      <w:r w:rsidR="00FC764C" w:rsidRPr="008A6C6E">
        <w:rPr>
          <w:i/>
        </w:rPr>
        <w:t>ekonomická výkonnost malých provozních celků a sociální omezení jejíh</w:t>
      </w:r>
      <w:r>
        <w:rPr>
          <w:i/>
        </w:rPr>
        <w:t>o </w:t>
      </w:r>
      <w:r w:rsidR="00BA616B">
        <w:rPr>
          <w:i/>
        </w:rPr>
        <w:t>zvyšován</w:t>
      </w:r>
      <w:r w:rsidR="00FC764C" w:rsidRPr="008A6C6E">
        <w:rPr>
          <w:i/>
        </w:rPr>
        <w:t>í. Naopa</w:t>
      </w:r>
      <w:r>
        <w:rPr>
          <w:i/>
        </w:rPr>
        <w:t>k </w:t>
      </w:r>
      <w:r w:rsidR="00FC764C" w:rsidRPr="008A6C6E">
        <w:rPr>
          <w:i/>
        </w:rPr>
        <w:t xml:space="preserve">snížení </w:t>
      </w:r>
      <w:r w:rsidR="00BA616B">
        <w:rPr>
          <w:i/>
        </w:rPr>
        <w:t xml:space="preserve">vysokého </w:t>
      </w:r>
      <w:r w:rsidR="00FC764C" w:rsidRPr="008A6C6E">
        <w:rPr>
          <w:i/>
        </w:rPr>
        <w:t xml:space="preserve">stupně atomizace trhu sebou přinese kromě úspor </w:t>
      </w:r>
      <w:r>
        <w:rPr>
          <w:i/>
        </w:rPr>
        <w:t>z </w:t>
      </w:r>
      <w:r w:rsidR="00FC764C" w:rsidRPr="008A6C6E">
        <w:rPr>
          <w:i/>
        </w:rPr>
        <w:t xml:space="preserve">rozsahu také zvýšení odborné úrovně </w:t>
      </w:r>
      <w:r>
        <w:rPr>
          <w:i/>
        </w:rPr>
        <w:t>v </w:t>
      </w:r>
      <w:r w:rsidR="00FC764C" w:rsidRPr="008A6C6E">
        <w:rPr>
          <w:i/>
        </w:rPr>
        <w:t>oblasti správy majetku a jeh</w:t>
      </w:r>
      <w:r>
        <w:rPr>
          <w:i/>
        </w:rPr>
        <w:t>o </w:t>
      </w:r>
      <w:r w:rsidR="00FC764C" w:rsidRPr="008A6C6E">
        <w:rPr>
          <w:i/>
        </w:rPr>
        <w:t xml:space="preserve">provozování. Podmínky </w:t>
      </w:r>
      <w:r>
        <w:rPr>
          <w:i/>
        </w:rPr>
        <w:t>pro </w:t>
      </w:r>
      <w:r w:rsidR="00FC764C" w:rsidRPr="008A6C6E">
        <w:rPr>
          <w:i/>
        </w:rPr>
        <w:t xml:space="preserve">snižování atomizace trhu by měly motivovat </w:t>
      </w:r>
      <w:r w:rsidR="00FC764C" w:rsidRPr="008A6C6E">
        <w:rPr>
          <w:i/>
        </w:rPr>
        <w:lastRenderedPageBreak/>
        <w:t>vlastníky VIM</w:t>
      </w:r>
      <w:r w:rsidR="00BD5FF3">
        <w:rPr>
          <w:i/>
        </w:rPr>
        <w:t xml:space="preserve"> ke </w:t>
      </w:r>
      <w:r w:rsidR="00FC764C" w:rsidRPr="008A6C6E">
        <w:rPr>
          <w:i/>
        </w:rPr>
        <w:t>vkládání majetku d</w:t>
      </w:r>
      <w:r>
        <w:rPr>
          <w:i/>
        </w:rPr>
        <w:t>o </w:t>
      </w:r>
      <w:r w:rsidR="00FC764C" w:rsidRPr="008A6C6E">
        <w:rPr>
          <w:i/>
        </w:rPr>
        <w:t>specializovaných právnických osob, které by měly být majetkově ovládány výhradně vlastníky VIM.</w:t>
      </w:r>
    </w:p>
    <w:p w14:paraId="3268278F" w14:textId="12FBD17B" w:rsidR="00FC764C" w:rsidRPr="008A6C6E" w:rsidRDefault="00FC764C" w:rsidP="00FC764C">
      <w:pPr>
        <w:pStyle w:val="normlntextvodstavcch"/>
        <w:spacing w:line="264" w:lineRule="auto"/>
        <w:rPr>
          <w:i/>
        </w:rPr>
      </w:pPr>
      <w:r w:rsidRPr="008A6C6E">
        <w:rPr>
          <w:i/>
        </w:rPr>
        <w:t>Proces snižování atomizace trhu by také mohl</w:t>
      </w:r>
      <w:r w:rsidR="00962A95">
        <w:rPr>
          <w:i/>
        </w:rPr>
        <w:t>o </w:t>
      </w:r>
      <w:r w:rsidRPr="008A6C6E">
        <w:rPr>
          <w:i/>
        </w:rPr>
        <w:t>podpořit stanovení pravidel výpočtu minimální výše nájemnéh</w:t>
      </w:r>
      <w:r w:rsidR="00962A95">
        <w:rPr>
          <w:i/>
        </w:rPr>
        <w:t>o </w:t>
      </w:r>
      <w:r w:rsidRPr="008A6C6E">
        <w:rPr>
          <w:i/>
        </w:rPr>
        <w:t>VIM (</w:t>
      </w:r>
      <w:r w:rsidR="00962A95">
        <w:rPr>
          <w:i/>
        </w:rPr>
        <w:t>v </w:t>
      </w:r>
      <w:r w:rsidRPr="008A6C6E">
        <w:rPr>
          <w:i/>
        </w:rPr>
        <w:t>případě oddílnéh</w:t>
      </w:r>
      <w:r w:rsidR="00962A95">
        <w:rPr>
          <w:i/>
        </w:rPr>
        <w:t>o </w:t>
      </w:r>
      <w:r w:rsidRPr="008A6C6E">
        <w:rPr>
          <w:i/>
        </w:rPr>
        <w:t>a kombinovanéh</w:t>
      </w:r>
      <w:r w:rsidR="00962A95">
        <w:rPr>
          <w:i/>
        </w:rPr>
        <w:t>o </w:t>
      </w:r>
      <w:r w:rsidRPr="008A6C6E">
        <w:rPr>
          <w:i/>
        </w:rPr>
        <w:t xml:space="preserve">modelu) a minimální výše ceny </w:t>
      </w:r>
      <w:r w:rsidR="00962A95">
        <w:rPr>
          <w:i/>
        </w:rPr>
        <w:t>pro </w:t>
      </w:r>
      <w:r w:rsidRPr="008A6C6E">
        <w:rPr>
          <w:i/>
        </w:rPr>
        <w:t>vodné a stočné (</w:t>
      </w:r>
      <w:r w:rsidR="00962A95">
        <w:rPr>
          <w:i/>
        </w:rPr>
        <w:t>v </w:t>
      </w:r>
      <w:r w:rsidRPr="008A6C6E">
        <w:rPr>
          <w:i/>
        </w:rPr>
        <w:t>případě smíšenéh</w:t>
      </w:r>
      <w:r w:rsidR="00962A95">
        <w:rPr>
          <w:i/>
        </w:rPr>
        <w:t>o </w:t>
      </w:r>
      <w:r w:rsidRPr="008A6C6E">
        <w:rPr>
          <w:i/>
        </w:rPr>
        <w:t>modelu).</w:t>
      </w:r>
    </w:p>
    <w:p w14:paraId="60C266DF" w14:textId="39128534" w:rsidR="00FC764C" w:rsidRPr="008A6C6E" w:rsidRDefault="00FC764C" w:rsidP="00FC764C">
      <w:pPr>
        <w:pStyle w:val="normlntextvodstavcch"/>
        <w:spacing w:line="264" w:lineRule="auto"/>
        <w:rPr>
          <w:i/>
        </w:rPr>
      </w:pPr>
      <w:r w:rsidRPr="008A6C6E">
        <w:rPr>
          <w:i/>
        </w:rPr>
        <w:t>Regulátor by se měl dále podrobněji zabývat vlastníky, kteří se záporným kalkulačním ziskem (tzn. dotací ceny</w:t>
      </w:r>
      <w:r>
        <w:rPr>
          <w:i/>
        </w:rPr>
        <w:t>) počítali</w:t>
      </w:r>
      <w:r w:rsidRPr="008A6C6E">
        <w:rPr>
          <w:i/>
        </w:rPr>
        <w:t xml:space="preserve"> </w:t>
      </w:r>
      <w:r>
        <w:rPr>
          <w:i/>
        </w:rPr>
        <w:t xml:space="preserve">již </w:t>
      </w:r>
      <w:r w:rsidR="00962A95">
        <w:rPr>
          <w:i/>
        </w:rPr>
        <w:t>při </w:t>
      </w:r>
      <w:r>
        <w:rPr>
          <w:i/>
        </w:rPr>
        <w:t xml:space="preserve">sestavování </w:t>
      </w:r>
      <w:r w:rsidRPr="008A6C6E">
        <w:rPr>
          <w:i/>
        </w:rPr>
        <w:t xml:space="preserve">kalkulace ceny </w:t>
      </w:r>
      <w:r w:rsidR="00962A95">
        <w:rPr>
          <w:i/>
        </w:rPr>
        <w:t>pro </w:t>
      </w:r>
      <w:r w:rsidRPr="008A6C6E">
        <w:rPr>
          <w:i/>
        </w:rPr>
        <w:t>vodné a stočné</w:t>
      </w:r>
      <w:r>
        <w:rPr>
          <w:i/>
        </w:rPr>
        <w:t>.</w:t>
      </w:r>
      <w:r w:rsidRPr="008A6C6E">
        <w:rPr>
          <w:i/>
        </w:rPr>
        <w:t xml:space="preserve"> </w:t>
      </w:r>
      <w:r w:rsidR="00962A95">
        <w:rPr>
          <w:i/>
        </w:rPr>
        <w:t>V </w:t>
      </w:r>
      <w:r w:rsidRPr="008A6C6E">
        <w:rPr>
          <w:i/>
        </w:rPr>
        <w:t>tomt</w:t>
      </w:r>
      <w:r w:rsidR="00962A95">
        <w:rPr>
          <w:i/>
        </w:rPr>
        <w:t>o </w:t>
      </w:r>
      <w:r w:rsidRPr="008A6C6E">
        <w:rPr>
          <w:i/>
        </w:rPr>
        <w:t xml:space="preserve">případě by se </w:t>
      </w:r>
      <w:r>
        <w:rPr>
          <w:i/>
        </w:rPr>
        <w:t xml:space="preserve">měl </w:t>
      </w:r>
      <w:r w:rsidRPr="008A6C6E">
        <w:rPr>
          <w:i/>
        </w:rPr>
        <w:t xml:space="preserve">regulátor zaměřit </w:t>
      </w:r>
      <w:r w:rsidR="00962A95">
        <w:rPr>
          <w:i/>
        </w:rPr>
        <w:t>na</w:t>
      </w:r>
      <w:r w:rsidR="00BA616B">
        <w:rPr>
          <w:i/>
        </w:rPr>
        <w:t xml:space="preserve"> zjištění</w:t>
      </w:r>
      <w:r w:rsidR="00962A95">
        <w:rPr>
          <w:i/>
        </w:rPr>
        <w:t> </w:t>
      </w:r>
      <w:r w:rsidRPr="008A6C6E">
        <w:rPr>
          <w:i/>
        </w:rPr>
        <w:t>motivac</w:t>
      </w:r>
      <w:r w:rsidR="00BA616B">
        <w:rPr>
          <w:i/>
        </w:rPr>
        <w:t>e</w:t>
      </w:r>
      <w:r>
        <w:rPr>
          <w:i/>
        </w:rPr>
        <w:t xml:space="preserve"> </w:t>
      </w:r>
      <w:r w:rsidR="00962A95">
        <w:rPr>
          <w:i/>
        </w:rPr>
        <w:t>k </w:t>
      </w:r>
      <w:r>
        <w:rPr>
          <w:i/>
        </w:rPr>
        <w:t>takovét</w:t>
      </w:r>
      <w:r w:rsidR="00962A95">
        <w:rPr>
          <w:i/>
        </w:rPr>
        <w:t>o </w:t>
      </w:r>
      <w:r>
        <w:rPr>
          <w:i/>
        </w:rPr>
        <w:t>cenové politice</w:t>
      </w:r>
      <w:r w:rsidRPr="008A6C6E">
        <w:rPr>
          <w:i/>
        </w:rPr>
        <w:t xml:space="preserve">, </w:t>
      </w:r>
      <w:r w:rsidR="00962A95">
        <w:rPr>
          <w:i/>
        </w:rPr>
        <w:t>na </w:t>
      </w:r>
      <w:r w:rsidRPr="008A6C6E">
        <w:rPr>
          <w:i/>
        </w:rPr>
        <w:t xml:space="preserve">ekonomickou situaci vlastníků a </w:t>
      </w:r>
      <w:r w:rsidR="00962A95">
        <w:rPr>
          <w:i/>
        </w:rPr>
        <w:t>na </w:t>
      </w:r>
      <w:r w:rsidRPr="008A6C6E">
        <w:rPr>
          <w:i/>
        </w:rPr>
        <w:t xml:space="preserve">úroveň plnění povinností </w:t>
      </w:r>
      <w:r w:rsidR="00962A95">
        <w:rPr>
          <w:i/>
        </w:rPr>
        <w:t>v </w:t>
      </w:r>
      <w:r w:rsidRPr="008A6C6E">
        <w:rPr>
          <w:i/>
        </w:rPr>
        <w:t>oblasti obnovy VIM.</w:t>
      </w:r>
    </w:p>
    <w:p w14:paraId="1CF1759F" w14:textId="73D34D07" w:rsidR="00636AF2" w:rsidRDefault="00FC764C" w:rsidP="00FC764C">
      <w:pPr>
        <w:spacing w:before="0" w:after="200" w:line="276" w:lineRule="auto"/>
        <w:contextualSpacing w:val="0"/>
        <w:rPr>
          <w:rFonts w:asciiTheme="minorHAnsi" w:hAnsiTheme="minorHAnsi"/>
          <w:noProof/>
        </w:rPr>
      </w:pPr>
      <w:r w:rsidRPr="008A6C6E">
        <w:rPr>
          <w:i/>
        </w:rPr>
        <w:t xml:space="preserve">Závěrem je nutné upozornit, že </w:t>
      </w:r>
      <w:r w:rsidR="00962A95">
        <w:rPr>
          <w:i/>
        </w:rPr>
        <w:t>v </w:t>
      </w:r>
      <w:r w:rsidRPr="008A6C6E">
        <w:rPr>
          <w:i/>
        </w:rPr>
        <w:t xml:space="preserve">zájmu zvýšení vypovídací schopnosti výsledků benchmarkingu a </w:t>
      </w:r>
      <w:r w:rsidR="00962A95">
        <w:rPr>
          <w:i/>
        </w:rPr>
        <w:t>v </w:t>
      </w:r>
      <w:r w:rsidRPr="008A6C6E">
        <w:rPr>
          <w:i/>
        </w:rPr>
        <w:t xml:space="preserve">zájmu zlepšení informovanosti odběratele </w:t>
      </w:r>
      <w:r w:rsidR="00962A95">
        <w:rPr>
          <w:i/>
        </w:rPr>
        <w:t>o </w:t>
      </w:r>
      <w:r w:rsidRPr="008A6C6E">
        <w:rPr>
          <w:i/>
        </w:rPr>
        <w:t>skutečné ceně služeb by měl</w:t>
      </w:r>
      <w:r w:rsidR="00962A95">
        <w:rPr>
          <w:i/>
        </w:rPr>
        <w:t>o </w:t>
      </w:r>
      <w:r w:rsidRPr="008A6C6E">
        <w:rPr>
          <w:i/>
        </w:rPr>
        <w:t>M</w:t>
      </w:r>
      <w:r w:rsidR="00962A95">
        <w:rPr>
          <w:i/>
        </w:rPr>
        <w:t>Ze </w:t>
      </w:r>
      <w:r w:rsidRPr="008A6C6E">
        <w:rPr>
          <w:i/>
        </w:rPr>
        <w:t>zpřísnit dohled nad plněním ustanovení §35a, odst. 7, vyhlášky č. 428/2001 Sb., tj. povinnosti započítat (</w:t>
      </w:r>
      <w:r>
        <w:rPr>
          <w:i/>
        </w:rPr>
        <w:t>popř</w:t>
      </w:r>
      <w:r w:rsidRPr="008A6C6E">
        <w:rPr>
          <w:i/>
        </w:rPr>
        <w:t xml:space="preserve">. </w:t>
      </w:r>
      <w:r>
        <w:rPr>
          <w:i/>
        </w:rPr>
        <w:t>vykázat</w:t>
      </w:r>
      <w:r w:rsidRPr="008A6C6E">
        <w:rPr>
          <w:i/>
        </w:rPr>
        <w:t>) všechny</w:t>
      </w:r>
      <w:r>
        <w:rPr>
          <w:i/>
        </w:rPr>
        <w:t xml:space="preserve"> </w:t>
      </w:r>
      <w:r w:rsidRPr="008A6C6E">
        <w:rPr>
          <w:i/>
        </w:rPr>
        <w:t xml:space="preserve">náklady související s poskytováním regulovaných služeb </w:t>
      </w:r>
      <w:r w:rsidR="00962A95">
        <w:rPr>
          <w:i/>
        </w:rPr>
        <w:t>v </w:t>
      </w:r>
      <w:r w:rsidRPr="008A6C6E">
        <w:rPr>
          <w:i/>
        </w:rPr>
        <w:t>oboru vodovodů a kanalizací d</w:t>
      </w:r>
      <w:r w:rsidR="00962A95">
        <w:rPr>
          <w:i/>
        </w:rPr>
        <w:t>o </w:t>
      </w:r>
      <w:r w:rsidRPr="008A6C6E">
        <w:rPr>
          <w:i/>
        </w:rPr>
        <w:t xml:space="preserve">ceny </w:t>
      </w:r>
      <w:r w:rsidR="00962A95">
        <w:rPr>
          <w:i/>
        </w:rPr>
        <w:t>pro </w:t>
      </w:r>
      <w:r w:rsidRPr="008A6C6E">
        <w:rPr>
          <w:i/>
        </w:rPr>
        <w:t xml:space="preserve">vodné a </w:t>
      </w:r>
      <w:r w:rsidR="00962A95">
        <w:rPr>
          <w:i/>
        </w:rPr>
        <w:t>pro </w:t>
      </w:r>
      <w:r w:rsidRPr="008A6C6E">
        <w:rPr>
          <w:i/>
        </w:rPr>
        <w:t>stočné</w:t>
      </w:r>
      <w:r>
        <w:rPr>
          <w:i/>
        </w:rPr>
        <w:t xml:space="preserve"> </w:t>
      </w:r>
      <w:r w:rsidR="00962A95">
        <w:rPr>
          <w:i/>
        </w:rPr>
        <w:t>v </w:t>
      </w:r>
      <w:r>
        <w:rPr>
          <w:i/>
        </w:rPr>
        <w:t>plné výši</w:t>
      </w:r>
      <w:r w:rsidRPr="008A6C6E">
        <w:rPr>
          <w:i/>
        </w:rPr>
        <w:t>. M</w:t>
      </w:r>
      <w:r w:rsidR="00962A95">
        <w:rPr>
          <w:i/>
        </w:rPr>
        <w:t>Ze </w:t>
      </w:r>
      <w:r w:rsidRPr="008A6C6E">
        <w:rPr>
          <w:i/>
        </w:rPr>
        <w:t>by měl</w:t>
      </w:r>
      <w:r w:rsidR="00962A95">
        <w:rPr>
          <w:i/>
        </w:rPr>
        <w:t>o </w:t>
      </w:r>
      <w:r w:rsidRPr="008A6C6E">
        <w:rPr>
          <w:i/>
        </w:rPr>
        <w:t xml:space="preserve">pokračovat </w:t>
      </w:r>
      <w:r w:rsidR="00962A95">
        <w:rPr>
          <w:i/>
        </w:rPr>
        <w:t>v </w:t>
      </w:r>
      <w:r w:rsidRPr="008A6C6E">
        <w:rPr>
          <w:i/>
        </w:rPr>
        <w:t xml:space="preserve">jednání s MF </w:t>
      </w:r>
      <w:r w:rsidR="00962A95">
        <w:rPr>
          <w:i/>
        </w:rPr>
        <w:t>o </w:t>
      </w:r>
      <w:r w:rsidRPr="008A6C6E">
        <w:rPr>
          <w:i/>
        </w:rPr>
        <w:t xml:space="preserve">sladění svých požadavků </w:t>
      </w:r>
      <w:r w:rsidR="00962A95">
        <w:rPr>
          <w:i/>
        </w:rPr>
        <w:t>na </w:t>
      </w:r>
      <w:r w:rsidRPr="008A6C6E">
        <w:rPr>
          <w:i/>
        </w:rPr>
        <w:t xml:space="preserve">vykazování veškerých ekonomicky oprávněných nákladů </w:t>
      </w:r>
      <w:r w:rsidR="00962A95">
        <w:rPr>
          <w:i/>
        </w:rPr>
        <w:t>v </w:t>
      </w:r>
      <w:r w:rsidRPr="008A6C6E">
        <w:rPr>
          <w:i/>
        </w:rPr>
        <w:t>Porovnání s cenovými předpisy a kontrolními postupy MF. Dokud se problém nedostatk</w:t>
      </w:r>
      <w:r>
        <w:rPr>
          <w:i/>
        </w:rPr>
        <w:t>ů</w:t>
      </w:r>
      <w:r w:rsidRPr="008A6C6E">
        <w:rPr>
          <w:i/>
        </w:rPr>
        <w:t xml:space="preserve"> </w:t>
      </w:r>
      <w:r w:rsidR="00962A95">
        <w:rPr>
          <w:i/>
        </w:rPr>
        <w:t>ve </w:t>
      </w:r>
      <w:r w:rsidRPr="008A6C6E">
        <w:rPr>
          <w:i/>
        </w:rPr>
        <w:t xml:space="preserve">vykazování nákladů </w:t>
      </w:r>
      <w:r w:rsidR="00962A95">
        <w:rPr>
          <w:i/>
        </w:rPr>
        <w:t>v </w:t>
      </w:r>
      <w:r w:rsidRPr="008A6C6E">
        <w:rPr>
          <w:i/>
        </w:rPr>
        <w:t>Porovnání nevyřeší, bude relevantnost výstupů benchmarkingu nepochybně snížená, což negativně ovlivňuje efektivnost a účinnost</w:t>
      </w:r>
      <w:r>
        <w:rPr>
          <w:i/>
        </w:rPr>
        <w:t xml:space="preserve"> </w:t>
      </w:r>
      <w:r w:rsidRPr="008A6C6E">
        <w:rPr>
          <w:i/>
        </w:rPr>
        <w:t>rozhodnutí regulátora.</w:t>
      </w:r>
    </w:p>
    <w:p w14:paraId="1577E3C3" w14:textId="77777777" w:rsidR="005A127A" w:rsidRDefault="005A127A">
      <w:pPr>
        <w:spacing w:before="0" w:after="160" w:line="259" w:lineRule="auto"/>
        <w:contextualSpacing w:val="0"/>
        <w:jc w:val="left"/>
        <w:rPr>
          <w:rFonts w:eastAsia="Times New Roman"/>
          <w:noProof/>
          <w:color w:val="243F60"/>
          <w:szCs w:val="24"/>
        </w:rPr>
      </w:pPr>
      <w:r>
        <w:rPr>
          <w:rFonts w:eastAsia="Times New Roman"/>
          <w:noProof/>
          <w:color w:val="243F60"/>
          <w:szCs w:val="24"/>
        </w:rPr>
        <w:br w:type="page"/>
      </w:r>
    </w:p>
    <w:p w14:paraId="33696F4E" w14:textId="77777777" w:rsidR="005A127A" w:rsidRPr="00C62639" w:rsidRDefault="005A127A" w:rsidP="005A127A">
      <w:pPr>
        <w:pStyle w:val="Nadpis1"/>
        <w:rPr>
          <w:rFonts w:asciiTheme="minorHAnsi" w:eastAsia="Calibri" w:hAnsiTheme="minorHAnsi"/>
          <w:noProof/>
        </w:rPr>
      </w:pPr>
      <w:bookmarkStart w:id="81" w:name="_Toc963491"/>
      <w:bookmarkStart w:id="82" w:name="_Toc34210403"/>
      <w:r w:rsidRPr="00C62639">
        <w:rPr>
          <w:rFonts w:asciiTheme="minorHAnsi" w:eastAsia="Calibri" w:hAnsiTheme="minorHAnsi"/>
          <w:noProof/>
        </w:rPr>
        <w:lastRenderedPageBreak/>
        <w:t>Benchmarking provozovatelských subjektů 201</w:t>
      </w:r>
      <w:bookmarkEnd w:id="81"/>
      <w:r w:rsidR="00D6600E">
        <w:rPr>
          <w:rFonts w:asciiTheme="minorHAnsi" w:eastAsia="Calibri" w:hAnsiTheme="minorHAnsi"/>
          <w:noProof/>
        </w:rPr>
        <w:t>8</w:t>
      </w:r>
      <w:bookmarkEnd w:id="82"/>
    </w:p>
    <w:p w14:paraId="6EDFD767" w14:textId="77777777" w:rsidR="005A127A" w:rsidRPr="00C62639" w:rsidRDefault="005A127A" w:rsidP="005A127A">
      <w:pPr>
        <w:pStyle w:val="Nadpis2"/>
        <w:rPr>
          <w:rFonts w:asciiTheme="minorHAnsi" w:eastAsia="Calibri" w:hAnsiTheme="minorHAnsi"/>
          <w:noProof/>
        </w:rPr>
      </w:pPr>
      <w:bookmarkStart w:id="83" w:name="_Toc963492"/>
      <w:bookmarkStart w:id="84" w:name="_Toc34210404"/>
      <w:r w:rsidRPr="00C62639">
        <w:rPr>
          <w:rFonts w:asciiTheme="minorHAnsi" w:eastAsia="Calibri" w:hAnsiTheme="minorHAnsi"/>
          <w:noProof/>
        </w:rPr>
        <w:t>Cíl zprávy</w:t>
      </w:r>
      <w:bookmarkEnd w:id="83"/>
      <w:bookmarkEnd w:id="84"/>
    </w:p>
    <w:p w14:paraId="1C5782FB" w14:textId="168FB6F5" w:rsidR="00D6600E" w:rsidRDefault="00D6600E" w:rsidP="00D6600E">
      <w:pPr>
        <w:pStyle w:val="NORMLN0"/>
      </w:pPr>
      <w:bookmarkStart w:id="85" w:name="_Toc963493"/>
      <w:r>
        <w:t>Benchmarking provozovatelských subjektů analyzuje informace týkajících se zejmé</w:t>
      </w:r>
      <w:r w:rsidR="00962A95">
        <w:t>na </w:t>
      </w:r>
      <w:r>
        <w:t>cenotvorby, kvality poskytovaných služeb a ochrany životníh</w:t>
      </w:r>
      <w:r w:rsidR="00962A95">
        <w:t>o </w:t>
      </w:r>
      <w:r>
        <w:t>pr</w:t>
      </w:r>
      <w:r w:rsidR="00BA616B">
        <w:t>ostředí s cílem posoudit, zda</w:t>
      </w:r>
      <w:r>
        <w:t xml:space="preserve"> byl</w:t>
      </w:r>
      <w:r w:rsidR="00962A95">
        <w:t>o </w:t>
      </w:r>
      <w:r>
        <w:t>provozování VIM realizován</w:t>
      </w:r>
      <w:r w:rsidR="00962A95">
        <w:t>o </w:t>
      </w:r>
      <w:r w:rsidRPr="00E27252">
        <w:t xml:space="preserve">způsobem, který </w:t>
      </w:r>
      <w:r w:rsidR="00962A95">
        <w:t>z </w:t>
      </w:r>
      <w:r w:rsidRPr="00E27252">
        <w:t>dlouhodobéh</w:t>
      </w:r>
      <w:r w:rsidR="00962A95">
        <w:t>o </w:t>
      </w:r>
      <w:r w:rsidRPr="00E27252">
        <w:t xml:space="preserve">hlediska sleduje plnění záměrů regulace oboru VaK. </w:t>
      </w:r>
      <w:r w:rsidR="00962A95">
        <w:t>Na </w:t>
      </w:r>
      <w:r>
        <w:t>základě zjištěných hodnot ukazatelů byla popsá</w:t>
      </w:r>
      <w:r w:rsidR="00962A95">
        <w:t>na </w:t>
      </w:r>
      <w:r>
        <w:t>a vyhodnoce</w:t>
      </w:r>
      <w:r w:rsidR="005852A3">
        <w:t xml:space="preserve">na </w:t>
      </w:r>
      <w:r>
        <w:t xml:space="preserve">činnost provozovatelských subjektů </w:t>
      </w:r>
      <w:r w:rsidR="005852A3">
        <w:t xml:space="preserve">za </w:t>
      </w:r>
      <w:r>
        <w:t>ro</w:t>
      </w:r>
      <w:r w:rsidR="005852A3">
        <w:t xml:space="preserve">k </w:t>
      </w:r>
      <w:r>
        <w:t xml:space="preserve">2018 </w:t>
      </w:r>
      <w:r w:rsidR="00962A95">
        <w:t>z </w:t>
      </w:r>
      <w:r>
        <w:t xml:space="preserve">pohledu odběratele a regulátora </w:t>
      </w:r>
      <w:r w:rsidR="00962A95">
        <w:t>v </w:t>
      </w:r>
      <w:r>
        <w:t xml:space="preserve">jednotlivých velikostních skupinách se zaměřením </w:t>
      </w:r>
      <w:r w:rsidR="00962A95">
        <w:t>na </w:t>
      </w:r>
      <w:r>
        <w:t xml:space="preserve">ekonomické, výrobní, personální a popřípadě environmentální ukazatele. </w:t>
      </w:r>
    </w:p>
    <w:p w14:paraId="644894B3" w14:textId="52B9DDA0" w:rsidR="00D6600E" w:rsidRDefault="00962A95" w:rsidP="00D6600E">
      <w:pPr>
        <w:pStyle w:val="NORMLN0"/>
      </w:pPr>
      <w:r>
        <w:t>V </w:t>
      </w:r>
      <w:r w:rsidR="00D6600E">
        <w:t>jednotlivých skupinách provozovatelských subjektů byla identifiková</w:t>
      </w:r>
      <w:r>
        <w:t>na </w:t>
      </w:r>
      <w:r w:rsidR="00D6600E">
        <w:t>Porovnání, která splňovala kritéria zohledňující plnění záměrů regulace a</w:t>
      </w:r>
      <w:r w:rsidR="00D6600E" w:rsidRPr="00E27252">
        <w:t xml:space="preserve"> zároveň </w:t>
      </w:r>
      <w:r w:rsidR="00D6600E">
        <w:t xml:space="preserve">byly </w:t>
      </w:r>
      <w:r w:rsidR="00D6600E" w:rsidRPr="00E27252">
        <w:t>identifikov</w:t>
      </w:r>
      <w:r w:rsidR="00D6600E">
        <w:t>ány</w:t>
      </w:r>
      <w:r w:rsidR="00D6600E" w:rsidRPr="00E27252">
        <w:t xml:space="preserve"> subjekty,</w:t>
      </w:r>
      <w:r w:rsidR="00D6600E">
        <w:t xml:space="preserve"> resp. Porovnání,</w:t>
      </w:r>
      <w:r w:rsidR="00D6600E" w:rsidRPr="00E27252">
        <w:t xml:space="preserve"> jejichž výsledky l</w:t>
      </w:r>
      <w:r>
        <w:t>ze </w:t>
      </w:r>
      <w:r w:rsidR="00D6600E" w:rsidRPr="00E27252">
        <w:t xml:space="preserve">považovat </w:t>
      </w:r>
      <w:r>
        <w:t>za </w:t>
      </w:r>
      <w:r w:rsidR="00D6600E" w:rsidRPr="00E27252">
        <w:t xml:space="preserve">anomálie </w:t>
      </w:r>
      <w:r>
        <w:t>ve </w:t>
      </w:r>
      <w:r w:rsidR="00D6600E" w:rsidRPr="00E27252">
        <w:t>vztahu</w:t>
      </w:r>
      <w:r w:rsidR="00BD5FF3">
        <w:t xml:space="preserve"> ke </w:t>
      </w:r>
      <w:r w:rsidR="00D6600E" w:rsidRPr="00E27252">
        <w:t>středním hodnotám (průměr, popř. medián) skupiny.</w:t>
      </w:r>
      <w:r w:rsidR="00D6600E">
        <w:t xml:space="preserve"> Všech</w:t>
      </w:r>
      <w:r>
        <w:t>na </w:t>
      </w:r>
      <w:r w:rsidR="00D6600E">
        <w:t xml:space="preserve">analyzovaná Porovnání s vybranými ukazateli </w:t>
      </w:r>
      <w:r w:rsidR="005852A3">
        <w:t xml:space="preserve">ze souvisejících </w:t>
      </w:r>
      <w:r w:rsidR="00D6600E">
        <w:t>VÚME a VÚPE a identifikovanými anomáliemi jsou zveřejně</w:t>
      </w:r>
      <w:r w:rsidR="005852A3">
        <w:t xml:space="preserve">na </w:t>
      </w:r>
      <w:r>
        <w:t>na </w:t>
      </w:r>
      <w:r w:rsidR="00D6600E">
        <w:t>webových stránkách M</w:t>
      </w:r>
      <w:r>
        <w:t>Ze v </w:t>
      </w:r>
      <w:r w:rsidR="00D6600E">
        <w:t xml:space="preserve">souborech </w:t>
      </w:r>
      <w:r>
        <w:t>ve </w:t>
      </w:r>
      <w:r w:rsidR="00D6600E" w:rsidRPr="004A6867">
        <w:t>formátu *.xls.</w:t>
      </w:r>
      <w:r w:rsidR="00371EFB">
        <w:t xml:space="preserve"> </w:t>
      </w:r>
    </w:p>
    <w:p w14:paraId="4F7D75BC" w14:textId="4619F277" w:rsidR="005A127A" w:rsidRPr="00C62639" w:rsidRDefault="00D6600E" w:rsidP="00D6600E">
      <w:pPr>
        <w:pStyle w:val="Nadpis2"/>
        <w:rPr>
          <w:rFonts w:eastAsia="Calibri Light"/>
          <w:noProof/>
        </w:rPr>
      </w:pPr>
      <w:bookmarkStart w:id="86" w:name="_Toc963494"/>
      <w:bookmarkEnd w:id="85"/>
      <w:r>
        <w:rPr>
          <w:rFonts w:eastAsia="Calibri Light"/>
          <w:noProof/>
        </w:rPr>
        <w:t xml:space="preserve"> </w:t>
      </w:r>
      <w:bookmarkStart w:id="87" w:name="_Toc34210405"/>
      <w:r w:rsidR="005A127A" w:rsidRPr="00C62639">
        <w:rPr>
          <w:rFonts w:eastAsia="Calibri Light"/>
          <w:noProof/>
        </w:rPr>
        <w:t>Vodovod</w:t>
      </w:r>
      <w:bookmarkEnd w:id="86"/>
      <w:bookmarkEnd w:id="87"/>
    </w:p>
    <w:p w14:paraId="1B1A9DEB" w14:textId="20A2D480" w:rsidR="00D6600E" w:rsidRDefault="00962A95" w:rsidP="00D6600E">
      <w:pPr>
        <w:pStyle w:val="NORMLN0"/>
      </w:pPr>
      <w:r>
        <w:t>Na </w:t>
      </w:r>
      <w:r w:rsidR="00D6600E">
        <w:t>základě připomíne</w:t>
      </w:r>
      <w:r>
        <w:t>k </w:t>
      </w:r>
      <w:r w:rsidR="00D6600E">
        <w:t>odborné veřejnosti byl</w:t>
      </w:r>
      <w:r>
        <w:t>o </w:t>
      </w:r>
      <w:r w:rsidR="00D6600E">
        <w:t>obdobně jak</w:t>
      </w:r>
      <w:r>
        <w:t>o</w:t>
      </w:r>
      <w:r w:rsidR="00DE53F8">
        <w:t xml:space="preserve"> u </w:t>
      </w:r>
      <w:r w:rsidR="00D6600E">
        <w:t>benchmarkingu vlastnických subjektů přistoupen</w:t>
      </w:r>
      <w:r>
        <w:t>o k </w:t>
      </w:r>
      <w:r w:rsidR="00D6600E">
        <w:t xml:space="preserve">rozdělení anomálií </w:t>
      </w:r>
      <w:r>
        <w:t>na </w:t>
      </w:r>
      <w:r w:rsidR="00D6600E">
        <w:t xml:space="preserve">dvě kategorie. První je spojená s chybným vykazováním dat a druhá je složená </w:t>
      </w:r>
      <w:r>
        <w:t>z </w:t>
      </w:r>
      <w:r w:rsidR="00D6600E">
        <w:t xml:space="preserve">anomálii upozorňujících </w:t>
      </w:r>
      <w:r>
        <w:t>na </w:t>
      </w:r>
      <w:r w:rsidR="00D6600E">
        <w:t>nedostatky indikující neplnění regulačních záměrů neb</w:t>
      </w:r>
      <w:r>
        <w:t>o </w:t>
      </w:r>
      <w:r w:rsidR="00D6600E">
        <w:t xml:space="preserve">legislativních předpisů. </w:t>
      </w:r>
    </w:p>
    <w:p w14:paraId="6728F412" w14:textId="77777777" w:rsidR="00D6600E" w:rsidRDefault="00D6600E" w:rsidP="00D6600E">
      <w:pPr>
        <w:pStyle w:val="Nadpis3"/>
        <w:rPr>
          <w:noProof/>
        </w:rPr>
      </w:pPr>
      <w:bookmarkStart w:id="88" w:name="_Toc34210406"/>
      <w:r>
        <w:rPr>
          <w:noProof/>
        </w:rPr>
        <w:t>Chybné vykazování dat</w:t>
      </w:r>
      <w:bookmarkEnd w:id="88"/>
    </w:p>
    <w:p w14:paraId="29283D1E" w14:textId="55568361" w:rsidR="00D6600E" w:rsidRDefault="00D6600E" w:rsidP="00D6600E">
      <w:pPr>
        <w:pStyle w:val="NORMLN0"/>
      </w:pPr>
      <w:r>
        <w:t xml:space="preserve">Podle údajů </w:t>
      </w:r>
      <w:r w:rsidR="00962A95">
        <w:t>z </w:t>
      </w:r>
      <w:r>
        <w:t>následujících tabule</w:t>
      </w:r>
      <w:r w:rsidR="00962A95">
        <w:t>k </w:t>
      </w:r>
      <w:r>
        <w:t>l</w:t>
      </w:r>
      <w:r w:rsidR="00962A95">
        <w:t>ze </w:t>
      </w:r>
      <w:r>
        <w:t xml:space="preserve">konstatovat, že </w:t>
      </w:r>
      <w:r w:rsidR="00962A95">
        <w:t>z </w:t>
      </w:r>
      <w:r>
        <w:t xml:space="preserve">analyzovaných 2 031 Porovnání se </w:t>
      </w:r>
      <w:r w:rsidR="00962A95">
        <w:t>v </w:t>
      </w:r>
      <w:r>
        <w:t xml:space="preserve">389 případech (tj. 4,38 % </w:t>
      </w:r>
      <w:r w:rsidR="00962A95">
        <w:t>z </w:t>
      </w:r>
      <w:r>
        <w:t>celkovéh</w:t>
      </w:r>
      <w:r w:rsidR="00962A95">
        <w:t>o </w:t>
      </w:r>
      <w:r>
        <w:t xml:space="preserve">počtu) vyskytuje chybné vykazování dat (nejčastěji </w:t>
      </w:r>
      <w:r w:rsidR="00962A95">
        <w:t>v </w:t>
      </w:r>
      <w:r>
        <w:t xml:space="preserve">VII. a VIII. provozovatelské skupině). </w:t>
      </w:r>
    </w:p>
    <w:p w14:paraId="07BD74EE" w14:textId="77777777" w:rsidR="00D6600E" w:rsidRPr="00744E5A" w:rsidRDefault="00D6600E" w:rsidP="00D6600E"/>
    <w:tbl>
      <w:tblPr>
        <w:tblW w:w="524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984"/>
        <w:gridCol w:w="2316"/>
        <w:gridCol w:w="1890"/>
        <w:gridCol w:w="1694"/>
      </w:tblGrid>
      <w:tr w:rsidR="00D6600E" w:rsidRPr="007352E5" w14:paraId="3312E94B" w14:textId="77777777" w:rsidTr="002358D5">
        <w:trPr>
          <w:trHeight w:val="585"/>
        </w:trPr>
        <w:tc>
          <w:tcPr>
            <w:tcW w:w="1383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0A3B7773" w14:textId="52259B4D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SKUPI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PROVOZOVATELŮ</w:t>
            </w:r>
          </w:p>
        </w:tc>
        <w:tc>
          <w:tcPr>
            <w:tcW w:w="51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266237F8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NULOVÉ ZTRÁTY</w:t>
            </w:r>
          </w:p>
        </w:tc>
        <w:tc>
          <w:tcPr>
            <w:tcW w:w="121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2109D99F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NULOVÝ POČET ZAMĚSTNANCŮ + VYKÁZANÉ MZDOVÉ NÁKLADY</w:t>
            </w:r>
          </w:p>
        </w:tc>
        <w:tc>
          <w:tcPr>
            <w:tcW w:w="993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11EE68E7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SOUČET VÝSKYTU</w:t>
            </w:r>
          </w:p>
        </w:tc>
        <w:tc>
          <w:tcPr>
            <w:tcW w:w="890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023B2BF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POČET P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OROVNÁNÍ S ALESPOŇ JEDNOU ANOMÁLIÍ</w:t>
            </w:r>
          </w:p>
        </w:tc>
      </w:tr>
      <w:tr w:rsidR="00D6600E" w:rsidRPr="007352E5" w14:paraId="527D977E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bottom"/>
            <w:hideMark/>
          </w:tcPr>
          <w:p w14:paraId="778CA30F" w14:textId="79A9E77D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(&gt;500 000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9586BD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02EC90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DE3509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3498518F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D6600E" w:rsidRPr="007352E5" w14:paraId="453E5394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bottom"/>
            <w:hideMark/>
          </w:tcPr>
          <w:p w14:paraId="37298D9F" w14:textId="7B899954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(&gt;200 000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02AE63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8CF144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B493C5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239C7B99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D6600E" w:rsidRPr="007352E5" w14:paraId="73004D67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bottom"/>
            <w:hideMark/>
          </w:tcPr>
          <w:p w14:paraId="03193B0C" w14:textId="7BB323CB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(&gt;100 000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9FAEC82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A503D6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351554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4241D7C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D6600E" w:rsidRPr="007352E5" w14:paraId="67122E4B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bottom"/>
            <w:hideMark/>
          </w:tcPr>
          <w:p w14:paraId="6DA64D45" w14:textId="663A59EC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(&gt;50 000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FEF3CC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7FBDA70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3F7D859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6633AA1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6600E" w:rsidRPr="007352E5" w14:paraId="6EAA1D03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bottom"/>
            <w:hideMark/>
          </w:tcPr>
          <w:p w14:paraId="3F86D494" w14:textId="62F3CDF6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(&gt;10 000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29609B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1002E37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EF9C14F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0E79B890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6600E" w:rsidRPr="007352E5" w14:paraId="6CD754A0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bottom"/>
            <w:hideMark/>
          </w:tcPr>
          <w:p w14:paraId="0F27FED8" w14:textId="00890DA1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(&gt;1 000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C685699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9CEF2E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349D1D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32045FA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D6600E" w:rsidRPr="007352E5" w14:paraId="72FDD0FB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bottom"/>
            <w:hideMark/>
          </w:tcPr>
          <w:p w14:paraId="1BD663BB" w14:textId="39B46CF3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(&gt;300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ABCBC1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588E9A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0781B42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4ABA9548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91</w:t>
            </w:r>
          </w:p>
        </w:tc>
      </w:tr>
      <w:tr w:rsidR="00D6600E" w:rsidRPr="007352E5" w14:paraId="1D5F3C9A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bottom"/>
            <w:hideMark/>
          </w:tcPr>
          <w:p w14:paraId="0E47279F" w14:textId="636C7558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(&lt;300 PŘ.OB.)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AC7AAB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8EE2CC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24382AB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19CB0A8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273</w:t>
            </w:r>
          </w:p>
        </w:tc>
      </w:tr>
      <w:tr w:rsidR="00D6600E" w:rsidRPr="007352E5" w14:paraId="45E7681D" w14:textId="77777777" w:rsidTr="002358D5">
        <w:trPr>
          <w:trHeight w:val="195"/>
        </w:trPr>
        <w:tc>
          <w:tcPr>
            <w:tcW w:w="1383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bottom"/>
            <w:hideMark/>
          </w:tcPr>
          <w:p w14:paraId="69A4A0D5" w14:textId="77777777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CEL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51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BBAF0C1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121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DB31319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9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9F09101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vAlign w:val="center"/>
            <w:hideMark/>
          </w:tcPr>
          <w:p w14:paraId="7CF7B4F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  <w:t>389</w:t>
            </w:r>
          </w:p>
        </w:tc>
      </w:tr>
    </w:tbl>
    <w:p w14:paraId="5991F37B" w14:textId="77777777" w:rsidR="00D6600E" w:rsidRDefault="00D6600E" w:rsidP="00D6600E"/>
    <w:p w14:paraId="4F369272" w14:textId="77777777" w:rsidR="00D6600E" w:rsidRDefault="00D6600E" w:rsidP="00D6600E"/>
    <w:p w14:paraId="7B9CF44E" w14:textId="43EE2130" w:rsidR="00D6600E" w:rsidRDefault="00962A95" w:rsidP="00D6600E">
      <w:pPr>
        <w:ind w:firstLine="567"/>
      </w:pPr>
      <w:r>
        <w:lastRenderedPageBreak/>
        <w:t>Z </w:t>
      </w:r>
      <w:r w:rsidR="00D6600E">
        <w:t>hlediska objemu fakturované vody je chybným vykazováním ovlivněn jen 3,29% podíl analyzovanéh</w:t>
      </w:r>
      <w:r>
        <w:t>o </w:t>
      </w:r>
      <w:r w:rsidR="00D6600E">
        <w:t>trhu (15,71 mil. m3 fakturované pitné vody).</w:t>
      </w:r>
    </w:p>
    <w:p w14:paraId="4F554CD2" w14:textId="77777777" w:rsidR="00D6600E" w:rsidRPr="007352E5" w:rsidRDefault="00D6600E" w:rsidP="00D6600E"/>
    <w:tbl>
      <w:tblPr>
        <w:tblW w:w="54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056"/>
        <w:gridCol w:w="1346"/>
        <w:gridCol w:w="891"/>
        <w:gridCol w:w="1530"/>
        <w:gridCol w:w="1272"/>
        <w:gridCol w:w="1419"/>
      </w:tblGrid>
      <w:tr w:rsidR="00D6600E" w:rsidRPr="007352E5" w14:paraId="1EA2EA0A" w14:textId="77777777" w:rsidTr="000D0294">
        <w:trPr>
          <w:trHeight w:val="976"/>
          <w:jc w:val="center"/>
        </w:trPr>
        <w:tc>
          <w:tcPr>
            <w:tcW w:w="121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1670F121" w14:textId="41FB10C8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SKUPI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cs-CZ"/>
              </w:rPr>
              <w:t>PROVOZOVATELŮ</w:t>
            </w:r>
          </w:p>
        </w:tc>
        <w:tc>
          <w:tcPr>
            <w:tcW w:w="53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05DF347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OBJEM_NULOVÉ ZTRÁTY</w:t>
            </w:r>
          </w:p>
        </w:tc>
        <w:tc>
          <w:tcPr>
            <w:tcW w:w="67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EED6D69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OBJEM_NULOVÝ POČET ZAMĚSTNANCŮ + VYKÁZANÉ MZDOVÉ NÁKLADY</w:t>
            </w:r>
          </w:p>
        </w:tc>
        <w:tc>
          <w:tcPr>
            <w:tcW w:w="44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58B325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SOUČET OBJEMŮ VÝSKYTU ANOMÁLII</w:t>
            </w:r>
          </w:p>
        </w:tc>
        <w:tc>
          <w:tcPr>
            <w:tcW w:w="77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817A566" w14:textId="24DF3A55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V 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MIL. M3S JEDNOU NEB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O 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VÍCER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O 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ANOMÁLIEMI</w:t>
            </w:r>
          </w:p>
        </w:tc>
        <w:tc>
          <w:tcPr>
            <w:tcW w:w="64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1E3119D1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OBJEM FAKTUROVANÉ VODY</w:t>
            </w:r>
          </w:p>
        </w:tc>
        <w:tc>
          <w:tcPr>
            <w:tcW w:w="715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5CB81FA5" w14:textId="6BFDC880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 xml:space="preserve">% OBJEMU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18"/>
                <w:szCs w:val="18"/>
                <w:lang w:eastAsia="cs-CZ"/>
              </w:rPr>
              <w:t>CELKOVÉM OBJEMU FAKTUROVANÉ VODY</w:t>
            </w:r>
          </w:p>
        </w:tc>
      </w:tr>
      <w:tr w:rsidR="00D6600E" w:rsidRPr="007352E5" w14:paraId="07E4A76F" w14:textId="77777777" w:rsidTr="000D0294">
        <w:trPr>
          <w:trHeight w:val="253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AF94717" w14:textId="16D97FB7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(&gt;500 000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82925C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D9C31C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C2E15A0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F008AC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2D873C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167,30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74DE1BF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D6600E" w:rsidRPr="007352E5" w14:paraId="7CA9C591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9F7FDCD" w14:textId="34C95871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(&gt;200 000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9D08F51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116FB3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9AFDF7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B1DCA4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0E6D5FF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51,33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12AC724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D6600E" w:rsidRPr="007352E5" w14:paraId="619B329F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80D4477" w14:textId="219372EF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(&gt;100 000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0083536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5EE4A5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1A77AE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1237ED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9C69092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65,45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71A4FD6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D6600E" w:rsidRPr="007352E5" w14:paraId="362FB7F5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9F1F546" w14:textId="75784F0E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IV.SKUPI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(&gt;50 000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25B4D67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3B5537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5,96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E50D1F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5,96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D944F6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5,96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DB78F6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69,86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5605C3A7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8,53%</w:t>
            </w:r>
          </w:p>
        </w:tc>
      </w:tr>
      <w:tr w:rsidR="00D6600E" w:rsidRPr="007352E5" w14:paraId="61424B78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FB1071F" w14:textId="2B274F3C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(&gt;10 000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56B174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0,25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869425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0,72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9237A0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0,96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10DE1CD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0,96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C9C14DF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55,47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5AD9669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1,74%</w:t>
            </w:r>
          </w:p>
        </w:tc>
      </w:tr>
      <w:tr w:rsidR="00D6600E" w:rsidRPr="007352E5" w14:paraId="40513249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7562631" w14:textId="080EC250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(&gt;1 000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F03F958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3,38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681931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1,26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3F599D4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4,64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01B08C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4,64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82C5498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43,71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17B61BB2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10,61%</w:t>
            </w:r>
          </w:p>
        </w:tc>
      </w:tr>
      <w:tr w:rsidR="00D6600E" w:rsidRPr="007352E5" w14:paraId="1FA17D93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6030452" w14:textId="1503D68E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(&gt;300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CC9838C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1,79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9C86FD2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0,14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9769C96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1,93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6620368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1,86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9296940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15,84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54B78621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11,74%</w:t>
            </w:r>
          </w:p>
        </w:tc>
      </w:tr>
      <w:tr w:rsidR="00D6600E" w:rsidRPr="007352E5" w14:paraId="677DDEE2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15B4539" w14:textId="045C21F1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VIII.SKUPI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NA </w:t>
            </w: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(&lt;300 PŘ.OB.)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57B66D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2,26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A25E6E2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0,06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B172160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2,32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1683F56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2,29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752897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7,93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14:paraId="546FFE5B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  <w:t>28,84%</w:t>
            </w:r>
          </w:p>
        </w:tc>
      </w:tr>
      <w:tr w:rsidR="00D6600E" w:rsidRPr="007352E5" w14:paraId="2D9B8306" w14:textId="77777777" w:rsidTr="000D0294">
        <w:trPr>
          <w:trHeight w:val="241"/>
          <w:jc w:val="center"/>
        </w:trPr>
        <w:tc>
          <w:tcPr>
            <w:tcW w:w="1214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2DC62F5" w14:textId="77777777" w:rsidR="00D6600E" w:rsidRPr="007352E5" w:rsidRDefault="00D6600E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3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BCD4F8F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7,68</w:t>
            </w:r>
          </w:p>
        </w:tc>
        <w:tc>
          <w:tcPr>
            <w:tcW w:w="67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E71F2C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8,14</w:t>
            </w:r>
          </w:p>
        </w:tc>
        <w:tc>
          <w:tcPr>
            <w:tcW w:w="44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47B56E5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15,82</w:t>
            </w:r>
          </w:p>
        </w:tc>
        <w:tc>
          <w:tcPr>
            <w:tcW w:w="77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AC1552E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15,71</w:t>
            </w:r>
          </w:p>
        </w:tc>
        <w:tc>
          <w:tcPr>
            <w:tcW w:w="64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5ED6BDA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476,89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14:paraId="704F4F20" w14:textId="77777777" w:rsidR="00D6600E" w:rsidRPr="007352E5" w:rsidRDefault="00D6600E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52E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3,29%</w:t>
            </w:r>
          </w:p>
        </w:tc>
      </w:tr>
    </w:tbl>
    <w:p w14:paraId="41FE5585" w14:textId="77777777" w:rsidR="00D6600E" w:rsidRPr="00E707C3" w:rsidRDefault="00D6600E" w:rsidP="00D6600E">
      <w:pPr>
        <w:pStyle w:val="Nadpis3"/>
        <w:rPr>
          <w:noProof/>
        </w:rPr>
      </w:pPr>
      <w:bookmarkStart w:id="89" w:name="_Toc34210407"/>
      <w:r>
        <w:rPr>
          <w:noProof/>
        </w:rPr>
        <w:t>Anomálie související s regulačními záměry</w:t>
      </w:r>
      <w:bookmarkEnd w:id="89"/>
    </w:p>
    <w:p w14:paraId="5523AF13" w14:textId="692A647D" w:rsidR="00D6600E" w:rsidRDefault="00D6600E" w:rsidP="00D6600E">
      <w:pPr>
        <w:pStyle w:val="NORMLN0"/>
        <w:rPr>
          <w:noProof/>
        </w:rPr>
      </w:pPr>
      <w:r>
        <w:rPr>
          <w:noProof/>
        </w:rPr>
        <w:t xml:space="preserve">Anomálie, které upozorňují </w:t>
      </w:r>
      <w:r w:rsidR="00962A95">
        <w:rPr>
          <w:noProof/>
        </w:rPr>
        <w:t>na </w:t>
      </w:r>
      <w:r>
        <w:rPr>
          <w:noProof/>
        </w:rPr>
        <w:t xml:space="preserve">možnost neplnění dlouhodobých záměrů regulace, se týkají </w:t>
      </w:r>
      <w:r w:rsidRPr="00FB2074">
        <w:rPr>
          <w:noProof/>
        </w:rPr>
        <w:t>výrobní, personální, ekonomick</w:t>
      </w:r>
      <w:r>
        <w:rPr>
          <w:noProof/>
        </w:rPr>
        <w:t>é a environmentální</w:t>
      </w:r>
      <w:r w:rsidRPr="00FB2074">
        <w:rPr>
          <w:noProof/>
        </w:rPr>
        <w:t xml:space="preserve"> oblast</w:t>
      </w:r>
      <w:r>
        <w:rPr>
          <w:noProof/>
        </w:rPr>
        <w:t>i</w:t>
      </w:r>
      <w:r w:rsidRPr="00FB2074">
        <w:rPr>
          <w:noProof/>
        </w:rPr>
        <w:t xml:space="preserve"> </w:t>
      </w:r>
      <w:r>
        <w:rPr>
          <w:noProof/>
        </w:rPr>
        <w:t xml:space="preserve">činnosti provozovatele. </w:t>
      </w:r>
      <w:r w:rsidR="00962A95">
        <w:rPr>
          <w:noProof/>
        </w:rPr>
        <w:t>V </w:t>
      </w:r>
      <w:r>
        <w:rPr>
          <w:noProof/>
        </w:rPr>
        <w:t>tét</w:t>
      </w:r>
      <w:r w:rsidR="00962A95">
        <w:rPr>
          <w:noProof/>
        </w:rPr>
        <w:t>o </w:t>
      </w:r>
      <w:r>
        <w:rPr>
          <w:noProof/>
        </w:rPr>
        <w:t>části</w:t>
      </w:r>
      <w:r w:rsidRPr="00FB2074">
        <w:rPr>
          <w:noProof/>
        </w:rPr>
        <w:t xml:space="preserve"> benchmark</w:t>
      </w:r>
      <w:r>
        <w:rPr>
          <w:noProof/>
        </w:rPr>
        <w:t>ingu provozovatelských subjektů</w:t>
      </w:r>
      <w:r w:rsidRPr="00FB2074">
        <w:rPr>
          <w:noProof/>
        </w:rPr>
        <w:t xml:space="preserve"> byl</w:t>
      </w:r>
      <w:r w:rsidR="00962A95">
        <w:rPr>
          <w:noProof/>
        </w:rPr>
        <w:t>o </w:t>
      </w:r>
      <w:r w:rsidRPr="00FB2074">
        <w:rPr>
          <w:noProof/>
        </w:rPr>
        <w:t>posuzován</w:t>
      </w:r>
      <w:r w:rsidR="00962A95">
        <w:rPr>
          <w:noProof/>
        </w:rPr>
        <w:t>o </w:t>
      </w:r>
      <w:r>
        <w:rPr>
          <w:noProof/>
        </w:rPr>
        <w:t xml:space="preserve">2 031 </w:t>
      </w:r>
      <w:r w:rsidRPr="00FB2074">
        <w:rPr>
          <w:noProof/>
        </w:rPr>
        <w:t xml:space="preserve">Porovnání, která </w:t>
      </w:r>
      <w:r>
        <w:rPr>
          <w:noProof/>
        </w:rPr>
        <w:t>představují 95,5</w:t>
      </w:r>
      <w:r w:rsidRPr="00FB2074">
        <w:rPr>
          <w:noProof/>
        </w:rPr>
        <w:t xml:space="preserve">% podíl trhu určený </w:t>
      </w:r>
      <w:r w:rsidR="00962A95">
        <w:rPr>
          <w:noProof/>
        </w:rPr>
        <w:t>na </w:t>
      </w:r>
      <w:r w:rsidRPr="00FB2074">
        <w:rPr>
          <w:noProof/>
        </w:rPr>
        <w:t>základě množství vody fakturované (</w:t>
      </w:r>
      <w:r>
        <w:rPr>
          <w:noProof/>
        </w:rPr>
        <w:t>tj.</w:t>
      </w:r>
      <w:r w:rsidR="005852A3">
        <w:rPr>
          <w:noProof/>
        </w:rPr>
        <w:t> </w:t>
      </w:r>
      <w:r w:rsidRPr="00FB2074">
        <w:rPr>
          <w:noProof/>
        </w:rPr>
        <w:t>498,911</w:t>
      </w:r>
      <w:r>
        <w:rPr>
          <w:noProof/>
        </w:rPr>
        <w:t> </w:t>
      </w:r>
      <w:r>
        <w:t>mil.</w:t>
      </w:r>
      <w:r>
        <w:rPr>
          <w:noProof/>
        </w:rPr>
        <w:t> m</w:t>
      </w:r>
      <w:r w:rsidRPr="00E27252">
        <w:rPr>
          <w:noProof/>
          <w:vertAlign w:val="superscript"/>
        </w:rPr>
        <w:t>3</w:t>
      </w:r>
      <w:r w:rsidRPr="00FB2074">
        <w:rPr>
          <w:noProof/>
        </w:rPr>
        <w:t>).</w:t>
      </w:r>
      <w:r>
        <w:rPr>
          <w:noProof/>
        </w:rPr>
        <w:t xml:space="preserve"> Alespoň jed</w:t>
      </w:r>
      <w:r w:rsidR="00962A95">
        <w:rPr>
          <w:noProof/>
        </w:rPr>
        <w:t>na </w:t>
      </w:r>
      <w:r>
        <w:rPr>
          <w:noProof/>
        </w:rPr>
        <w:t>anomálie</w:t>
      </w:r>
      <w:r w:rsidRPr="00FB2074">
        <w:rPr>
          <w:noProof/>
        </w:rPr>
        <w:t xml:space="preserve"> </w:t>
      </w:r>
      <w:r>
        <w:rPr>
          <w:noProof/>
        </w:rPr>
        <w:t>se vyskytuje</w:t>
      </w:r>
      <w:r w:rsidR="00DE53F8">
        <w:rPr>
          <w:noProof/>
        </w:rPr>
        <w:t xml:space="preserve"> u </w:t>
      </w:r>
      <w:r>
        <w:rPr>
          <w:noProof/>
        </w:rPr>
        <w:t>9</w:t>
      </w:r>
      <w:r w:rsidR="005B05ED">
        <w:rPr>
          <w:noProof/>
        </w:rPr>
        <w:t>2</w:t>
      </w:r>
      <w:r>
        <w:rPr>
          <w:noProof/>
        </w:rPr>
        <w:t>,</w:t>
      </w:r>
      <w:r w:rsidR="005B05ED">
        <w:rPr>
          <w:noProof/>
        </w:rPr>
        <w:t>5</w:t>
      </w:r>
      <w:r w:rsidRPr="00FB2074">
        <w:rPr>
          <w:noProof/>
        </w:rPr>
        <w:t xml:space="preserve">% analyzovaných Porovnání, tj. </w:t>
      </w:r>
      <w:r>
        <w:rPr>
          <w:noProof/>
        </w:rPr>
        <w:t>1</w:t>
      </w:r>
      <w:r w:rsidR="005B05ED">
        <w:rPr>
          <w:noProof/>
        </w:rPr>
        <w:t> </w:t>
      </w:r>
      <w:r>
        <w:rPr>
          <w:noProof/>
        </w:rPr>
        <w:t>8</w:t>
      </w:r>
      <w:r w:rsidR="005B05ED">
        <w:rPr>
          <w:noProof/>
        </w:rPr>
        <w:t xml:space="preserve">78 </w:t>
      </w:r>
      <w:r w:rsidRPr="00FB2074">
        <w:rPr>
          <w:noProof/>
        </w:rPr>
        <w:t xml:space="preserve">Porovnání. </w:t>
      </w:r>
      <w:r w:rsidR="00962A95">
        <w:rPr>
          <w:noProof/>
        </w:rPr>
        <w:t>Z </w:t>
      </w:r>
      <w:r w:rsidRPr="00FB2074">
        <w:rPr>
          <w:noProof/>
        </w:rPr>
        <w:t>hledis</w:t>
      </w:r>
      <w:r>
        <w:rPr>
          <w:noProof/>
        </w:rPr>
        <w:t>ka objemu pitné vody fakturované</w:t>
      </w:r>
      <w:r w:rsidRPr="00FB2074">
        <w:rPr>
          <w:noProof/>
        </w:rPr>
        <w:t xml:space="preserve"> je anomáliemi </w:t>
      </w:r>
      <w:r>
        <w:rPr>
          <w:noProof/>
        </w:rPr>
        <w:t>ovlivněn</w:t>
      </w:r>
      <w:r w:rsidRPr="00FB2074">
        <w:rPr>
          <w:noProof/>
        </w:rPr>
        <w:t xml:space="preserve"> </w:t>
      </w:r>
      <w:r w:rsidR="005B05ED">
        <w:rPr>
          <w:noProof/>
        </w:rPr>
        <w:t>57,5</w:t>
      </w:r>
      <w:r w:rsidRPr="00FB2074">
        <w:rPr>
          <w:noProof/>
        </w:rPr>
        <w:t>% podíl analyzovanéh</w:t>
      </w:r>
      <w:r w:rsidR="00962A95">
        <w:rPr>
          <w:noProof/>
        </w:rPr>
        <w:t>o </w:t>
      </w:r>
      <w:r w:rsidRPr="00FB2074">
        <w:rPr>
          <w:noProof/>
        </w:rPr>
        <w:t>trhu (</w:t>
      </w:r>
      <w:r>
        <w:rPr>
          <w:noProof/>
        </w:rPr>
        <w:t xml:space="preserve">tj. </w:t>
      </w:r>
      <w:r w:rsidR="005B05ED">
        <w:rPr>
          <w:noProof/>
        </w:rPr>
        <w:t>274</w:t>
      </w:r>
      <w:r>
        <w:rPr>
          <w:noProof/>
        </w:rPr>
        <w:t>,</w:t>
      </w:r>
      <w:r w:rsidR="005B05ED">
        <w:rPr>
          <w:noProof/>
        </w:rPr>
        <w:t>22</w:t>
      </w:r>
      <w:r w:rsidRPr="00FB2074">
        <w:rPr>
          <w:noProof/>
        </w:rPr>
        <w:t xml:space="preserve"> </w:t>
      </w:r>
      <w:r>
        <w:rPr>
          <w:noProof/>
        </w:rPr>
        <w:t>mil. m</w:t>
      </w:r>
      <w:r w:rsidRPr="00E27252">
        <w:rPr>
          <w:noProof/>
          <w:vertAlign w:val="superscript"/>
        </w:rPr>
        <w:t>3</w:t>
      </w:r>
      <w:r>
        <w:rPr>
          <w:noProof/>
        </w:rPr>
        <w:t xml:space="preserve"> fakturované vody</w:t>
      </w:r>
      <w:r w:rsidRPr="00FB2074">
        <w:rPr>
          <w:noProof/>
        </w:rPr>
        <w:t>).</w:t>
      </w:r>
      <w:r>
        <w:rPr>
          <w:noProof/>
        </w:rPr>
        <w:t xml:space="preserve"> </w:t>
      </w:r>
    </w:p>
    <w:p w14:paraId="55004AFC" w14:textId="5DDADCD4" w:rsidR="002358D5" w:rsidRDefault="005B05ED" w:rsidP="00D6600E">
      <w:pPr>
        <w:pStyle w:val="NORMLN0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721728" behindDoc="0" locked="0" layoutInCell="1" allowOverlap="1" wp14:anchorId="1D41E7BC" wp14:editId="690EC284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4880610" cy="2962275"/>
            <wp:effectExtent l="0" t="0" r="0" b="0"/>
            <wp:wrapTopAndBottom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anchor>
        </w:drawing>
      </w:r>
    </w:p>
    <w:p w14:paraId="074992A5" w14:textId="6AC33526" w:rsidR="00D6600E" w:rsidRDefault="00D6600E" w:rsidP="00D6600E">
      <w:pPr>
        <w:pStyle w:val="NORMLN0"/>
        <w:rPr>
          <w:noProof/>
        </w:rPr>
      </w:pPr>
    </w:p>
    <w:p w14:paraId="2C8B8967" w14:textId="33C604BB" w:rsidR="00D6600E" w:rsidRDefault="00D6600E" w:rsidP="00D6600E">
      <w:pPr>
        <w:pStyle w:val="NORMLN0"/>
        <w:rPr>
          <w:rStyle w:val="NORMLNChar"/>
        </w:rPr>
      </w:pPr>
      <w:r w:rsidRPr="00E27252">
        <w:rPr>
          <w:rStyle w:val="NormlnzprvaChar"/>
        </w:rPr>
        <w:t xml:space="preserve">Následující tabulka </w:t>
      </w:r>
      <w:r w:rsidRPr="001E60C1">
        <w:rPr>
          <w:rStyle w:val="NormlnzprvaChar"/>
        </w:rPr>
        <w:t>uvádí</w:t>
      </w:r>
      <w:r w:rsidRPr="00E27252">
        <w:rPr>
          <w:rStyle w:val="NormlnzprvaChar"/>
        </w:rPr>
        <w:t xml:space="preserve"> četnost výskytu jednotlivých </w:t>
      </w:r>
      <w:r>
        <w:rPr>
          <w:rStyle w:val="NormlnzprvaChar"/>
        </w:rPr>
        <w:t>anomálií</w:t>
      </w:r>
      <w:r w:rsidR="00DE53F8">
        <w:rPr>
          <w:rStyle w:val="NormlnzprvaChar"/>
        </w:rPr>
        <w:t xml:space="preserve"> u </w:t>
      </w:r>
      <w:r w:rsidRPr="00E27252">
        <w:rPr>
          <w:rStyle w:val="NormlnzprvaChar"/>
        </w:rPr>
        <w:t>analyzovaných Porovnání</w:t>
      </w:r>
      <w:r>
        <w:rPr>
          <w:rStyle w:val="NormlnzprvaChar"/>
        </w:rPr>
        <w:t xml:space="preserve"> </w:t>
      </w:r>
      <w:r>
        <w:rPr>
          <w:rStyle w:val="NORMLNChar"/>
        </w:rPr>
        <w:t xml:space="preserve">spolu s objemy fakturované vody uvedených </w:t>
      </w:r>
      <w:r w:rsidR="00962A95">
        <w:rPr>
          <w:rStyle w:val="NORMLNChar"/>
        </w:rPr>
        <w:t>na </w:t>
      </w:r>
      <w:r>
        <w:rPr>
          <w:rStyle w:val="NORMLNChar"/>
        </w:rPr>
        <w:t xml:space="preserve">Porovnáních a s podílem dané anomálie </w:t>
      </w:r>
      <w:r w:rsidR="00962A95">
        <w:rPr>
          <w:rStyle w:val="NORMLNChar"/>
        </w:rPr>
        <w:t>na </w:t>
      </w:r>
      <w:r>
        <w:rPr>
          <w:rStyle w:val="NORMLNChar"/>
        </w:rPr>
        <w:t>celkovém objemu fakturované vody.</w:t>
      </w:r>
    </w:p>
    <w:p w14:paraId="0022F682" w14:textId="21DF1A9B" w:rsidR="002358D5" w:rsidRDefault="00A37FCB" w:rsidP="00D6600E">
      <w:pPr>
        <w:pStyle w:val="NORMLN0"/>
        <w:rPr>
          <w:rStyle w:val="NormlnzprvaChar"/>
        </w:rPr>
      </w:pPr>
      <w:r>
        <w:rPr>
          <w:noProof/>
        </w:rPr>
        <w:lastRenderedPageBreak/>
        <w:object w:dxaOrig="1440" w:dyaOrig="1440" w14:anchorId="3245836E">
          <v:shape id="_x0000_s1039" type="#_x0000_t75" style="position:absolute;left:0;text-align:left;margin-left:-39.6pt;margin-top:21.7pt;width:532.3pt;height:321.1pt;z-index:251708416;mso-position-horizontal-relative:text;mso-position-vertical-relative:text">
            <v:imagedata r:id="rId35" o:title=""/>
            <w10:wrap type="topAndBottom"/>
          </v:shape>
          <o:OLEObject Type="Embed" ProgID="Excel.Sheet.12" ShapeID="_x0000_s1039" DrawAspect="Content" ObjectID="_1662960756" r:id="rId36"/>
        </w:object>
      </w:r>
    </w:p>
    <w:p w14:paraId="585794A5" w14:textId="77777777" w:rsidR="00D6600E" w:rsidRDefault="00D6600E" w:rsidP="00D6600E">
      <w:pPr>
        <w:pStyle w:val="NORMLN0"/>
        <w:ind w:firstLine="0"/>
        <w:jc w:val="center"/>
        <w:rPr>
          <w:rStyle w:val="NormlnzprvaChar"/>
        </w:rPr>
      </w:pPr>
    </w:p>
    <w:p w14:paraId="32EE595B" w14:textId="4C3BA2A1" w:rsidR="00D6600E" w:rsidRDefault="00D6600E" w:rsidP="00D6600E">
      <w:pPr>
        <w:pStyle w:val="NORMLN0"/>
      </w:pPr>
      <w:r w:rsidRPr="00BC08EB">
        <w:rPr>
          <w:szCs w:val="24"/>
        </w:rPr>
        <w:t xml:space="preserve">Podle objemu fakturované pitné vody </w:t>
      </w:r>
      <w:r>
        <w:rPr>
          <w:szCs w:val="24"/>
        </w:rPr>
        <w:t>byla jak</w:t>
      </w:r>
      <w:r w:rsidR="00962A95">
        <w:rPr>
          <w:szCs w:val="24"/>
        </w:rPr>
        <w:t>o </w:t>
      </w:r>
      <w:r>
        <w:rPr>
          <w:szCs w:val="24"/>
        </w:rPr>
        <w:t>nejvýznamnější identifiková</w:t>
      </w:r>
      <w:r w:rsidR="00962A95">
        <w:rPr>
          <w:szCs w:val="24"/>
        </w:rPr>
        <w:t>na </w:t>
      </w:r>
      <w:r w:rsidRPr="00BC08EB">
        <w:rPr>
          <w:szCs w:val="24"/>
        </w:rPr>
        <w:t>anomáli</w:t>
      </w:r>
      <w:r>
        <w:rPr>
          <w:szCs w:val="24"/>
        </w:rPr>
        <w:t>e</w:t>
      </w:r>
      <w:r w:rsidRPr="00BC08EB">
        <w:rPr>
          <w:szCs w:val="24"/>
        </w:rPr>
        <w:t xml:space="preserve"> </w:t>
      </w:r>
      <w:r w:rsidRPr="00BC08EB">
        <w:rPr>
          <w:b/>
          <w:szCs w:val="24"/>
        </w:rPr>
        <w:t>vysoký podíl kalkulačníh</w:t>
      </w:r>
      <w:r w:rsidR="00962A95">
        <w:rPr>
          <w:b/>
          <w:szCs w:val="24"/>
        </w:rPr>
        <w:t>o </w:t>
      </w:r>
      <w:r w:rsidRPr="00BC08EB">
        <w:rPr>
          <w:b/>
          <w:szCs w:val="24"/>
        </w:rPr>
        <w:t xml:space="preserve">zisku </w:t>
      </w:r>
      <w:r w:rsidR="00962A95">
        <w:rPr>
          <w:b/>
          <w:szCs w:val="24"/>
        </w:rPr>
        <w:t>k </w:t>
      </w:r>
      <w:r w:rsidRPr="00BC08EB">
        <w:rPr>
          <w:b/>
          <w:szCs w:val="24"/>
        </w:rPr>
        <w:t xml:space="preserve">rozdělení </w:t>
      </w:r>
      <w:r w:rsidR="00962A95">
        <w:rPr>
          <w:b/>
          <w:szCs w:val="24"/>
        </w:rPr>
        <w:t>na </w:t>
      </w:r>
      <w:r w:rsidRPr="00BC08EB">
        <w:rPr>
          <w:b/>
          <w:szCs w:val="24"/>
        </w:rPr>
        <w:t>ÚVN</w:t>
      </w:r>
      <w:r w:rsidRPr="008F5FE8">
        <w:rPr>
          <w:szCs w:val="24"/>
        </w:rPr>
        <w:t>, která zasahuje</w:t>
      </w:r>
      <w:r w:rsidRPr="00BC08EB">
        <w:rPr>
          <w:b/>
          <w:szCs w:val="24"/>
        </w:rPr>
        <w:t xml:space="preserve"> </w:t>
      </w:r>
      <w:r w:rsidRPr="00BC08EB">
        <w:rPr>
          <w:szCs w:val="24"/>
        </w:rPr>
        <w:t>27,38% podíl trhu</w:t>
      </w:r>
      <w:r>
        <w:rPr>
          <w:szCs w:val="24"/>
        </w:rPr>
        <w:t xml:space="preserve"> (vykázán menší nárůst oproti loňskému roku)</w:t>
      </w:r>
      <w:r w:rsidRPr="008F5FE8">
        <w:rPr>
          <w:szCs w:val="24"/>
        </w:rPr>
        <w:t>.</w:t>
      </w:r>
      <w:r w:rsidRPr="00BC08EB">
        <w:rPr>
          <w:szCs w:val="24"/>
        </w:rPr>
        <w:t xml:space="preserve"> </w:t>
      </w:r>
      <w:r>
        <w:rPr>
          <w:szCs w:val="24"/>
        </w:rPr>
        <w:t>Tat</w:t>
      </w:r>
      <w:r w:rsidR="00962A95">
        <w:rPr>
          <w:szCs w:val="24"/>
        </w:rPr>
        <w:t>o </w:t>
      </w:r>
      <w:r>
        <w:t xml:space="preserve">anomálie se vyskytuje </w:t>
      </w:r>
      <w:r w:rsidR="00962A95">
        <w:t>ve </w:t>
      </w:r>
      <w:r>
        <w:t xml:space="preserve">všech skupinách kromě IV. skupiny provozovatelů. </w:t>
      </w:r>
      <w:r>
        <w:rPr>
          <w:szCs w:val="24"/>
        </w:rPr>
        <w:t>P</w:t>
      </w:r>
      <w:r w:rsidRPr="00BC08EB">
        <w:rPr>
          <w:szCs w:val="24"/>
        </w:rPr>
        <w:t xml:space="preserve">odle četnosti výskytu je </w:t>
      </w:r>
      <w:r>
        <w:rPr>
          <w:szCs w:val="24"/>
        </w:rPr>
        <w:t xml:space="preserve">nejvýznamnější </w:t>
      </w:r>
      <w:r w:rsidRPr="00BC08EB">
        <w:rPr>
          <w:szCs w:val="24"/>
        </w:rPr>
        <w:t xml:space="preserve">anomálie </w:t>
      </w:r>
      <w:r w:rsidRPr="00BC08EB">
        <w:rPr>
          <w:b/>
          <w:szCs w:val="24"/>
        </w:rPr>
        <w:t xml:space="preserve">OKF&lt;1 </w:t>
      </w:r>
      <w:r>
        <w:rPr>
          <w:szCs w:val="24"/>
        </w:rPr>
        <w:t xml:space="preserve">zasahující </w:t>
      </w:r>
      <w:r w:rsidRPr="00BC08EB">
        <w:rPr>
          <w:szCs w:val="24"/>
        </w:rPr>
        <w:t>13,28%</w:t>
      </w:r>
      <w:r w:rsidRPr="00BC08EB">
        <w:rPr>
          <w:b/>
          <w:szCs w:val="24"/>
        </w:rPr>
        <w:t xml:space="preserve"> </w:t>
      </w:r>
      <w:r w:rsidRPr="00BC08EB">
        <w:rPr>
          <w:szCs w:val="24"/>
        </w:rPr>
        <w:t>podíl trhu</w:t>
      </w:r>
      <w:r>
        <w:rPr>
          <w:szCs w:val="24"/>
        </w:rPr>
        <w:t xml:space="preserve"> </w:t>
      </w:r>
      <w:r w:rsidR="005852A3">
        <w:rPr>
          <w:szCs w:val="24"/>
        </w:rPr>
        <w:t xml:space="preserve">a </w:t>
      </w:r>
      <w:r>
        <w:rPr>
          <w:szCs w:val="24"/>
        </w:rPr>
        <w:t xml:space="preserve"> </w:t>
      </w:r>
      <w:r w:rsidRPr="00BC08EB">
        <w:rPr>
          <w:b/>
          <w:szCs w:val="24"/>
        </w:rPr>
        <w:t>záporný kalkulační zis</w:t>
      </w:r>
      <w:r w:rsidR="00962A95">
        <w:rPr>
          <w:b/>
          <w:szCs w:val="24"/>
        </w:rPr>
        <w:t>k </w:t>
      </w:r>
      <w:r>
        <w:rPr>
          <w:szCs w:val="24"/>
        </w:rPr>
        <w:t xml:space="preserve">ovlivňující </w:t>
      </w:r>
      <w:r w:rsidRPr="00BC08EB">
        <w:rPr>
          <w:szCs w:val="24"/>
        </w:rPr>
        <w:t>6,65% podíl trhu</w:t>
      </w:r>
      <w:r>
        <w:rPr>
          <w:szCs w:val="24"/>
        </w:rPr>
        <w:t xml:space="preserve"> (přibližně </w:t>
      </w:r>
      <w:r w:rsidR="00962A95">
        <w:rPr>
          <w:szCs w:val="24"/>
        </w:rPr>
        <w:t>na </w:t>
      </w:r>
      <w:r>
        <w:rPr>
          <w:szCs w:val="24"/>
        </w:rPr>
        <w:t>stejné úrovni jak</w:t>
      </w:r>
      <w:r w:rsidR="00962A95">
        <w:rPr>
          <w:szCs w:val="24"/>
        </w:rPr>
        <w:t>o v </w:t>
      </w:r>
      <w:r>
        <w:rPr>
          <w:szCs w:val="24"/>
        </w:rPr>
        <w:t>předchozím roce).</w:t>
      </w:r>
      <w:r w:rsidRPr="00BC08EB">
        <w:rPr>
          <w:szCs w:val="24"/>
        </w:rPr>
        <w:t xml:space="preserve"> </w:t>
      </w:r>
      <w:r w:rsidRPr="008F5FE8">
        <w:rPr>
          <w:b/>
        </w:rPr>
        <w:t>V</w:t>
      </w:r>
      <w:r w:rsidRPr="0034655C">
        <w:rPr>
          <w:b/>
        </w:rPr>
        <w:t>y</w:t>
      </w:r>
      <w:r>
        <w:rPr>
          <w:b/>
        </w:rPr>
        <w:t>soký podíl</w:t>
      </w:r>
      <w:r w:rsidRPr="00BC08EB">
        <w:t xml:space="preserve"> </w:t>
      </w:r>
      <w:r w:rsidRPr="00BC08EB">
        <w:rPr>
          <w:b/>
        </w:rPr>
        <w:t xml:space="preserve">ztrát vody </w:t>
      </w:r>
      <w:r w:rsidR="00962A95">
        <w:rPr>
          <w:b/>
        </w:rPr>
        <w:t>na </w:t>
      </w:r>
      <w:r w:rsidRPr="00BC08EB">
        <w:rPr>
          <w:b/>
        </w:rPr>
        <w:t xml:space="preserve">vodě určené </w:t>
      </w:r>
      <w:r w:rsidR="00962A95">
        <w:rPr>
          <w:b/>
        </w:rPr>
        <w:t>k </w:t>
      </w:r>
      <w:r w:rsidRPr="00BC08EB">
        <w:rPr>
          <w:b/>
        </w:rPr>
        <w:t>realizaci zasahuje</w:t>
      </w:r>
      <w:r>
        <w:t xml:space="preserve"> 16,62% podíl trhu </w:t>
      </w:r>
      <w:r>
        <w:rPr>
          <w:szCs w:val="24"/>
        </w:rPr>
        <w:t>(taktéž vykázán menší nárůst oproti loňskému roku)</w:t>
      </w:r>
      <w:r>
        <w:t>. Problematice ztrát vody je věnová</w:t>
      </w:r>
      <w:r w:rsidR="00962A95">
        <w:t>na </w:t>
      </w:r>
      <w:r>
        <w:t>kapitole 8.2.5.</w:t>
      </w:r>
    </w:p>
    <w:p w14:paraId="7CE6D0FF" w14:textId="3156E817" w:rsidR="00D6600E" w:rsidRDefault="00D6600E" w:rsidP="00D6600E">
      <w:pPr>
        <w:pStyle w:val="NORMLN0"/>
        <w:rPr>
          <w:noProof/>
        </w:rPr>
      </w:pPr>
      <w:r>
        <w:t xml:space="preserve">Anomálie </w:t>
      </w:r>
      <w:r w:rsidRPr="007A130F">
        <w:rPr>
          <w:b/>
        </w:rPr>
        <w:t>podíl</w:t>
      </w:r>
      <w:r>
        <w:t xml:space="preserve"> </w:t>
      </w:r>
      <w:r w:rsidRPr="007A130F">
        <w:rPr>
          <w:b/>
        </w:rPr>
        <w:t>nevyhovujících fyzikálně-chemických vzorků</w:t>
      </w:r>
      <w:r>
        <w:rPr>
          <w:b/>
        </w:rPr>
        <w:t xml:space="preserve"> převyšující 20 % </w:t>
      </w:r>
      <w:r w:rsidRPr="008F5FE8">
        <w:t>zasahuje</w:t>
      </w:r>
      <w:r>
        <w:t xml:space="preserve"> 5,21% podílu a </w:t>
      </w:r>
      <w:r w:rsidRPr="00890D86">
        <w:rPr>
          <w:b/>
        </w:rPr>
        <w:t>podíl</w:t>
      </w:r>
      <w:r>
        <w:t xml:space="preserve"> </w:t>
      </w:r>
      <w:r w:rsidRPr="007A130F">
        <w:rPr>
          <w:b/>
        </w:rPr>
        <w:t xml:space="preserve">nevyhovujících </w:t>
      </w:r>
      <w:r>
        <w:rPr>
          <w:b/>
        </w:rPr>
        <w:t>mikrobiologických a biologických vzorků</w:t>
      </w:r>
      <w:r w:rsidRPr="007A130F">
        <w:rPr>
          <w:b/>
        </w:rPr>
        <w:t xml:space="preserve"> </w:t>
      </w:r>
      <w:r>
        <w:rPr>
          <w:b/>
        </w:rPr>
        <w:t>převyšující 20</w:t>
      </w:r>
      <w:r w:rsidR="005852A3">
        <w:rPr>
          <w:b/>
        </w:rPr>
        <w:t> </w:t>
      </w:r>
      <w:r>
        <w:rPr>
          <w:b/>
        </w:rPr>
        <w:t>%</w:t>
      </w:r>
      <w:r>
        <w:t xml:space="preserve"> zasahuje jen</w:t>
      </w:r>
      <w:r w:rsidR="00371EFB">
        <w:t xml:space="preserve"> </w:t>
      </w:r>
      <w:r>
        <w:t>1,04% podíl trhu.</w:t>
      </w:r>
      <w:r w:rsidRPr="00AE3E6A">
        <w:rPr>
          <w:color w:val="FF0000"/>
        </w:rPr>
        <w:t xml:space="preserve"> </w:t>
      </w:r>
      <w:r>
        <w:t xml:space="preserve">Přestože se podíl nevyhovujících odebraných vzorků oproti předchozímu roku zhoršil, kvalita dodávané pitné vody je stále uspokojivá. </w:t>
      </w:r>
    </w:p>
    <w:p w14:paraId="3DECB7C7" w14:textId="0AECF6FB" w:rsidR="00D6600E" w:rsidRDefault="00962A95" w:rsidP="00D6600E">
      <w:pPr>
        <w:pStyle w:val="NORMLN0"/>
        <w:rPr>
          <w:noProof/>
        </w:rPr>
      </w:pPr>
      <w:r>
        <w:rPr>
          <w:noProof/>
        </w:rPr>
        <w:t>V </w:t>
      </w:r>
      <w:r w:rsidR="00D6600E" w:rsidRPr="00FB2074">
        <w:rPr>
          <w:noProof/>
        </w:rPr>
        <w:t>následujícím grafu jsou</w:t>
      </w:r>
      <w:r w:rsidR="00D6600E">
        <w:rPr>
          <w:noProof/>
        </w:rPr>
        <w:t xml:space="preserve"> znázorněny jednotlivé anomálie.</w:t>
      </w:r>
    </w:p>
    <w:p w14:paraId="3D5331EC" w14:textId="1EB2F825" w:rsidR="00D6600E" w:rsidRDefault="00F14A60" w:rsidP="00D6600E">
      <w:pPr>
        <w:pStyle w:val="NORMLN0"/>
        <w:ind w:firstLine="0"/>
        <w:rPr>
          <w:noProof/>
        </w:rPr>
      </w:pPr>
      <w:r>
        <w:rPr>
          <w:noProof/>
          <w:lang w:eastAsia="cs-CZ"/>
        </w:rPr>
        <w:lastRenderedPageBreak/>
        <w:drawing>
          <wp:inline distT="0" distB="0" distL="0" distR="0" wp14:anchorId="52E657D1" wp14:editId="5A42810D">
            <wp:extent cx="6464411" cy="8714105"/>
            <wp:effectExtent l="0" t="0" r="0" b="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5B5141FE-6A3D-48B6-8849-4628BE9B7A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BAF0267" w14:textId="02E1879D" w:rsidR="00D6600E" w:rsidRPr="00C62639" w:rsidRDefault="00D6600E" w:rsidP="00D6600E">
      <w:pPr>
        <w:pStyle w:val="Nadpis3"/>
        <w:rPr>
          <w:noProof/>
        </w:rPr>
      </w:pPr>
      <w:bookmarkStart w:id="90" w:name="_Toc963495"/>
      <w:bookmarkStart w:id="91" w:name="_Toc34210408"/>
      <w:r w:rsidRPr="00C62639">
        <w:rPr>
          <w:noProof/>
        </w:rPr>
        <w:lastRenderedPageBreak/>
        <w:t xml:space="preserve">Výskyt anomálii </w:t>
      </w:r>
      <w:r w:rsidR="00962A95">
        <w:rPr>
          <w:noProof/>
        </w:rPr>
        <w:t>v </w:t>
      </w:r>
      <w:r w:rsidRPr="00C62639">
        <w:rPr>
          <w:noProof/>
        </w:rPr>
        <w:t>jednotlivých skupinách provozovatelů</w:t>
      </w:r>
      <w:bookmarkEnd w:id="90"/>
      <w:bookmarkEnd w:id="91"/>
      <w:r w:rsidRPr="00C62639">
        <w:rPr>
          <w:noProof/>
        </w:rPr>
        <w:t xml:space="preserve"> </w:t>
      </w:r>
    </w:p>
    <w:p w14:paraId="43FBF0D3" w14:textId="77777777" w:rsidR="00D6600E" w:rsidRDefault="00D6600E" w:rsidP="00D6600E">
      <w:pPr>
        <w:pStyle w:val="NORMLN0"/>
      </w:pPr>
    </w:p>
    <w:p w14:paraId="3352AC77" w14:textId="140080B4" w:rsidR="00D6600E" w:rsidRDefault="00D6600E" w:rsidP="00D6600E">
      <w:pPr>
        <w:pStyle w:val="NORMLN0"/>
      </w:pPr>
      <w:r>
        <w:t>Nejvíce rizikovou skupinou podle počtu výskytu anomálií se jeví VIII. skupina. Vysoká četnost anomálií se vyskytuje</w:t>
      </w:r>
      <w:r w:rsidR="00DE53F8">
        <w:t xml:space="preserve"> u </w:t>
      </w:r>
      <w:r>
        <w:t xml:space="preserve">Porovnání, které obsluhují méně </w:t>
      </w:r>
      <w:r w:rsidR="00962A95">
        <w:t>než </w:t>
      </w:r>
      <w:r>
        <w:t>10 </w:t>
      </w:r>
      <w:r w:rsidR="005852A3">
        <w:t xml:space="preserve">tis. </w:t>
      </w:r>
      <w:r>
        <w:t xml:space="preserve">připojených obyvatel. Téměř </w:t>
      </w:r>
      <w:r w:rsidR="00962A95">
        <w:t>ve </w:t>
      </w:r>
      <w:r w:rsidR="005852A3">
        <w:t xml:space="preserve">všech skupinách (kromě </w:t>
      </w:r>
      <w:r>
        <w:t>V. skupiny) je nejméně jednou anomálií ovlivněn</w:t>
      </w:r>
      <w:r w:rsidR="00962A95">
        <w:t>o </w:t>
      </w:r>
      <w:r>
        <w:t xml:space="preserve">více </w:t>
      </w:r>
      <w:r w:rsidR="00962A95">
        <w:t>než </w:t>
      </w:r>
      <w:r>
        <w:t>50 % objemu fakturované vody.</w:t>
      </w:r>
      <w:r w:rsidRPr="002D05F7">
        <w:t xml:space="preserve"> </w:t>
      </w:r>
    </w:p>
    <w:p w14:paraId="05AF1498" w14:textId="4E9781D1" w:rsidR="00D6600E" w:rsidRDefault="00A37FCB" w:rsidP="00D6600E">
      <w:pPr>
        <w:pStyle w:val="Normlnzprva"/>
        <w:rPr>
          <w:noProof/>
        </w:rPr>
      </w:pPr>
      <w:r>
        <w:rPr>
          <w:noProof/>
          <w:color w:val="833C0B" w:themeColor="accent2" w:themeShade="80"/>
        </w:rPr>
        <w:object w:dxaOrig="1440" w:dyaOrig="1440" w14:anchorId="0E3328FC">
          <v:shape id="_x0000_s1040" type="#_x0000_t75" style="position:absolute;left:0;text-align:left;margin-left:-27.4pt;margin-top:17.65pt;width:507.75pt;height:181.45pt;z-index:251709440;mso-position-horizontal-relative:text;mso-position-vertical-relative:text" o:allowoverlap="f">
            <v:imagedata r:id="rId38" o:title=""/>
            <w10:wrap type="topAndBottom"/>
          </v:shape>
          <o:OLEObject Type="Embed" ProgID="Excel.Sheet.12" ShapeID="_x0000_s1040" DrawAspect="Content" ObjectID="_1662960757" r:id="rId39"/>
        </w:object>
      </w:r>
    </w:p>
    <w:p w14:paraId="28B5CA03" w14:textId="77777777" w:rsidR="00D6600E" w:rsidRDefault="00D6600E" w:rsidP="00D6600E">
      <w:pPr>
        <w:pStyle w:val="Normlnzprva"/>
        <w:rPr>
          <w:noProof/>
        </w:rPr>
      </w:pPr>
    </w:p>
    <w:p w14:paraId="611390CE" w14:textId="77777777" w:rsidR="00D6600E" w:rsidRDefault="00D6600E" w:rsidP="00D6600E">
      <w:pPr>
        <w:pStyle w:val="Normlnzprva"/>
        <w:rPr>
          <w:noProof/>
        </w:rPr>
      </w:pPr>
    </w:p>
    <w:p w14:paraId="46A7261F" w14:textId="77777777" w:rsidR="00D6600E" w:rsidRDefault="00D6600E" w:rsidP="00D6600E">
      <w:pPr>
        <w:pStyle w:val="Normlnzprva"/>
        <w:rPr>
          <w:noProof/>
        </w:rPr>
      </w:pPr>
    </w:p>
    <w:p w14:paraId="156E53B3" w14:textId="36515C65" w:rsidR="00D6600E" w:rsidRDefault="00962A95" w:rsidP="00D6600E">
      <w:pPr>
        <w:pStyle w:val="NORMLN0"/>
      </w:pPr>
      <w:r>
        <w:rPr>
          <w:noProof/>
        </w:rPr>
        <w:t>V </w:t>
      </w:r>
      <w:r w:rsidR="00D6600E" w:rsidRPr="00C62639">
        <w:rPr>
          <w:noProof/>
        </w:rPr>
        <w:t>následující</w:t>
      </w:r>
      <w:r w:rsidR="00D6600E">
        <w:rPr>
          <w:noProof/>
        </w:rPr>
        <w:t xml:space="preserve">ch tabulkách jsou </w:t>
      </w:r>
      <w:r w:rsidR="00D6600E" w:rsidRPr="00C62639">
        <w:rPr>
          <w:noProof/>
        </w:rPr>
        <w:t xml:space="preserve">blíže specifikovány anomálie a jejich rozložení </w:t>
      </w:r>
      <w:r>
        <w:rPr>
          <w:noProof/>
        </w:rPr>
        <w:t>ve </w:t>
      </w:r>
      <w:r w:rsidR="00D6600E">
        <w:rPr>
          <w:noProof/>
        </w:rPr>
        <w:t xml:space="preserve">skupinách s uvedením počtu zásobených obyvatel a množství fakturované vody </w:t>
      </w:r>
      <w:r>
        <w:rPr>
          <w:noProof/>
        </w:rPr>
        <w:t>v </w:t>
      </w:r>
      <w:r w:rsidR="00D6600E">
        <w:rPr>
          <w:noProof/>
        </w:rPr>
        <w:t>jednotlivých skupinách.</w:t>
      </w:r>
      <w:r w:rsidR="00371EFB">
        <w:rPr>
          <w:noProof/>
        </w:rPr>
        <w:t xml:space="preserve"> </w:t>
      </w:r>
    </w:p>
    <w:p w14:paraId="448DA4BD" w14:textId="77777777" w:rsidR="005A127A" w:rsidRPr="006E7581" w:rsidRDefault="005A127A" w:rsidP="005A127A">
      <w:pPr>
        <w:pStyle w:val="Normlnzprva"/>
        <w:rPr>
          <w:noProof/>
        </w:rPr>
      </w:pPr>
    </w:p>
    <w:p w14:paraId="08F5AEAC" w14:textId="77777777" w:rsidR="005A127A" w:rsidRDefault="005A127A" w:rsidP="005A127A">
      <w:pPr>
        <w:spacing w:before="0" w:after="0"/>
        <w:contextualSpacing w:val="0"/>
        <w:jc w:val="left"/>
        <w:rPr>
          <w:rFonts w:asciiTheme="minorHAnsi" w:hAnsiTheme="minorHAnsi"/>
          <w:noProof/>
          <w:color w:val="833C0B" w:themeColor="accent2" w:themeShade="80"/>
        </w:rPr>
        <w:sectPr w:rsidR="005A127A" w:rsidSect="00FC764C">
          <w:footerReference w:type="default" r:id="rId4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82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5"/>
        <w:gridCol w:w="1981"/>
        <w:gridCol w:w="2373"/>
        <w:gridCol w:w="2494"/>
        <w:gridCol w:w="2308"/>
      </w:tblGrid>
      <w:tr w:rsidR="00F14A60" w:rsidRPr="00F14A60" w14:paraId="2D2E4679" w14:textId="77777777" w:rsidTr="00F14A60">
        <w:trPr>
          <w:trHeight w:val="868"/>
          <w:jc w:val="center"/>
        </w:trPr>
        <w:tc>
          <w:tcPr>
            <w:tcW w:w="219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46777590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60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6FE5E6D5" w14:textId="4213D8D5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(&gt;500 000 PŘ.OB.)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ČETNOST VÝSKYTU ANOMÁLIE</w:t>
            </w:r>
          </w:p>
        </w:tc>
        <w:tc>
          <w:tcPr>
            <w:tcW w:w="72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61D56B31" w14:textId="75F1418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PITNÉ VODY FAKTUROVANÉ (MIL. M3) OVLIVNĚN ANOMÁLIÍ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I. SKUPINĚ</w:t>
            </w:r>
          </w:p>
        </w:tc>
        <w:tc>
          <w:tcPr>
            <w:tcW w:w="76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37E33B5" w14:textId="4DF4326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(&gt;200 000 PŘ.OB.)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ČETNOST VÝSKYTU ANOMÁLIE</w:t>
            </w:r>
          </w:p>
        </w:tc>
        <w:tc>
          <w:tcPr>
            <w:tcW w:w="707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2B9278BA" w14:textId="72671E5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PITNÉ VODY FAKTUROVANÉ (MIL. M3) OVLIVNĚN ANOMÁLIÍ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II. SKUPINĚ</w:t>
            </w:r>
          </w:p>
        </w:tc>
      </w:tr>
      <w:tr w:rsidR="00F14A60" w:rsidRPr="00F14A60" w14:paraId="7D35B4F2" w14:textId="77777777" w:rsidTr="00F14A60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63524DB2" w14:textId="2EA3DC32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SKUPINĚ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MIL. M3</w:t>
            </w:r>
          </w:p>
        </w:tc>
        <w:tc>
          <w:tcPr>
            <w:tcW w:w="6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677B9947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167,30</w:t>
            </w:r>
          </w:p>
        </w:tc>
        <w:tc>
          <w:tcPr>
            <w:tcW w:w="72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0BB41D0D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17CB308D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51,33</w:t>
            </w:r>
          </w:p>
        </w:tc>
        <w:tc>
          <w:tcPr>
            <w:tcW w:w="7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691246DE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F14A60" w:rsidRPr="00F14A60" w14:paraId="2E2B5299" w14:textId="77777777" w:rsidTr="00F14A60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106BA340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ZÁSOBENÝCH OSOB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0C62812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3 124 179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3A008F47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F75B5"/>
            <w:noWrap/>
            <w:vAlign w:val="center"/>
            <w:hideMark/>
          </w:tcPr>
          <w:p w14:paraId="42856ACA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961 597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F75B5"/>
            <w:noWrap/>
            <w:vAlign w:val="center"/>
            <w:hideMark/>
          </w:tcPr>
          <w:p w14:paraId="135E929D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F14A60" w:rsidRPr="00F14A60" w14:paraId="35034614" w14:textId="77777777" w:rsidTr="00F14A60">
        <w:trPr>
          <w:trHeight w:val="77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F0C8EF3" w14:textId="2F27F37B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VYSOKÉ ZTRÁTY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ŘÁDU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POROVNÁNÍ VYKAZUJÍCÍCH ZTRÁTY VODY NAD 4 M3/KM/DEN)  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FD4D22D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28FD048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2361C05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0DDB8B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</w:tr>
      <w:tr w:rsidR="00F14A60" w:rsidRPr="00F14A60" w14:paraId="3E88607E" w14:textId="77777777" w:rsidTr="00F14A60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9A436B2" w14:textId="6A85C9C6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VYSOKÝ PODÍL ZTRÁT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REALIZACI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BD324CE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E37BA05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51,61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AE81AB8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555FAE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11,98</w:t>
            </w:r>
          </w:p>
        </w:tc>
      </w:tr>
      <w:tr w:rsidR="00F14A60" w:rsidRPr="00F14A60" w14:paraId="22491AC6" w14:textId="77777777" w:rsidTr="00F14A60">
        <w:trPr>
          <w:trHeight w:val="65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0EA880F" w14:textId="2C6AEF78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VODA NEFAKTUROVANÁ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ŘADU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0726977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044AEA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5EE28B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C9DF192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</w:tr>
      <w:tr w:rsidR="00F14A60" w:rsidRPr="00F14A60" w14:paraId="447B003C" w14:textId="77777777" w:rsidTr="00F14A60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994E243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FB9175C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AC1D0EE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8791042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77166A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</w:tr>
      <w:tr w:rsidR="00F14A60" w:rsidRPr="00F14A60" w14:paraId="297E07C5" w14:textId="77777777" w:rsidTr="00F14A60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DC4DE28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48B6EA3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4202F58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1C50B6C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F5420E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</w:tr>
      <w:tr w:rsidR="00F14A60" w:rsidRPr="00F14A60" w14:paraId="2C174983" w14:textId="77777777" w:rsidTr="00F14A60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2FCD499" w14:textId="27BB7451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ÚVN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874EF17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9050259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33,24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037E4A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B4AB539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15,52</w:t>
            </w:r>
          </w:p>
        </w:tc>
      </w:tr>
      <w:tr w:rsidR="00F14A60" w:rsidRPr="00F14A60" w14:paraId="69A20009" w14:textId="77777777" w:rsidTr="00F14A60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46BFF88" w14:textId="4A714C0C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E36CF30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B7228D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33,24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7B56B50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5E2D214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15,52</w:t>
            </w:r>
          </w:p>
        </w:tc>
      </w:tr>
      <w:tr w:rsidR="00F14A60" w:rsidRPr="00F14A60" w14:paraId="78461DBE" w14:textId="77777777" w:rsidTr="00F14A60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6E85102" w14:textId="6B124E0E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VODNÉ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978773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83643C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4A91C0C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6A5F8CA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</w:tr>
      <w:tr w:rsidR="00F14A60" w:rsidRPr="00F14A60" w14:paraId="06690AF8" w14:textId="77777777" w:rsidTr="00F14A60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34F0035A" w14:textId="7222D3F1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FYZIKÁLNĚ CHEMICKÉ VZORKY (VÍC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6BD5AF3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9571283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C6E1DB4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77674BC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15,52</w:t>
            </w:r>
          </w:p>
        </w:tc>
      </w:tr>
      <w:tr w:rsidR="00F14A60" w:rsidRPr="00F14A60" w14:paraId="04CB556A" w14:textId="77777777" w:rsidTr="00F14A60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6D68831" w14:textId="02C7BBF8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MIKROBIOLOGICKÉ A BIOLOGICKÉ VZORKY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F3366D6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1FD11E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4A5D0C6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846F253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0,00</w:t>
            </w:r>
          </w:p>
        </w:tc>
      </w:tr>
      <w:tr w:rsidR="00F14A60" w:rsidRPr="00F14A60" w14:paraId="739314B7" w14:textId="77777777" w:rsidTr="00F14A60">
        <w:trPr>
          <w:trHeight w:val="282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vAlign w:val="center"/>
            <w:hideMark/>
          </w:tcPr>
          <w:p w14:paraId="07986F45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7DF16089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301169F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118,09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271C29CA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7E7BEF2A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58,53</w:t>
            </w:r>
          </w:p>
        </w:tc>
      </w:tr>
      <w:tr w:rsidR="00F14A60" w:rsidRPr="00F14A60" w14:paraId="2B08B82B" w14:textId="77777777" w:rsidTr="00F14A60">
        <w:trPr>
          <w:trHeight w:val="22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C8EB76D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A1FAFA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CA3936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84,85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A59E307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456767D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27,49</w:t>
            </w:r>
          </w:p>
        </w:tc>
      </w:tr>
      <w:tr w:rsidR="00F14A60" w:rsidRPr="00F14A60" w14:paraId="60CEA5C1" w14:textId="77777777" w:rsidTr="00F14A60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88E2184" w14:textId="217AEEFC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FA87AE7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D7FC15E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929F7A1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A0DDC70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</w:tr>
      <w:tr w:rsidR="00F14A60" w:rsidRPr="00F14A60" w14:paraId="225CA384" w14:textId="77777777" w:rsidTr="00F14A60">
        <w:trPr>
          <w:trHeight w:val="83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2B9BA9F" w14:textId="181107CD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A3959F9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66,67%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53D9B2B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50,72%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776A82D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  <w:t>66,67%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6E1E7ADF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  <w:t>53,56%</w:t>
            </w:r>
          </w:p>
        </w:tc>
      </w:tr>
      <w:tr w:rsidR="00F14A60" w:rsidRPr="00F14A60" w14:paraId="6D55C575" w14:textId="77777777" w:rsidTr="00576CC5">
        <w:trPr>
          <w:trHeight w:val="868"/>
          <w:jc w:val="center"/>
        </w:trPr>
        <w:tc>
          <w:tcPr>
            <w:tcW w:w="219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B5DE37A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60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3BECB7E1" w14:textId="0297870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III.SKUPI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NA </w:t>
            </w:r>
            <w:r w:rsidR="00AF600B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</w: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(&gt;100 000 PŘ.OB.)</w:t>
            </w: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72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0357168C" w14:textId="1F147AE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OBJEM PITNÉ VODY FAKTUROVANÉ (MIL. M3)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VE </w:t>
            </w: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III. SKUPINĚ</w:t>
            </w:r>
          </w:p>
        </w:tc>
        <w:tc>
          <w:tcPr>
            <w:tcW w:w="76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3F08AA3D" w14:textId="23936460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IV.SKUPI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NA </w:t>
            </w: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(&gt;50 000 PŘ.OB.)</w:t>
            </w: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707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4A77B489" w14:textId="1EE81703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OBJEM PITNÉ VODY FAKTUROVANÉ (MIL. M3) OVLIVNĚN ANOMÁLIÍ </w:t>
            </w:r>
            <w:r w:rsidR="00962A95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VE </w:t>
            </w: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IV. SKUPINĚ</w:t>
            </w:r>
          </w:p>
        </w:tc>
      </w:tr>
      <w:tr w:rsidR="00F14A60" w:rsidRPr="00F14A60" w14:paraId="0DA4942D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0E85039B" w14:textId="28440AF1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SKUPINĚ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MIL. M3</w:t>
            </w:r>
          </w:p>
        </w:tc>
        <w:tc>
          <w:tcPr>
            <w:tcW w:w="6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1FE80C94" w14:textId="2048E536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65,45</w:t>
            </w:r>
          </w:p>
        </w:tc>
        <w:tc>
          <w:tcPr>
            <w:tcW w:w="72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2437573E" w14:textId="116E03F5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7A1AB851" w14:textId="76F01725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69,86</w:t>
            </w:r>
          </w:p>
        </w:tc>
        <w:tc>
          <w:tcPr>
            <w:tcW w:w="7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6E1DF09C" w14:textId="7D09E4CF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14A60" w:rsidRPr="00F14A60" w14:paraId="5FD1821E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DD52D6E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ZÁSOBENÝCH OSOB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763CBFCE" w14:textId="158BFD3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1 354 298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139742F1" w14:textId="24389F2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F75B5"/>
            <w:noWrap/>
            <w:vAlign w:val="center"/>
            <w:hideMark/>
          </w:tcPr>
          <w:p w14:paraId="2CEFC9D4" w14:textId="00981731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1 544 711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F75B5"/>
            <w:noWrap/>
            <w:vAlign w:val="center"/>
            <w:hideMark/>
          </w:tcPr>
          <w:p w14:paraId="061E9F4A" w14:textId="534CD02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14A60" w:rsidRPr="00F14A60" w14:paraId="4954D2D8" w14:textId="77777777" w:rsidTr="00576CC5">
        <w:trPr>
          <w:trHeight w:val="77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379A77F" w14:textId="0F43842B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VYSOKÉ ZTRÁTY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ŘÁDU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POROVNÁNÍ VYKAZUJÍCÍCH ZTRÁTY VODY NAD 4 M3/KM/DEN)  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1B6A82" w14:textId="71D2CB5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FD1DFFB" w14:textId="2E751B1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9,12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8A899C" w14:textId="5C49183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ACDEEF3" w14:textId="01992EB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2,74</w:t>
            </w:r>
          </w:p>
        </w:tc>
      </w:tr>
      <w:tr w:rsidR="00F14A60" w:rsidRPr="00F14A60" w14:paraId="37134ACB" w14:textId="77777777" w:rsidTr="00576CC5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62977F7" w14:textId="18B788BB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VYSOKÝ PODÍL ZTRÁT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REALIZACI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FEC3439" w14:textId="2E486471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39C1AFD" w14:textId="4150570F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9,12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6C44329" w14:textId="2CA5230F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251616B" w14:textId="40F20DC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</w:tr>
      <w:tr w:rsidR="00F14A60" w:rsidRPr="00F14A60" w14:paraId="2303C00D" w14:textId="77777777" w:rsidTr="00576CC5">
        <w:trPr>
          <w:trHeight w:val="65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A293093" w14:textId="66830C6C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VODA NEFAKTUROVANÁ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ŘADU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93967A6" w14:textId="203BBBC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A4A02AD" w14:textId="514244D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9,12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455899B" w14:textId="3853521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08CC239" w14:textId="4254FAD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2,74</w:t>
            </w:r>
          </w:p>
        </w:tc>
      </w:tr>
      <w:tr w:rsidR="00F14A60" w:rsidRPr="00F14A60" w14:paraId="3CC40521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1EB872A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AD4B4C" w14:textId="048873C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A2E71CF" w14:textId="47BBE64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9,23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2D0EBD0" w14:textId="77DDF915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3F36DB1" w14:textId="16C03BEE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0,20</w:t>
            </w:r>
          </w:p>
        </w:tc>
      </w:tr>
      <w:tr w:rsidR="00F14A60" w:rsidRPr="00F14A60" w14:paraId="620FB579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705970F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80ECA5" w14:textId="7891F366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90359BF" w14:textId="5C3E07A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096CC21" w14:textId="14E23791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421DC5D" w14:textId="02D63DB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0,20</w:t>
            </w:r>
          </w:p>
        </w:tc>
      </w:tr>
      <w:tr w:rsidR="00F14A60" w:rsidRPr="00F14A60" w14:paraId="68E4448F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FB1CD0F" w14:textId="0D72DD42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ÚVN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31473B8" w14:textId="5794BA0C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4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2A82752" w14:textId="71EC5C2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28,37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7F94795" w14:textId="626D1683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7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13C1451" w14:textId="060440A0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23,21</w:t>
            </w:r>
          </w:p>
        </w:tc>
      </w:tr>
      <w:tr w:rsidR="00F14A60" w:rsidRPr="00F14A60" w14:paraId="1F09AEAF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182719B0" w14:textId="0C940E20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F113274" w14:textId="0436F015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C96ADA" w14:textId="356FC41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14,95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14F772" w14:textId="26430C6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8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A65D0D8" w14:textId="2E53435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26,34</w:t>
            </w:r>
          </w:p>
        </w:tc>
      </w:tr>
      <w:tr w:rsidR="00F14A60" w:rsidRPr="00F14A60" w14:paraId="3DDCF302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517F3C9A" w14:textId="2B5C06CA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VODNÉ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944AF4C" w14:textId="0BE3615C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B05B7CB" w14:textId="74E1C3A8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568E800" w14:textId="0EFB64A8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44990837" w14:textId="0D7266C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</w:tr>
      <w:tr w:rsidR="00F14A60" w:rsidRPr="00F14A60" w14:paraId="4F804957" w14:textId="77777777" w:rsidTr="00576CC5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0636313" w14:textId="53B2704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FYZIKÁLNĚ CHEMICKÉ VZORKY (VÍC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FDCB774" w14:textId="4B8DDFDF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76B808" w14:textId="4AF5BE0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27ECB0C" w14:textId="19C0C245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540516B" w14:textId="27546EB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3,21</w:t>
            </w:r>
          </w:p>
        </w:tc>
      </w:tr>
      <w:tr w:rsidR="00F14A60" w:rsidRPr="00F14A60" w14:paraId="43C8E3E4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78A75C9" w14:textId="74EE1B89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MIKROBIOLOGICKÉ A BIOLOGICKÉ VZORKY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5D55810" w14:textId="3B03AE7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4A058EB" w14:textId="44938E41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68019EB" w14:textId="0411E7F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B6F3174" w14:textId="2E8BF44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0,00</w:t>
            </w:r>
          </w:p>
        </w:tc>
      </w:tr>
      <w:tr w:rsidR="00F14A60" w:rsidRPr="00F14A60" w14:paraId="5308634E" w14:textId="77777777" w:rsidTr="00576CC5">
        <w:trPr>
          <w:trHeight w:val="282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vAlign w:val="center"/>
            <w:hideMark/>
          </w:tcPr>
          <w:p w14:paraId="0CDB76E0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5A6C2912" w14:textId="653D570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02706C23" w14:textId="4547DA1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  <w:szCs w:val="20"/>
              </w:rPr>
              <w:t>79,90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2DF130F7" w14:textId="55166A38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18F03AB1" w14:textId="0E07ECA4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b/>
                <w:bCs/>
                <w:i/>
                <w:iCs/>
                <w:color w:val="FFFFFF"/>
                <w:sz w:val="20"/>
                <w:szCs w:val="20"/>
              </w:rPr>
              <w:t>58,63</w:t>
            </w:r>
          </w:p>
        </w:tc>
      </w:tr>
      <w:tr w:rsidR="00F14A60" w:rsidRPr="00F14A60" w14:paraId="6F0ACF2D" w14:textId="77777777" w:rsidTr="00576CC5">
        <w:trPr>
          <w:trHeight w:val="22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3D67A5C" w14:textId="77777777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620D8CA" w14:textId="71C03FF2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5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5298E28" w14:textId="088C9DC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37,60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63F6706" w14:textId="06F8036C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96050DC" w14:textId="0CD05C0E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29,74</w:t>
            </w:r>
          </w:p>
        </w:tc>
      </w:tr>
      <w:tr w:rsidR="00F14A60" w:rsidRPr="00F14A60" w14:paraId="3754E0A7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CBAE797" w14:textId="2D9F89E3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953313E" w14:textId="2760543B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10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79509DE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A84450" w14:textId="5BD0F38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21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151B9E3" w14:textId="77777777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</w:tr>
      <w:tr w:rsidR="00F14A60" w:rsidRPr="00F14A60" w14:paraId="55AC99E8" w14:textId="77777777" w:rsidTr="00576CC5">
        <w:trPr>
          <w:trHeight w:val="83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4E3B406F" w14:textId="3DCBE36D" w:rsidR="00F14A60" w:rsidRPr="00F14A60" w:rsidRDefault="00F14A60" w:rsidP="00F14A60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23B87E" w14:textId="148D1E6A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50,00%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F698F44" w14:textId="656ED22F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57,44%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FAA0735" w14:textId="0BB2B1A0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color w:val="203764"/>
                <w:sz w:val="20"/>
                <w:szCs w:val="20"/>
              </w:rPr>
              <w:t>52,38%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48E35E7C" w14:textId="17439369" w:rsidR="00F14A60" w:rsidRPr="00F14A60" w:rsidRDefault="00F14A60" w:rsidP="00F14A60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hAnsiTheme="majorHAnsi" w:cstheme="majorHAnsi"/>
                <w:i/>
                <w:iCs/>
                <w:color w:val="203764"/>
                <w:sz w:val="20"/>
                <w:szCs w:val="20"/>
              </w:rPr>
              <w:t>42,58%</w:t>
            </w:r>
          </w:p>
        </w:tc>
      </w:tr>
      <w:tr w:rsidR="00AF600B" w:rsidRPr="00F14A60" w14:paraId="3A2E6608" w14:textId="77777777" w:rsidTr="00576CC5">
        <w:trPr>
          <w:trHeight w:val="868"/>
          <w:jc w:val="center"/>
        </w:trPr>
        <w:tc>
          <w:tcPr>
            <w:tcW w:w="219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952A65C" w14:textId="7777777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60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2C51048" w14:textId="71A1033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V.SKUPINA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br/>
              <w:t xml:space="preserve"> (&gt;10 000 PŘ.OB.)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72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6D0E7378" w14:textId="78F98A4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OBJEM PITNÉ VODY FAKTUROVANÉ (MIL. M3) OVLIVNĚN ANOMÁLIÍ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V. SKUPINĚ</w:t>
            </w:r>
          </w:p>
        </w:tc>
        <w:tc>
          <w:tcPr>
            <w:tcW w:w="76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5E70B036" w14:textId="7396CD3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VI.SKUPI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(&gt;1 000 PŘ.OB.)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707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2424FDEE" w14:textId="3EE26A6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OBJEM PITNÉ VODY FAKTUROVANÉ (MIL. M3) OVLIVNĚN ANOMÁLIÍ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VI. SKUPINĚ</w:t>
            </w:r>
          </w:p>
        </w:tc>
      </w:tr>
      <w:tr w:rsidR="00AF600B" w:rsidRPr="00F14A60" w14:paraId="154E75C9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10D2131" w14:textId="1D1BE2BB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SKUPINĚ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MIL. M3</w:t>
            </w:r>
          </w:p>
        </w:tc>
        <w:tc>
          <w:tcPr>
            <w:tcW w:w="6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0FBF17F1" w14:textId="461C32D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55,47</w:t>
            </w:r>
          </w:p>
        </w:tc>
        <w:tc>
          <w:tcPr>
            <w:tcW w:w="72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31062270" w14:textId="3EEB100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5363EAC5" w14:textId="6734940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43,71</w:t>
            </w:r>
          </w:p>
        </w:tc>
        <w:tc>
          <w:tcPr>
            <w:tcW w:w="7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3B32575E" w14:textId="250BB18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AF600B" w:rsidRPr="00F14A60" w14:paraId="59855FA5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E09622E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ZÁSOBENÝCH OSOB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49086776" w14:textId="2176E14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1 042 410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6275F14F" w14:textId="5C2482B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F75B5"/>
            <w:noWrap/>
            <w:vAlign w:val="center"/>
            <w:hideMark/>
          </w:tcPr>
          <w:p w14:paraId="61B73C90" w14:textId="1AB46F3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993 835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F75B5"/>
            <w:noWrap/>
            <w:vAlign w:val="center"/>
            <w:hideMark/>
          </w:tcPr>
          <w:p w14:paraId="4D9B4A7C" w14:textId="13EEB42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AF600B" w:rsidRPr="00F14A60" w14:paraId="630FDD3F" w14:textId="77777777" w:rsidTr="00576CC5">
        <w:trPr>
          <w:trHeight w:val="77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6CB32CA8" w14:textId="17BF5F68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VYSOKÉ ZTRÁTY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ŘÁDU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POROVNÁNÍ VYKAZUJÍCÍCH ZTRÁTY VODY NAD 4 M3/KM/DEN)  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0C52291" w14:textId="771A0702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7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5CBE022" w14:textId="5A6C284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6,00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622875" w14:textId="21B1726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5B6DB82" w14:textId="0110131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4,86</w:t>
            </w:r>
          </w:p>
        </w:tc>
      </w:tr>
      <w:tr w:rsidR="00AF600B" w:rsidRPr="00F14A60" w14:paraId="10BB7042" w14:textId="77777777" w:rsidTr="00576CC5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2A79D9D" w14:textId="7A2CC864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VYSOKÝ PODÍL ZTRÁT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REALIZACI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56872C" w14:textId="137BE8A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4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98C75A1" w14:textId="0DF79D6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4,18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C8988BE" w14:textId="32279C52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22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34FA00A" w14:textId="2D7F960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1,78</w:t>
            </w:r>
          </w:p>
        </w:tc>
      </w:tr>
      <w:tr w:rsidR="00AF600B" w:rsidRPr="00F14A60" w14:paraId="4429DE7F" w14:textId="77777777" w:rsidTr="00576CC5">
        <w:trPr>
          <w:trHeight w:val="65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1CE588A" w14:textId="4EE9B992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VODA NEFAKTUROVANÁ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ŘADU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4276153" w14:textId="6E9FA519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6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5CD9A06" w14:textId="3BD99E7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11,37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B9AC619" w14:textId="3A2BD97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34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BAE98D5" w14:textId="52EB8A2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4,78</w:t>
            </w:r>
          </w:p>
        </w:tc>
      </w:tr>
      <w:tr w:rsidR="00AF600B" w:rsidRPr="00F14A60" w14:paraId="00868364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1549940B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2C11EAC" w14:textId="320029C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14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5C27A90" w14:textId="23A5287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9,69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0E4A422" w14:textId="31D72BE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256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E795A36" w14:textId="73CB0BE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24,62</w:t>
            </w:r>
          </w:p>
        </w:tc>
      </w:tr>
      <w:tr w:rsidR="00AF600B" w:rsidRPr="00F14A60" w14:paraId="777BBB95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36B4887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5CA3B8A" w14:textId="7A2FE1F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5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A5AC991" w14:textId="7F51887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3,94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7F38E80" w14:textId="4E7111F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148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5AEA1A2" w14:textId="3C79A82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14,85</w:t>
            </w:r>
          </w:p>
        </w:tc>
      </w:tr>
      <w:tr w:rsidR="00AF600B" w:rsidRPr="00F14A60" w14:paraId="1BF29388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0D84D5F" w14:textId="2CB9F250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ÚVN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51D144B" w14:textId="638497A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7A078D5" w14:textId="70AB58B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16,84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485952" w14:textId="322EAA7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70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C9785BE" w14:textId="598D58F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7,29</w:t>
            </w:r>
          </w:p>
        </w:tc>
      </w:tr>
      <w:tr w:rsidR="00AF600B" w:rsidRPr="00F14A60" w14:paraId="79CDF727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4128326" w14:textId="1218E3D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53E323B" w14:textId="539BF32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E19CAB8" w14:textId="6401803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E829AB0" w14:textId="13B3582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79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374FB00" w14:textId="18771CC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8,94</w:t>
            </w:r>
          </w:p>
        </w:tc>
      </w:tr>
      <w:tr w:rsidR="00AF600B" w:rsidRPr="00F14A60" w14:paraId="7D407B31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D8F904C" w14:textId="19B6A5F0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VODNÉ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79F9AA3" w14:textId="41D0A4E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0FC2FC4" w14:textId="4739CE5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5C12FCB" w14:textId="0212898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16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F53646D" w14:textId="6719B68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1,10</w:t>
            </w:r>
          </w:p>
        </w:tc>
      </w:tr>
      <w:tr w:rsidR="00AF600B" w:rsidRPr="00F14A60" w14:paraId="78304D31" w14:textId="77777777" w:rsidTr="00576CC5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2DC2FF96" w14:textId="5B2E3910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FYZIKÁLNĚ CHEMICKÉ VZORKY (VÍC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CD3EFD7" w14:textId="38E6FB9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9A4D67B" w14:textId="5A82913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0,00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3C5228C" w14:textId="11B754C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CCB23FB" w14:textId="28C523B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2,84</w:t>
            </w:r>
          </w:p>
        </w:tc>
      </w:tr>
      <w:tr w:rsidR="00AF600B" w:rsidRPr="00F14A60" w14:paraId="3F970FEB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00E380D" w14:textId="72FBEA3B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MIKROBIOLOGICKÉ A BIOLOGICKÉ VZORKY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C893040" w14:textId="1E509DD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60CE5E2" w14:textId="44B7388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1,88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DBF8D4" w14:textId="76150625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7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CE59BCE" w14:textId="6593B635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0,50</w:t>
            </w:r>
          </w:p>
        </w:tc>
      </w:tr>
      <w:tr w:rsidR="00AF600B" w:rsidRPr="00F14A60" w14:paraId="1C012C0A" w14:textId="77777777" w:rsidTr="00576CC5">
        <w:trPr>
          <w:trHeight w:val="282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vAlign w:val="center"/>
            <w:hideMark/>
          </w:tcPr>
          <w:p w14:paraId="214A7B5F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416BAC8D" w14:textId="256D71F6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59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5AC76A2C" w14:textId="5B75394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 w:val="20"/>
                <w:szCs w:val="20"/>
              </w:rPr>
              <w:t>63,90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2F4108BB" w14:textId="2D68D4FD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692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6CF8B33D" w14:textId="3942D1C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 w:val="20"/>
                <w:szCs w:val="20"/>
              </w:rPr>
              <w:t>71,55</w:t>
            </w:r>
          </w:p>
        </w:tc>
      </w:tr>
      <w:tr w:rsidR="00AF600B" w:rsidRPr="00F14A60" w14:paraId="58D0361F" w14:textId="77777777" w:rsidTr="00576CC5">
        <w:trPr>
          <w:trHeight w:val="22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4033F4A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B9FFAE9" w14:textId="671F782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3698E65" w14:textId="5CE539F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31,26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38872B1" w14:textId="44E6964D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322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4A4940B" w14:textId="505E876D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33,52</w:t>
            </w:r>
          </w:p>
        </w:tc>
      </w:tr>
      <w:tr w:rsidR="00AF600B" w:rsidRPr="00F14A60" w14:paraId="59A02BE1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46B93215" w14:textId="57E3B2E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C31BE8" w14:textId="66442FFA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49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D1269AC" w14:textId="7777777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66CD5E2" w14:textId="2D431A1D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378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856163E" w14:textId="7777777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</w:tr>
      <w:tr w:rsidR="00AF600B" w:rsidRPr="00F14A60" w14:paraId="0DFE5DF3" w14:textId="77777777" w:rsidTr="00576CC5">
        <w:trPr>
          <w:trHeight w:val="83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0C02B08" w14:textId="723FD5C4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3FB903" w14:textId="7312FD4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63,27%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2A9592C" w14:textId="439CB5C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56,36%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5CE9F7D" w14:textId="78A9FC7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85,19%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52C94239" w14:textId="61F1D6E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76,69%</w:t>
            </w:r>
          </w:p>
        </w:tc>
      </w:tr>
      <w:tr w:rsidR="00AF600B" w:rsidRPr="00F14A60" w14:paraId="2392AE08" w14:textId="77777777" w:rsidTr="00576CC5">
        <w:trPr>
          <w:trHeight w:val="868"/>
          <w:jc w:val="center"/>
        </w:trPr>
        <w:tc>
          <w:tcPr>
            <w:tcW w:w="219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2EF0E2EC" w14:textId="7777777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60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6A3E3300" w14:textId="6DF447E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VII.SKUPI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br/>
              <w:t>(&gt;300 PŘ.OB.)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72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6F377AD6" w14:textId="2A81E54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OBJEM PITNÉ VODY FAKTUROVANÉ (MIL. M3) OVLIVNĚN ANOMÁLIÍ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VII. SKUPINĚ</w:t>
            </w:r>
          </w:p>
        </w:tc>
        <w:tc>
          <w:tcPr>
            <w:tcW w:w="76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vAlign w:val="center"/>
            <w:hideMark/>
          </w:tcPr>
          <w:p w14:paraId="3E705CE7" w14:textId="5AE7F0D9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VIII.SKUPI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(&lt;300 PŘ.OB.)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707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vAlign w:val="center"/>
            <w:hideMark/>
          </w:tcPr>
          <w:p w14:paraId="77A8D8D0" w14:textId="77EBA72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OBJEM PITNÉ VODY FAKTUROVANÉ (MIL. M3) OVLIVNĚN ANOMÁLIÍ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VIII. SKUPINĚ</w:t>
            </w:r>
          </w:p>
        </w:tc>
      </w:tr>
      <w:tr w:rsidR="00AF600B" w:rsidRPr="00F14A60" w14:paraId="6D231B9F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4D2B3628" w14:textId="7E9E5CD5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SKUPINĚ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MIL. M3</w:t>
            </w:r>
          </w:p>
        </w:tc>
        <w:tc>
          <w:tcPr>
            <w:tcW w:w="6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0DC980CA" w14:textId="3854BAE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15,84</w:t>
            </w:r>
          </w:p>
        </w:tc>
        <w:tc>
          <w:tcPr>
            <w:tcW w:w="72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065E7A36" w14:textId="144EF02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71831F43" w14:textId="6279117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7,93</w:t>
            </w:r>
          </w:p>
        </w:tc>
        <w:tc>
          <w:tcPr>
            <w:tcW w:w="7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4E534FA4" w14:textId="3FF058A9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AF600B" w:rsidRPr="00F14A60" w14:paraId="458D17C0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6E782D1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ZÁSOBENÝCH OSOB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2A928709" w14:textId="6CB45E7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379 095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52532887" w14:textId="332E3DB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F75B5"/>
            <w:noWrap/>
            <w:vAlign w:val="center"/>
            <w:hideMark/>
          </w:tcPr>
          <w:p w14:paraId="5B46AF17" w14:textId="6370D7B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136 485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F75B5"/>
            <w:noWrap/>
            <w:vAlign w:val="center"/>
            <w:hideMark/>
          </w:tcPr>
          <w:p w14:paraId="41B7DC59" w14:textId="1B1C4F7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AF600B" w:rsidRPr="00F14A60" w14:paraId="72923F6D" w14:textId="77777777" w:rsidTr="00576CC5">
        <w:trPr>
          <w:trHeight w:val="77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0D4FD49" w14:textId="1DACE00C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VYSOKÉ ZTRÁTY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ŘÁDU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POROVNÁNÍ VYKAZUJÍCÍCH ZTRÁTY VODY NAD 4 M3/KM/DEN)  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05BFE0" w14:textId="0D0223F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59EAC7E" w14:textId="4CEE1B8D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0,86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34C5FD9" w14:textId="5A03FD0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27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405EE43" w14:textId="69019A85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0,40</w:t>
            </w:r>
          </w:p>
        </w:tc>
      </w:tr>
      <w:tr w:rsidR="00AF600B" w:rsidRPr="00F14A60" w14:paraId="2D46672B" w14:textId="77777777" w:rsidTr="00576CC5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F98368D" w14:textId="27D95EB6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VYSOKÝ PODÍL ZTRÁT VODY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REALIZACI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%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71A61A" w14:textId="5D23453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24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BFDF60E" w14:textId="55390B8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0,47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8D56348" w14:textId="313DD77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22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D4EA615" w14:textId="59DA9F46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0,15</w:t>
            </w:r>
          </w:p>
        </w:tc>
      </w:tr>
      <w:tr w:rsidR="00AF600B" w:rsidRPr="00F14A60" w14:paraId="1E000C46" w14:textId="77777777" w:rsidTr="00576CC5">
        <w:trPr>
          <w:trHeight w:val="651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00F0B9E9" w14:textId="537DF90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VODA NEFAKTUROVANÁ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M3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 KM PŘEPOČTENÉ DÉLKY VODOVODNÍH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ŘADU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DEN (PŘEVYŠUJE 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SKUPINY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VYKAZUJÍCÍCH ZTRÁTY VODY NAD 4 M3/KM/DEN)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E18D897" w14:textId="00F83E8D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39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A39F47F" w14:textId="441FF32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1,20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C6570BB" w14:textId="174AB8B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39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AA2AE29" w14:textId="19E3D05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0,97</w:t>
            </w:r>
          </w:p>
        </w:tc>
      </w:tr>
      <w:tr w:rsidR="00AF600B" w:rsidRPr="00F14A60" w14:paraId="074F0187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02E3A7CF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2A96386" w14:textId="6AEE3CB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580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75BF5C7" w14:textId="6D0486B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12,90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DF0CC00" w14:textId="68165B4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781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9CF0DBE" w14:textId="3F99646A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6,68</w:t>
            </w:r>
          </w:p>
        </w:tc>
      </w:tr>
      <w:tr w:rsidR="00AF600B" w:rsidRPr="00F14A60" w14:paraId="0C1C7BCB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CFA40CD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794F17C" w14:textId="013D68F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369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00E303" w14:textId="2DA9EAA6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7,96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511B012" w14:textId="72B1C30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583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29C9568" w14:textId="286468E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4,77</w:t>
            </w:r>
          </w:p>
        </w:tc>
      </w:tr>
      <w:tr w:rsidR="00AF600B" w:rsidRPr="00F14A60" w14:paraId="3E338CB4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BC5D963" w14:textId="09405754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ÚVN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0317F1C" w14:textId="4FA528D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83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5E62E55" w14:textId="54E3B95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2,02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A8C78EE" w14:textId="457FB9E9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89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A07F44A" w14:textId="78C7A0B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0,96</w:t>
            </w:r>
          </w:p>
        </w:tc>
      </w:tr>
      <w:tr w:rsidR="00AF600B" w:rsidRPr="00F14A60" w14:paraId="66238DC8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AA9BCB7" w14:textId="60C1186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B9A4D4" w14:textId="63D3758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135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8F52585" w14:textId="49FA700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3,15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FAD2440" w14:textId="0BF6C43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136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054894A" w14:textId="0E0835E5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1,39</w:t>
            </w:r>
          </w:p>
        </w:tc>
      </w:tr>
      <w:tr w:rsidR="00AF600B" w:rsidRPr="00F14A60" w14:paraId="2A256EE1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7D0330CE" w14:textId="15B230B6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PRO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VODNÉ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K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Z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E745867" w14:textId="16F7C52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23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0705423" w14:textId="4BFBCE3E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0,50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058B223" w14:textId="002E321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91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5B6A003" w14:textId="6A099BBB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1,06</w:t>
            </w:r>
          </w:p>
        </w:tc>
      </w:tr>
      <w:tr w:rsidR="00AF600B" w:rsidRPr="00F14A60" w14:paraId="41BC0DBE" w14:textId="77777777" w:rsidTr="00576CC5">
        <w:trPr>
          <w:trHeight w:val="7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791B8327" w14:textId="502464CD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FYZIKÁLNĚ CHEMICKÉ VZORKY (VÍC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F837212" w14:textId="09F40220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88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0BBDC9A" w14:textId="7DEAE56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1,83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20AE566" w14:textId="3BC8B37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161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70F51A6" w14:textId="31AA8B82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1,45</w:t>
            </w:r>
          </w:p>
        </w:tc>
      </w:tr>
      <w:tr w:rsidR="00AF600B" w:rsidRPr="00F14A60" w14:paraId="4CBF767F" w14:textId="77777777" w:rsidTr="00576CC5">
        <w:trPr>
          <w:trHeight w:val="527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666813F4" w14:textId="58D9D2E8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NEVYHOVUJÍCÍ MIKROBIOLOGICKÉ A BIOLOGICKÉ VZORKY (VÍCE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NEŽ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20% NEVYHOVUJÍCÍCH VZORKŮ)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1D260FD" w14:textId="5C5A5FB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61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EDFB296" w14:textId="199628F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1,34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6D2F4D1" w14:textId="2BEEB58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130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606C4FB" w14:textId="51220B7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1,24</w:t>
            </w:r>
          </w:p>
        </w:tc>
      </w:tr>
      <w:tr w:rsidR="00AF600B" w:rsidRPr="00F14A60" w14:paraId="7FCB6F8E" w14:textId="77777777" w:rsidTr="00576CC5">
        <w:trPr>
          <w:trHeight w:val="282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2F75B5"/>
            <w:vAlign w:val="center"/>
            <w:hideMark/>
          </w:tcPr>
          <w:p w14:paraId="6831D182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F14A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5A3F4D3B" w14:textId="1588E3D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1 433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4982A494" w14:textId="64BBF966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 w:val="20"/>
                <w:szCs w:val="20"/>
              </w:rPr>
              <w:t>32,22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33F09AEE" w14:textId="48AAE92C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2 059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2F75B5"/>
            <w:noWrap/>
            <w:vAlign w:val="center"/>
            <w:hideMark/>
          </w:tcPr>
          <w:p w14:paraId="30747C25" w14:textId="66133B8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 w:val="20"/>
                <w:szCs w:val="20"/>
              </w:rPr>
              <w:t>19,07</w:t>
            </w:r>
          </w:p>
        </w:tc>
      </w:tr>
      <w:tr w:rsidR="00AF600B" w:rsidRPr="00F14A60" w14:paraId="24E72C18" w14:textId="77777777" w:rsidTr="00576CC5">
        <w:trPr>
          <w:trHeight w:val="224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3A838BCE" w14:textId="77777777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39722FE" w14:textId="2A43910A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639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8265D37" w14:textId="509F61E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14,17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2D2D2E2" w14:textId="47FE438F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866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CF10204" w14:textId="47344936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7,54</w:t>
            </w:r>
          </w:p>
        </w:tc>
      </w:tr>
      <w:tr w:rsidR="00AF600B" w:rsidRPr="00F14A60" w14:paraId="35DE6219" w14:textId="77777777" w:rsidTr="00576CC5">
        <w:trPr>
          <w:trHeight w:val="309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14:paraId="539369FC" w14:textId="6D661743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955DD82" w14:textId="06F0BDF4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680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E1FB2D2" w14:textId="7777777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1C0007" w14:textId="7DEA0613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887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A39C8F0" w14:textId="77777777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</w:p>
        </w:tc>
      </w:tr>
      <w:tr w:rsidR="00AF600B" w:rsidRPr="00F14A60" w14:paraId="6344AE98" w14:textId="77777777" w:rsidTr="00576CC5">
        <w:trPr>
          <w:trHeight w:val="83"/>
          <w:jc w:val="center"/>
        </w:trPr>
        <w:tc>
          <w:tcPr>
            <w:tcW w:w="2195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14:paraId="2F663ACA" w14:textId="4A59003E" w:rsidR="00AF600B" w:rsidRPr="00F14A60" w:rsidRDefault="00AF600B" w:rsidP="00AF600B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F14A6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F14A60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60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FEA2BD3" w14:textId="67B6C2A9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93,97%</w:t>
            </w:r>
          </w:p>
        </w:tc>
        <w:tc>
          <w:tcPr>
            <w:tcW w:w="72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5A032B0" w14:textId="3D3D9041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89,47%</w:t>
            </w:r>
          </w:p>
        </w:tc>
        <w:tc>
          <w:tcPr>
            <w:tcW w:w="764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DC57FA5" w14:textId="42861FCA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203764"/>
                <w:sz w:val="20"/>
                <w:szCs w:val="20"/>
              </w:rPr>
              <w:t>97,63%</w:t>
            </w:r>
          </w:p>
        </w:tc>
        <w:tc>
          <w:tcPr>
            <w:tcW w:w="707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1CBEEADC" w14:textId="43BE5D08" w:rsidR="00AF600B" w:rsidRPr="00F14A60" w:rsidRDefault="00AF600B" w:rsidP="00AF600B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iCs/>
                <w:color w:val="203764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203764"/>
                <w:sz w:val="20"/>
                <w:szCs w:val="20"/>
              </w:rPr>
              <w:t>95,06%</w:t>
            </w:r>
          </w:p>
        </w:tc>
      </w:tr>
    </w:tbl>
    <w:p w14:paraId="07BD9F95" w14:textId="77777777" w:rsidR="005A127A" w:rsidRDefault="005A127A" w:rsidP="005A127A">
      <w:pPr>
        <w:spacing w:before="0" w:after="0"/>
        <w:contextualSpacing w:val="0"/>
        <w:rPr>
          <w:rFonts w:asciiTheme="minorHAnsi" w:hAnsiTheme="minorHAnsi"/>
          <w:noProof/>
          <w:color w:val="833C0B" w:themeColor="accent2" w:themeShade="80"/>
        </w:rPr>
      </w:pPr>
    </w:p>
    <w:p w14:paraId="07FAC234" w14:textId="77777777" w:rsidR="005A127A" w:rsidRDefault="005A127A" w:rsidP="005A127A">
      <w:pPr>
        <w:spacing w:before="0" w:after="0"/>
        <w:contextualSpacing w:val="0"/>
        <w:rPr>
          <w:rFonts w:asciiTheme="minorHAnsi" w:hAnsiTheme="minorHAnsi"/>
          <w:noProof/>
          <w:color w:val="833C0B" w:themeColor="accent2" w:themeShade="80"/>
        </w:rPr>
        <w:sectPr w:rsidR="005A127A" w:rsidSect="00AF600B">
          <w:footerReference w:type="default" r:id="rId41"/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14:paraId="39F8ECC1" w14:textId="05C743F7" w:rsidR="002358D5" w:rsidRDefault="002358D5" w:rsidP="002358D5">
      <w:pPr>
        <w:pStyle w:val="NORMLN0"/>
        <w:rPr>
          <w:noProof/>
        </w:rPr>
      </w:pPr>
      <w:r>
        <w:rPr>
          <w:noProof/>
        </w:rPr>
        <w:lastRenderedPageBreak/>
        <w:t>Následující graf znázorňuje podíly fakturované vody zasažené alespoň jedním výskytem anomálie p</w:t>
      </w:r>
      <w:r w:rsidR="00962A95">
        <w:rPr>
          <w:noProof/>
        </w:rPr>
        <w:t>o </w:t>
      </w:r>
      <w:r>
        <w:rPr>
          <w:noProof/>
        </w:rPr>
        <w:t>jednotlivých skupinách.</w:t>
      </w:r>
    </w:p>
    <w:p w14:paraId="6AB0D1ED" w14:textId="71A7EF2D" w:rsidR="00AF600B" w:rsidRDefault="00AF600B" w:rsidP="002358D5">
      <w:pPr>
        <w:pStyle w:val="NORMLN0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722752" behindDoc="0" locked="0" layoutInCell="1" allowOverlap="1" wp14:anchorId="11397311" wp14:editId="2CEBBC81">
            <wp:simplePos x="0" y="0"/>
            <wp:positionH relativeFrom="margin">
              <wp:align>center</wp:align>
            </wp:positionH>
            <wp:positionV relativeFrom="paragraph">
              <wp:posOffset>178493</wp:posOffset>
            </wp:positionV>
            <wp:extent cx="6483844" cy="7884795"/>
            <wp:effectExtent l="0" t="0" r="0" b="1905"/>
            <wp:wrapTopAndBottom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anchor>
        </w:drawing>
      </w:r>
    </w:p>
    <w:p w14:paraId="1858F603" w14:textId="17CF10EC" w:rsidR="005A127A" w:rsidRPr="00152198" w:rsidRDefault="005A127A" w:rsidP="005A127A">
      <w:pPr>
        <w:pStyle w:val="Nadpis3"/>
        <w:rPr>
          <w:rFonts w:asciiTheme="minorHAnsi" w:hAnsiTheme="minorHAnsi"/>
          <w:bCs/>
          <w:noProof/>
        </w:rPr>
      </w:pPr>
      <w:bookmarkStart w:id="92" w:name="_Toc963496"/>
      <w:bookmarkStart w:id="93" w:name="_Toc34210409"/>
      <w:r w:rsidRPr="00152198">
        <w:rPr>
          <w:rFonts w:asciiTheme="minorHAnsi" w:hAnsiTheme="minorHAnsi"/>
          <w:bCs/>
          <w:noProof/>
        </w:rPr>
        <w:lastRenderedPageBreak/>
        <w:t>Porovnání</w:t>
      </w:r>
      <w:r>
        <w:rPr>
          <w:rFonts w:asciiTheme="minorHAnsi" w:hAnsiTheme="minorHAnsi"/>
          <w:bCs/>
          <w:noProof/>
        </w:rPr>
        <w:t xml:space="preserve"> průměrných hodnot</w:t>
      </w:r>
      <w:r w:rsidRPr="00152198">
        <w:rPr>
          <w:rFonts w:asciiTheme="minorHAnsi" w:hAnsiTheme="minorHAnsi"/>
          <w:bCs/>
          <w:noProof/>
        </w:rPr>
        <w:t xml:space="preserve"> sledovaných ukazatelů </w:t>
      </w:r>
      <w:r w:rsidR="00962A95">
        <w:rPr>
          <w:rFonts w:asciiTheme="minorHAnsi" w:hAnsiTheme="minorHAnsi"/>
          <w:bCs/>
          <w:noProof/>
        </w:rPr>
        <w:t>z </w:t>
      </w:r>
      <w:r>
        <w:rPr>
          <w:rFonts w:asciiTheme="minorHAnsi" w:hAnsiTheme="minorHAnsi"/>
          <w:bCs/>
          <w:noProof/>
        </w:rPr>
        <w:t>Porovnání splňujících daná kritéria</w:t>
      </w:r>
      <w:bookmarkEnd w:id="92"/>
      <w:bookmarkEnd w:id="93"/>
      <w:r>
        <w:rPr>
          <w:rFonts w:asciiTheme="minorHAnsi" w:hAnsiTheme="minorHAnsi"/>
          <w:bCs/>
          <w:noProof/>
        </w:rPr>
        <w:t xml:space="preserve"> </w:t>
      </w:r>
    </w:p>
    <w:p w14:paraId="27E27F3F" w14:textId="71667572" w:rsidR="002358D5" w:rsidRPr="00133A78" w:rsidRDefault="00962A95" w:rsidP="00133A78">
      <w:pPr>
        <w:pStyle w:val="NORMLN0"/>
      </w:pPr>
      <w:r>
        <w:t>V </w:t>
      </w:r>
      <w:r w:rsidR="002358D5" w:rsidRPr="00133A78">
        <w:t xml:space="preserve">následující tabulce jsou uvedeny průměry hodnot vybraných ukazatelů Porovnání splňujících stanovené </w:t>
      </w:r>
      <w:r w:rsidR="000D0294">
        <w:t>kritéria</w:t>
      </w:r>
      <w:r w:rsidR="002358D5" w:rsidRPr="00133A78">
        <w:t xml:space="preserve"> </w:t>
      </w:r>
      <w:r>
        <w:t>pro </w:t>
      </w:r>
      <w:r w:rsidR="002358D5" w:rsidRPr="00133A78">
        <w:t xml:space="preserve">jednotlivé skupiny provozovatelů. </w:t>
      </w:r>
      <w:r>
        <w:t>Při </w:t>
      </w:r>
      <w:r w:rsidR="002358D5" w:rsidRPr="00133A78">
        <w:t>jejich výpočtu se postupoval</w:t>
      </w:r>
      <w:r>
        <w:t>o v </w:t>
      </w:r>
      <w:r w:rsidR="002358D5" w:rsidRPr="00133A78">
        <w:t xml:space="preserve">souladu s platnou metodikou a postupy uvedenými </w:t>
      </w:r>
      <w:r>
        <w:t>v </w:t>
      </w:r>
      <w:r w:rsidR="002358D5" w:rsidRPr="00133A78">
        <w:t>bodě 6.2.</w:t>
      </w:r>
      <w:r w:rsidR="0011579E">
        <w:t>2</w:t>
      </w:r>
      <w:r w:rsidR="002358D5" w:rsidRPr="00133A78">
        <w:t xml:space="preserve">. </w:t>
      </w:r>
    </w:p>
    <w:p w14:paraId="37386988" w14:textId="001F2850" w:rsidR="002358D5" w:rsidRPr="00133A78" w:rsidRDefault="002358D5" w:rsidP="00133A78">
      <w:pPr>
        <w:pStyle w:val="NORMLN0"/>
      </w:pPr>
      <w:r w:rsidRPr="00133A78">
        <w:t>Podle průměrných hodnot dosažených provozovateli</w:t>
      </w:r>
      <w:r w:rsidR="00DE53F8">
        <w:t xml:space="preserve"> u </w:t>
      </w:r>
      <w:r w:rsidRPr="00133A78">
        <w:t xml:space="preserve">Porovnání nejvíce se blížících plnění jednotlivých záměrů regulace je možné se pokusit velice zjednodušeně specifikovat doporučené hodnoty </w:t>
      </w:r>
      <w:r w:rsidR="00962A95">
        <w:t>pro </w:t>
      </w:r>
      <w:r w:rsidRPr="00133A78">
        <w:t xml:space="preserve">celý obor vodovodů. </w:t>
      </w:r>
    </w:p>
    <w:p w14:paraId="0A35517D" w14:textId="77777777" w:rsidR="002358D5" w:rsidRPr="00C62639" w:rsidRDefault="002358D5" w:rsidP="002358D5">
      <w:pPr>
        <w:rPr>
          <w:rFonts w:asciiTheme="minorHAnsi" w:hAnsiTheme="minorHAnsi"/>
          <w:noProof/>
        </w:rPr>
      </w:pPr>
    </w:p>
    <w:tbl>
      <w:tblPr>
        <w:tblW w:w="607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125"/>
        <w:gridCol w:w="1129"/>
        <w:gridCol w:w="1574"/>
        <w:gridCol w:w="1865"/>
        <w:gridCol w:w="1424"/>
        <w:gridCol w:w="1283"/>
      </w:tblGrid>
      <w:tr w:rsidR="002358D5" w:rsidRPr="00C62639" w14:paraId="4428C585" w14:textId="77777777" w:rsidTr="00FE3F65">
        <w:trPr>
          <w:trHeight w:val="1142"/>
          <w:jc w:val="center"/>
        </w:trPr>
        <w:tc>
          <w:tcPr>
            <w:tcW w:w="118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3A83DC09" w14:textId="77777777" w:rsidR="002358D5" w:rsidRPr="00C62639" w:rsidRDefault="002358D5" w:rsidP="00FE3F65">
            <w:pPr>
              <w:spacing w:before="0" w:after="0"/>
              <w:contextualSpacing w:val="0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0"/>
                <w:lang w:eastAsia="cs-CZ"/>
              </w:rPr>
            </w:pPr>
            <w:r w:rsidRPr="00C62639">
              <w:rPr>
                <w:rFonts w:asciiTheme="minorHAnsi" w:eastAsia="Times New Roman" w:hAnsiTheme="minorHAnsi"/>
                <w:b/>
                <w:bCs/>
                <w:color w:val="FFFFFF"/>
                <w:sz w:val="20"/>
                <w:lang w:eastAsia="cs-CZ"/>
              </w:rPr>
              <w:t>UKAZATEL</w:t>
            </w:r>
          </w:p>
        </w:tc>
        <w:tc>
          <w:tcPr>
            <w:tcW w:w="51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6F9D24E0" w14:textId="77777777" w:rsidR="002358D5" w:rsidRPr="00C00FFB" w:rsidRDefault="002358D5" w:rsidP="00FE3F65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C00FFB">
              <w:rPr>
                <w:rFonts w:cs="Calibri"/>
                <w:b/>
                <w:bCs/>
                <w:color w:val="FFFFFF"/>
                <w:sz w:val="20"/>
              </w:rPr>
              <w:t>OPERAČNÍ KOEFICIENT (-)</w:t>
            </w:r>
          </w:p>
        </w:tc>
        <w:tc>
          <w:tcPr>
            <w:tcW w:w="513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7A9C9CE2" w14:textId="64726045" w:rsidR="002358D5" w:rsidRPr="00C00FFB" w:rsidRDefault="002358D5" w:rsidP="00FE3F65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 w:rsidRPr="00C00FFB">
              <w:rPr>
                <w:rFonts w:cs="Calibri"/>
                <w:b/>
                <w:bCs/>
                <w:color w:val="FFFFFF"/>
                <w:sz w:val="20"/>
              </w:rPr>
              <w:t>CE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NA PRO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>VODNÉ (KČ/M³)</w:t>
            </w:r>
          </w:p>
        </w:tc>
        <w:tc>
          <w:tcPr>
            <w:tcW w:w="715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653B7F83" w14:textId="5AEF5AE3" w:rsidR="002358D5" w:rsidRPr="00C00FFB" w:rsidRDefault="002358D5" w:rsidP="00FE3F65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 w:rsidRPr="00C00FFB">
              <w:rPr>
                <w:rFonts w:cs="Calibri"/>
                <w:b/>
                <w:bCs/>
                <w:color w:val="FFFFFF"/>
                <w:sz w:val="20"/>
              </w:rPr>
              <w:t xml:space="preserve">NEFAKTUROVANÁ VODA 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V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 xml:space="preserve">M³ 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NA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 xml:space="preserve">KM PŘEPOČTENÉ DÉLKY 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ZA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>DEN</w:t>
            </w:r>
          </w:p>
        </w:tc>
        <w:tc>
          <w:tcPr>
            <w:tcW w:w="84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3697B6B5" w14:textId="5D96D6B0" w:rsidR="002358D5" w:rsidRPr="00C00FFB" w:rsidRDefault="002358D5" w:rsidP="00FE3F65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 w:rsidRPr="00C00FFB">
              <w:rPr>
                <w:rFonts w:cs="Calibri"/>
                <w:b/>
                <w:bCs/>
                <w:color w:val="FFFFFF"/>
                <w:sz w:val="20"/>
              </w:rPr>
              <w:t xml:space="preserve">PODÍL GENEROVANÝCH PROSTŘEDKŮ 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NA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 xml:space="preserve">OBNOVU A ROZVOJ 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K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>HODNOTĚ VIM (%)</w:t>
            </w:r>
          </w:p>
        </w:tc>
        <w:tc>
          <w:tcPr>
            <w:tcW w:w="64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754909BA" w14:textId="4C383FDF" w:rsidR="002358D5" w:rsidRPr="00C00FFB" w:rsidRDefault="002358D5" w:rsidP="00FE3F65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 w:rsidRPr="00C00FFB">
              <w:rPr>
                <w:rFonts w:cs="Calibri"/>
                <w:b/>
                <w:bCs/>
                <w:color w:val="FFFFFF"/>
                <w:sz w:val="20"/>
              </w:rPr>
              <w:t>POČET PŘÍPOJE</w:t>
            </w:r>
            <w:r w:rsidR="00962A95">
              <w:rPr>
                <w:rFonts w:cs="Calibri"/>
                <w:b/>
                <w:bCs/>
                <w:color w:val="FFFFFF"/>
                <w:sz w:val="20"/>
              </w:rPr>
              <w:t>K NA </w:t>
            </w:r>
            <w:r w:rsidRPr="00C00FFB">
              <w:rPr>
                <w:rFonts w:cs="Calibri"/>
                <w:b/>
                <w:bCs/>
                <w:color w:val="FFFFFF"/>
                <w:sz w:val="20"/>
              </w:rPr>
              <w:t>1 PRACOVNÍKA (PŘÍP./PRAC.)</w:t>
            </w:r>
          </w:p>
        </w:tc>
        <w:tc>
          <w:tcPr>
            <w:tcW w:w="583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0E072BD2" w14:textId="77777777" w:rsidR="002358D5" w:rsidRPr="00C00FFB" w:rsidRDefault="002358D5" w:rsidP="00FE3F65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 w:rsidRPr="00C00FFB">
              <w:rPr>
                <w:rFonts w:cs="Calibri"/>
                <w:b/>
                <w:bCs/>
                <w:color w:val="FFFFFF"/>
                <w:sz w:val="20"/>
              </w:rPr>
              <w:t>JEDNOTKOVÉ NÁKLADY (KČ/M³)</w:t>
            </w:r>
          </w:p>
        </w:tc>
      </w:tr>
      <w:tr w:rsidR="002358D5" w:rsidRPr="00C62639" w14:paraId="081EA837" w14:textId="77777777" w:rsidTr="00FE3F65">
        <w:trPr>
          <w:trHeight w:val="253"/>
          <w:jc w:val="center"/>
        </w:trPr>
        <w:tc>
          <w:tcPr>
            <w:tcW w:w="118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B2E5BED" w14:textId="08CDD9A5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I.SKUPI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(&gt;500 000 PŘ.OB.)</w:t>
            </w:r>
          </w:p>
        </w:tc>
        <w:tc>
          <w:tcPr>
            <w:tcW w:w="51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6C89806A" w14:textId="77777777" w:rsidR="002358D5" w:rsidRDefault="002358D5" w:rsidP="00FE3F65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1,16</w:t>
            </w:r>
          </w:p>
        </w:tc>
        <w:tc>
          <w:tcPr>
            <w:tcW w:w="51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210634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40,85</w:t>
            </w:r>
          </w:p>
        </w:tc>
        <w:tc>
          <w:tcPr>
            <w:tcW w:w="71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9BEB0D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5,99</w:t>
            </w:r>
          </w:p>
        </w:tc>
        <w:tc>
          <w:tcPr>
            <w:tcW w:w="84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3929AD8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2,50</w:t>
            </w:r>
          </w:p>
        </w:tc>
        <w:tc>
          <w:tcPr>
            <w:tcW w:w="64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A4B249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318,33</w:t>
            </w:r>
          </w:p>
        </w:tc>
        <w:tc>
          <w:tcPr>
            <w:tcW w:w="5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FC8743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35,61</w:t>
            </w:r>
          </w:p>
        </w:tc>
      </w:tr>
      <w:tr w:rsidR="002358D5" w:rsidRPr="00C62639" w14:paraId="234A35C6" w14:textId="77777777" w:rsidTr="00FE3F65">
        <w:trPr>
          <w:trHeight w:val="240"/>
          <w:jc w:val="center"/>
        </w:trPr>
        <w:tc>
          <w:tcPr>
            <w:tcW w:w="11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B27F7BC" w14:textId="4D566FF6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II.SKUPI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(&gt;200 000 PŘ.OB.)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757B22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1,09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A5A4741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37,09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46C4E38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5,50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A01B0B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3,21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DE5CF7A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296,85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455311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34,21</w:t>
            </w:r>
          </w:p>
        </w:tc>
      </w:tr>
      <w:tr w:rsidR="002358D5" w:rsidRPr="00C62639" w14:paraId="57475401" w14:textId="77777777" w:rsidTr="00FE3F65">
        <w:trPr>
          <w:trHeight w:val="240"/>
          <w:jc w:val="center"/>
        </w:trPr>
        <w:tc>
          <w:tcPr>
            <w:tcW w:w="11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0FDB9A7" w14:textId="35BFB4B4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III.SKUPI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(&gt;100 000 PŘ.OB.)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0C83BD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1,07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CADABC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39,65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DA311D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3,07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3F008D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2,59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A9038F5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369,07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9E5FDD4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37,15</w:t>
            </w:r>
          </w:p>
        </w:tc>
      </w:tr>
      <w:tr w:rsidR="002358D5" w:rsidRPr="00C62639" w14:paraId="11B0B0EE" w14:textId="77777777" w:rsidTr="00FE3F65">
        <w:trPr>
          <w:trHeight w:val="240"/>
          <w:jc w:val="center"/>
        </w:trPr>
        <w:tc>
          <w:tcPr>
            <w:tcW w:w="11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66E87B9" w14:textId="69D19DE5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IV.SKUPI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(&gt;50 000 PŘ.OB.)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959AA7C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1,06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FEE2E90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41,63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F7D2A2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2,87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FC6B37E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2,20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4E0D1C0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1 286,50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FDB78A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39,11</w:t>
            </w:r>
          </w:p>
        </w:tc>
      </w:tr>
      <w:tr w:rsidR="002358D5" w:rsidRPr="00C62639" w14:paraId="40262BF3" w14:textId="77777777" w:rsidTr="00FE3F65">
        <w:trPr>
          <w:trHeight w:val="240"/>
          <w:jc w:val="center"/>
        </w:trPr>
        <w:tc>
          <w:tcPr>
            <w:tcW w:w="11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2806384" w14:textId="79D8717B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V.SKUPI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(&gt;10 000 PŘ.OB.)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2769C9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1,06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B630ED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37,81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23C7BB0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3,47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561C9E8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2,69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38BA140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1 204,58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EB5D12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35,78</w:t>
            </w:r>
          </w:p>
        </w:tc>
      </w:tr>
      <w:tr w:rsidR="002358D5" w:rsidRPr="00C62639" w14:paraId="0C29AE25" w14:textId="77777777" w:rsidTr="00FE3F65">
        <w:trPr>
          <w:trHeight w:val="240"/>
          <w:jc w:val="center"/>
        </w:trPr>
        <w:tc>
          <w:tcPr>
            <w:tcW w:w="11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370CE24" w14:textId="6698F635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VI.SKUPI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(&gt;1 000 PŘ.OB.)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9A0EBC8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1,09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5D82340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34,61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713626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1,89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6DB33CDE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2,67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03311FA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675,75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2456B15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30,36</w:t>
            </w:r>
          </w:p>
        </w:tc>
      </w:tr>
      <w:tr w:rsidR="002358D5" w:rsidRPr="00C62639" w14:paraId="5A9CFCBD" w14:textId="77777777" w:rsidTr="00FE3F65">
        <w:trPr>
          <w:trHeight w:val="240"/>
          <w:jc w:val="center"/>
        </w:trPr>
        <w:tc>
          <w:tcPr>
            <w:tcW w:w="11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360A66AF" w14:textId="118DA052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VII.SKUPI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(&gt;300 PŘ.OB.)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812059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1,01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66E4128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34,26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EC695A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1,28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2368779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5,98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9C0DE27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841,73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717797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31,58</w:t>
            </w:r>
          </w:p>
        </w:tc>
      </w:tr>
      <w:tr w:rsidR="002358D5" w:rsidRPr="00C62639" w14:paraId="04EEFEC2" w14:textId="77777777" w:rsidTr="00FE3F65">
        <w:trPr>
          <w:trHeight w:val="253"/>
          <w:jc w:val="center"/>
        </w:trPr>
        <w:tc>
          <w:tcPr>
            <w:tcW w:w="1184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5398C563" w14:textId="5F64D2E0" w:rsidR="002358D5" w:rsidRPr="00587A6B" w:rsidRDefault="002358D5" w:rsidP="00FE3F65">
            <w:pPr>
              <w:rPr>
                <w:color w:val="000000"/>
                <w:sz w:val="20"/>
              </w:rPr>
            </w:pPr>
            <w:r w:rsidRPr="00587A6B">
              <w:rPr>
                <w:color w:val="000000"/>
                <w:sz w:val="20"/>
              </w:rPr>
              <w:t>VIII.SKUPI</w:t>
            </w:r>
            <w:r w:rsidR="00962A95">
              <w:rPr>
                <w:color w:val="000000"/>
                <w:sz w:val="20"/>
              </w:rPr>
              <w:t>NA </w:t>
            </w:r>
            <w:r w:rsidRPr="00587A6B">
              <w:rPr>
                <w:color w:val="000000"/>
                <w:sz w:val="20"/>
              </w:rPr>
              <w:t>(&lt;300 PŘ.OB.)</w:t>
            </w:r>
          </w:p>
        </w:tc>
        <w:tc>
          <w:tcPr>
            <w:tcW w:w="511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26D941EE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1,10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7C30E91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33,04</w:t>
            </w:r>
          </w:p>
        </w:tc>
        <w:tc>
          <w:tcPr>
            <w:tcW w:w="715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112B8F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0,61</w:t>
            </w:r>
          </w:p>
        </w:tc>
        <w:tc>
          <w:tcPr>
            <w:tcW w:w="847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164F22A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1,84</w:t>
            </w:r>
          </w:p>
        </w:tc>
        <w:tc>
          <w:tcPr>
            <w:tcW w:w="647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4F1B76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306,56</w:t>
            </w:r>
          </w:p>
        </w:tc>
        <w:tc>
          <w:tcPr>
            <w:tcW w:w="583" w:type="pct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816274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29,80</w:t>
            </w:r>
          </w:p>
        </w:tc>
      </w:tr>
      <w:tr w:rsidR="002358D5" w:rsidRPr="00C62639" w14:paraId="1BFF1759" w14:textId="77777777" w:rsidTr="00FE3F65">
        <w:trPr>
          <w:trHeight w:val="301"/>
          <w:jc w:val="center"/>
        </w:trPr>
        <w:tc>
          <w:tcPr>
            <w:tcW w:w="1184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DD7EE" w:fill="BDD7EE"/>
            <w:vAlign w:val="center"/>
            <w:hideMark/>
          </w:tcPr>
          <w:p w14:paraId="5FB01218" w14:textId="77777777" w:rsidR="002358D5" w:rsidRPr="00C62639" w:rsidRDefault="002358D5" w:rsidP="00FE3F65">
            <w:pPr>
              <w:spacing w:before="0" w:after="0"/>
              <w:contextualSpacing w:val="0"/>
              <w:jc w:val="left"/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lang w:eastAsia="cs-CZ"/>
              </w:rPr>
            </w:pPr>
            <w:r w:rsidRPr="00C62639"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lang w:eastAsia="cs-CZ"/>
              </w:rPr>
              <w:t>PRŮMĚR</w:t>
            </w:r>
            <w:r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lang w:eastAsia="cs-CZ"/>
              </w:rPr>
              <w:t xml:space="preserve"> </w:t>
            </w:r>
            <w:r w:rsidRPr="00C62639"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lang w:eastAsia="cs-CZ"/>
              </w:rPr>
              <w:t>VŠECH</w:t>
            </w:r>
            <w:r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lang w:eastAsia="cs-CZ"/>
              </w:rPr>
              <w:t xml:space="preserve"> SKUPIN</w:t>
            </w:r>
          </w:p>
        </w:tc>
        <w:tc>
          <w:tcPr>
            <w:tcW w:w="51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0B316B6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1,08</w:t>
            </w:r>
          </w:p>
        </w:tc>
        <w:tc>
          <w:tcPr>
            <w:tcW w:w="51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17AFE7C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37,37</w:t>
            </w:r>
          </w:p>
        </w:tc>
        <w:tc>
          <w:tcPr>
            <w:tcW w:w="7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1681C7FF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3,08</w:t>
            </w:r>
          </w:p>
        </w:tc>
        <w:tc>
          <w:tcPr>
            <w:tcW w:w="84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BE244B3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2,96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2725050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662,42</w:t>
            </w:r>
          </w:p>
        </w:tc>
        <w:tc>
          <w:tcPr>
            <w:tcW w:w="58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767FB2E6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34,20</w:t>
            </w:r>
          </w:p>
        </w:tc>
      </w:tr>
    </w:tbl>
    <w:p w14:paraId="242F6A34" w14:textId="77777777" w:rsidR="005A127A" w:rsidRDefault="005A127A" w:rsidP="005A127A">
      <w:pPr>
        <w:rPr>
          <w:rFonts w:asciiTheme="minorHAnsi" w:hAnsiTheme="minorHAnsi"/>
          <w:noProof/>
        </w:rPr>
      </w:pPr>
    </w:p>
    <w:p w14:paraId="4A0A218F" w14:textId="77777777" w:rsidR="005A127A" w:rsidRPr="00C62639" w:rsidRDefault="005A127A" w:rsidP="005A127A">
      <w:pPr>
        <w:rPr>
          <w:rFonts w:asciiTheme="minorHAnsi" w:hAnsiTheme="minorHAnsi"/>
          <w:noProof/>
        </w:rPr>
      </w:pPr>
    </w:p>
    <w:p w14:paraId="01B64E88" w14:textId="77777777" w:rsidR="005A127A" w:rsidRPr="00655941" w:rsidRDefault="005A127A" w:rsidP="005A127A">
      <w:pPr>
        <w:pStyle w:val="Nadpis3"/>
        <w:rPr>
          <w:rFonts w:asciiTheme="minorHAnsi" w:hAnsiTheme="minorHAnsi"/>
          <w:bCs/>
          <w:noProof/>
        </w:rPr>
      </w:pPr>
      <w:bookmarkStart w:id="94" w:name="_Toc963497"/>
      <w:bookmarkStart w:id="95" w:name="_Toc34210410"/>
      <w:r w:rsidRPr="00655941">
        <w:rPr>
          <w:rFonts w:asciiTheme="minorHAnsi" w:hAnsiTheme="minorHAnsi"/>
          <w:bCs/>
          <w:noProof/>
        </w:rPr>
        <w:t>Voda nefakturovaná a ztráty vody</w:t>
      </w:r>
      <w:bookmarkEnd w:id="94"/>
      <w:bookmarkEnd w:id="95"/>
      <w:r w:rsidRPr="00655941">
        <w:rPr>
          <w:rFonts w:asciiTheme="minorHAnsi" w:hAnsiTheme="minorHAnsi"/>
          <w:bCs/>
          <w:noProof/>
        </w:rPr>
        <w:t xml:space="preserve"> </w:t>
      </w:r>
    </w:p>
    <w:p w14:paraId="49EF7A3E" w14:textId="1D4DDE17" w:rsidR="002358D5" w:rsidRDefault="002358D5" w:rsidP="00133A78">
      <w:pPr>
        <w:pStyle w:val="NORMLN0"/>
      </w:pPr>
      <w:r>
        <w:t xml:space="preserve">Velmi důležitým procesem souvisejícím s provozováním vodárenských systémů je řízení </w:t>
      </w:r>
      <w:r w:rsidRPr="001226D6">
        <w:rPr>
          <w:b/>
        </w:rPr>
        <w:t>ztrát</w:t>
      </w:r>
      <w:r>
        <w:t xml:space="preserve"> pitné vody a </w:t>
      </w:r>
      <w:r w:rsidRPr="001226D6">
        <w:rPr>
          <w:b/>
        </w:rPr>
        <w:t>vody nefakturované</w:t>
      </w:r>
      <w:r>
        <w:t xml:space="preserve"> (vi</w:t>
      </w:r>
      <w:r w:rsidR="00962A95">
        <w:t>z </w:t>
      </w:r>
      <w:r>
        <w:t>příloha č. 2). M</w:t>
      </w:r>
      <w:r w:rsidR="00962A95">
        <w:t>Ze </w:t>
      </w:r>
      <w:r>
        <w:t>kvalitu tohot</w:t>
      </w:r>
      <w:r w:rsidR="00962A95">
        <w:t>o </w:t>
      </w:r>
      <w:r>
        <w:t xml:space="preserve">procesu posuzuje </w:t>
      </w:r>
      <w:r w:rsidR="00D7607F">
        <w:t>podle</w:t>
      </w:r>
      <w:r>
        <w:t xml:space="preserve"> vykázanéh</w:t>
      </w:r>
      <w:r w:rsidR="00962A95">
        <w:t>o </w:t>
      </w:r>
      <w:r>
        <w:t>absolutníh</w:t>
      </w:r>
      <w:r w:rsidR="00962A95">
        <w:t>o </w:t>
      </w:r>
      <w:r>
        <w:t xml:space="preserve">množství ztrát pitné vody a nefakturované pitné vody </w:t>
      </w:r>
      <w:r w:rsidR="00D7607F">
        <w:t>a</w:t>
      </w:r>
      <w:r>
        <w:t xml:space="preserve"> podle hodnot poměrových ukazatelů, jak</w:t>
      </w:r>
      <w:r w:rsidR="00962A95">
        <w:t>o </w:t>
      </w:r>
      <w:r>
        <w:t xml:space="preserve">jsou podíl ztrát pitné vody </w:t>
      </w:r>
      <w:r w:rsidR="00962A95">
        <w:t>na </w:t>
      </w:r>
      <w:r>
        <w:t xml:space="preserve">vodě </w:t>
      </w:r>
      <w:r w:rsidR="00962A95">
        <w:t>k </w:t>
      </w:r>
      <w:r>
        <w:t xml:space="preserve">realizaci, podíl nefakturované vody </w:t>
      </w:r>
      <w:r w:rsidR="00962A95">
        <w:t>na </w:t>
      </w:r>
      <w:r>
        <w:t xml:space="preserve">vodě </w:t>
      </w:r>
      <w:r w:rsidR="00962A95">
        <w:t>k </w:t>
      </w:r>
      <w:r>
        <w:t xml:space="preserve">realizaci, množství ztrát pitné vody a množství nefakturované pitné vody </w:t>
      </w:r>
      <w:r w:rsidR="00962A95">
        <w:t>na </w:t>
      </w:r>
      <w:r>
        <w:t xml:space="preserve">1 km přepočtené délky vodovodu. </w:t>
      </w:r>
    </w:p>
    <w:p w14:paraId="03317745" w14:textId="0AC8D248" w:rsidR="002358D5" w:rsidRPr="00971B17" w:rsidRDefault="00962A95" w:rsidP="00971B17">
      <w:pPr>
        <w:pStyle w:val="NORMLN0"/>
      </w:pPr>
      <w:r>
        <w:t>Při </w:t>
      </w:r>
      <w:r w:rsidR="002358D5" w:rsidRPr="00971B17">
        <w:t xml:space="preserve">vyhodnocování uvedených ukazatelů byli identifikováni provozovatelé, kteří vykazují nedostatky </w:t>
      </w:r>
      <w:r>
        <w:t>ve </w:t>
      </w:r>
      <w:r w:rsidR="002358D5" w:rsidRPr="00971B17">
        <w:t>sledování a vykazování ztrát pitné vody i nefakturov</w:t>
      </w:r>
      <w:r w:rsidR="00971B17">
        <w:t>a</w:t>
      </w:r>
      <w:r w:rsidR="002358D5" w:rsidRPr="00971B17">
        <w:t>né vody, což může ovlivňovat vypovídací hodnotu spočtených ukazatelů a jejich středních hodnot. Tit</w:t>
      </w:r>
      <w:r>
        <w:t>o </w:t>
      </w:r>
      <w:r w:rsidR="002358D5" w:rsidRPr="00971B17">
        <w:t>provozovatelé také jednoznačně nevyužívají řízení množství nefakturované vody a snižování množství ztrát</w:t>
      </w:r>
      <w:r w:rsidR="00371EFB" w:rsidRPr="00971B17">
        <w:t xml:space="preserve"> </w:t>
      </w:r>
      <w:r w:rsidR="002358D5" w:rsidRPr="00971B17">
        <w:t>jak</w:t>
      </w:r>
      <w:r>
        <w:t>o </w:t>
      </w:r>
      <w:r w:rsidR="002358D5" w:rsidRPr="00971B17">
        <w:t xml:space="preserve">nástroj </w:t>
      </w:r>
      <w:r>
        <w:t>pro </w:t>
      </w:r>
      <w:r w:rsidR="002358D5" w:rsidRPr="00971B17">
        <w:t xml:space="preserve">zvyšování efektivity a kvality provozu VIM. </w:t>
      </w:r>
    </w:p>
    <w:p w14:paraId="1BB934E9" w14:textId="107C7DAF" w:rsidR="002358D5" w:rsidRDefault="00962A95" w:rsidP="00133A78">
      <w:pPr>
        <w:pStyle w:val="NORMLN0"/>
        <w:rPr>
          <w:noProof/>
        </w:rPr>
      </w:pPr>
      <w:r>
        <w:rPr>
          <w:noProof/>
        </w:rPr>
        <w:t>Z </w:t>
      </w:r>
      <w:r w:rsidR="002358D5">
        <w:rPr>
          <w:noProof/>
        </w:rPr>
        <w:t>následujících tabule</w:t>
      </w:r>
      <w:r>
        <w:rPr>
          <w:noProof/>
        </w:rPr>
        <w:t>k </w:t>
      </w:r>
      <w:r w:rsidR="002358D5">
        <w:rPr>
          <w:noProof/>
        </w:rPr>
        <w:t xml:space="preserve">vyplývá, že problémy se sledováním a vykazováním ukazatelů se vyskytují </w:t>
      </w:r>
      <w:r>
        <w:rPr>
          <w:noProof/>
        </w:rPr>
        <w:t>v </w:t>
      </w:r>
      <w:r w:rsidR="002358D5">
        <w:rPr>
          <w:noProof/>
        </w:rPr>
        <w:t>V. až VIII. provozovatelské skupině, nejčastěji</w:t>
      </w:r>
      <w:r w:rsidR="00DE53F8">
        <w:rPr>
          <w:noProof/>
        </w:rPr>
        <w:t xml:space="preserve"> u </w:t>
      </w:r>
      <w:r w:rsidR="002358D5">
        <w:rPr>
          <w:noProof/>
        </w:rPr>
        <w:t xml:space="preserve">provozovatelů poskytujícím služby </w:t>
      </w:r>
      <w:r>
        <w:rPr>
          <w:noProof/>
        </w:rPr>
        <w:t>pro </w:t>
      </w:r>
      <w:r w:rsidR="002358D5">
        <w:rPr>
          <w:noProof/>
        </w:rPr>
        <w:t xml:space="preserve">méně </w:t>
      </w:r>
      <w:r>
        <w:rPr>
          <w:noProof/>
        </w:rPr>
        <w:t>než </w:t>
      </w:r>
      <w:r w:rsidR="002358D5">
        <w:rPr>
          <w:noProof/>
        </w:rPr>
        <w:t>300 připojených obyvatel.</w:t>
      </w:r>
    </w:p>
    <w:p w14:paraId="2B2F93E2" w14:textId="77777777" w:rsidR="002358D5" w:rsidRDefault="002358D5" w:rsidP="00133A78">
      <w:pPr>
        <w:pStyle w:val="NORMLN0"/>
        <w:rPr>
          <w:noProof/>
        </w:rPr>
      </w:pPr>
    </w:p>
    <w:tbl>
      <w:tblPr>
        <w:tblW w:w="91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508"/>
        <w:gridCol w:w="908"/>
        <w:gridCol w:w="1469"/>
        <w:gridCol w:w="1082"/>
        <w:gridCol w:w="1392"/>
      </w:tblGrid>
      <w:tr w:rsidR="002358D5" w:rsidRPr="00C6014F" w14:paraId="2BE2F125" w14:textId="77777777" w:rsidTr="00FE3F65">
        <w:trPr>
          <w:trHeight w:val="839"/>
        </w:trPr>
        <w:tc>
          <w:tcPr>
            <w:tcW w:w="2755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5B490949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 xml:space="preserve">NEVYKAZOVÁNÍ NEFAKTUROVANÉ VODY A ZTRÁT / MODEL PROVOZOVÁNÍ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1BF61A9A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KOMBINOVANÝ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4B673AB2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ODDÍLNÝ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524393B5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ODDÍLNÝ SERVISNÍ SMLOUVA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058666D1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SMÍŠENÝ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8064A2" w:fill="8064A2"/>
            <w:vAlign w:val="center"/>
            <w:hideMark/>
          </w:tcPr>
          <w:p w14:paraId="10230E29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</w:tr>
      <w:tr w:rsidR="002358D5" w:rsidRPr="00C6014F" w14:paraId="3E2D5A8F" w14:textId="77777777" w:rsidTr="00FE3F65">
        <w:trPr>
          <w:trHeight w:val="329"/>
        </w:trPr>
        <w:tc>
          <w:tcPr>
            <w:tcW w:w="27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3C49DF66" w14:textId="4D7BD337" w:rsidR="002358D5" w:rsidRDefault="002358D5" w:rsidP="00FE3F65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(&gt;10 000 PŘ.OB.)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790C266A" w14:textId="77777777" w:rsidR="002358D5" w:rsidRDefault="002358D5" w:rsidP="00FE3F6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622AB2F5" w14:textId="77777777" w:rsidR="002358D5" w:rsidRDefault="002358D5" w:rsidP="00FE3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1B2043FD" w14:textId="77777777" w:rsidR="002358D5" w:rsidRDefault="002358D5" w:rsidP="00FE3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3FDCF25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noWrap/>
            <w:vAlign w:val="center"/>
            <w:hideMark/>
          </w:tcPr>
          <w:p w14:paraId="1A4AAF22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2358D5" w:rsidRPr="00C6014F" w14:paraId="1EBB3062" w14:textId="77777777" w:rsidTr="00FE3F65">
        <w:trPr>
          <w:trHeight w:val="329"/>
        </w:trPr>
        <w:tc>
          <w:tcPr>
            <w:tcW w:w="27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center"/>
            <w:hideMark/>
          </w:tcPr>
          <w:p w14:paraId="6CF7E40E" w14:textId="4119F1A4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(&gt;1 000 PŘ.OB.)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center"/>
            <w:hideMark/>
          </w:tcPr>
          <w:p w14:paraId="7CF4F18E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center"/>
            <w:hideMark/>
          </w:tcPr>
          <w:p w14:paraId="5BE3DA2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center"/>
            <w:hideMark/>
          </w:tcPr>
          <w:p w14:paraId="4F3611D1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noWrap/>
            <w:vAlign w:val="center"/>
            <w:hideMark/>
          </w:tcPr>
          <w:p w14:paraId="6856697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noWrap/>
            <w:vAlign w:val="center"/>
            <w:hideMark/>
          </w:tcPr>
          <w:p w14:paraId="56192C0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2358D5" w:rsidRPr="00C6014F" w14:paraId="28DF2A66" w14:textId="77777777" w:rsidTr="00FE3F65">
        <w:trPr>
          <w:trHeight w:val="329"/>
        </w:trPr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0E3BF4A6" w14:textId="1B64F311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(&gt;300 PŘ.OB.)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2D253E00" w14:textId="77777777" w:rsidR="002358D5" w:rsidRDefault="002358D5" w:rsidP="00FE3F6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08C85A9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094855D5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noWrap/>
            <w:vAlign w:val="center"/>
            <w:hideMark/>
          </w:tcPr>
          <w:p w14:paraId="3711935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CCC0DA" w:fill="CCC0DA"/>
            <w:noWrap/>
            <w:vAlign w:val="center"/>
            <w:hideMark/>
          </w:tcPr>
          <w:p w14:paraId="384E249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43</w:t>
            </w:r>
          </w:p>
        </w:tc>
      </w:tr>
      <w:tr w:rsidR="002358D5" w:rsidRPr="00C6014F" w14:paraId="06787639" w14:textId="77777777" w:rsidTr="00FE3F65">
        <w:trPr>
          <w:trHeight w:val="329"/>
        </w:trPr>
        <w:tc>
          <w:tcPr>
            <w:tcW w:w="27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146A479A" w14:textId="0E736FA3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VIII.SKUPI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(&lt;300 PŘ.OB.)</w:t>
            </w:r>
          </w:p>
        </w:tc>
        <w:tc>
          <w:tcPr>
            <w:tcW w:w="150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4C49896E" w14:textId="77777777" w:rsidR="002358D5" w:rsidRDefault="002358D5" w:rsidP="00FE3F6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3C2A1A6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11</w:t>
            </w:r>
          </w:p>
        </w:tc>
        <w:tc>
          <w:tcPr>
            <w:tcW w:w="146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36449CC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</w:t>
            </w:r>
          </w:p>
        </w:tc>
        <w:tc>
          <w:tcPr>
            <w:tcW w:w="108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013FDF62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79</w:t>
            </w:r>
          </w:p>
        </w:tc>
        <w:tc>
          <w:tcPr>
            <w:tcW w:w="139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E5E0EC" w:fill="E5E0EC"/>
            <w:noWrap/>
            <w:vAlign w:val="center"/>
          </w:tcPr>
          <w:p w14:paraId="0A695898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93</w:t>
            </w:r>
          </w:p>
        </w:tc>
      </w:tr>
      <w:tr w:rsidR="002358D5" w:rsidRPr="00C6014F" w14:paraId="79B80F6B" w14:textId="77777777" w:rsidTr="00FE3F65">
        <w:trPr>
          <w:trHeight w:val="329"/>
        </w:trPr>
        <w:tc>
          <w:tcPr>
            <w:tcW w:w="2755" w:type="dxa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565C0DC2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cs-CZ"/>
              </w:rPr>
              <w:t>POČET POROVNÁNÍ CELKEM</w:t>
            </w:r>
          </w:p>
        </w:tc>
        <w:tc>
          <w:tcPr>
            <w:tcW w:w="1508" w:type="dxa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2488B1A5" w14:textId="77777777" w:rsidR="002358D5" w:rsidRDefault="002358D5" w:rsidP="00FE3F65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08" w:type="dxa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2B13C0CA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1469" w:type="dxa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2FD7C18D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082" w:type="dxa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E5E0EC" w:fill="E5E0EC"/>
            <w:noWrap/>
            <w:vAlign w:val="center"/>
          </w:tcPr>
          <w:p w14:paraId="03291299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124</w:t>
            </w:r>
          </w:p>
        </w:tc>
        <w:tc>
          <w:tcPr>
            <w:tcW w:w="139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E5E0EC" w:fill="E5E0EC"/>
            <w:noWrap/>
            <w:vAlign w:val="center"/>
          </w:tcPr>
          <w:p w14:paraId="59BB18ED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144</w:t>
            </w:r>
          </w:p>
        </w:tc>
      </w:tr>
    </w:tbl>
    <w:p w14:paraId="25346C1E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p w14:paraId="67247245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tbl>
      <w:tblPr>
        <w:tblW w:w="90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1474"/>
        <w:gridCol w:w="903"/>
        <w:gridCol w:w="1446"/>
        <w:gridCol w:w="1070"/>
        <w:gridCol w:w="1367"/>
      </w:tblGrid>
      <w:tr w:rsidR="002358D5" w:rsidRPr="00C6014F" w14:paraId="63CCD2A6" w14:textId="77777777" w:rsidTr="00FE3F65">
        <w:trPr>
          <w:trHeight w:val="1617"/>
        </w:trPr>
        <w:tc>
          <w:tcPr>
            <w:tcW w:w="2817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7C40A3D2" w14:textId="02917E3C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MNOŽS</w:t>
            </w:r>
            <w:r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TVÍ NEFAKTUROVANÉ VODY JE STEJNÉ</w:t>
            </w: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JAK</w:t>
            </w:r>
            <w:r w:rsidR="00962A95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 </w:t>
            </w: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MNOŽSTVÍ ZTRÁT / MODEL PROVOZOVÁNÍ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56D99890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KOMBINOVANÝ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74BEAE17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ODDÍLNÝ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5229AA21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ODDÍLNÝ SERVISNÍ SMLOUVA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vAlign w:val="center"/>
            <w:hideMark/>
          </w:tcPr>
          <w:p w14:paraId="2370A4E8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SMÍŠENÝ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8064A2" w:fill="8064A2"/>
            <w:vAlign w:val="center"/>
            <w:hideMark/>
          </w:tcPr>
          <w:p w14:paraId="337327DB" w14:textId="77777777" w:rsidR="002358D5" w:rsidRPr="00C6014F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</w:tr>
      <w:tr w:rsidR="002358D5" w:rsidRPr="00C6014F" w14:paraId="1FD7779F" w14:textId="77777777" w:rsidTr="00FE3F65">
        <w:trPr>
          <w:trHeight w:val="328"/>
        </w:trPr>
        <w:tc>
          <w:tcPr>
            <w:tcW w:w="28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bottom"/>
            <w:hideMark/>
          </w:tcPr>
          <w:p w14:paraId="43BA1F31" w14:textId="6020DAA1" w:rsidR="002358D5" w:rsidRDefault="002358D5" w:rsidP="00FE3F65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(&gt;10 000 PŘ.OB.)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564B826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29D77175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49285185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2ACC481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vAlign w:val="center"/>
            <w:hideMark/>
          </w:tcPr>
          <w:p w14:paraId="79F7507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</w:t>
            </w:r>
          </w:p>
        </w:tc>
      </w:tr>
      <w:tr w:rsidR="002358D5" w:rsidRPr="00C6014F" w14:paraId="48817DAA" w14:textId="77777777" w:rsidTr="00FE3F65">
        <w:trPr>
          <w:trHeight w:val="264"/>
        </w:trPr>
        <w:tc>
          <w:tcPr>
            <w:tcW w:w="28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2814C8D5" w14:textId="5A01AEE7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(&gt;1 000 PŘ.OB.)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40696474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263F7E2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6CD740A2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18D775F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vAlign w:val="center"/>
            <w:hideMark/>
          </w:tcPr>
          <w:p w14:paraId="1CD59352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42</w:t>
            </w:r>
          </w:p>
        </w:tc>
      </w:tr>
      <w:tr w:rsidR="002358D5" w:rsidRPr="00C6014F" w14:paraId="298CB01F" w14:textId="77777777" w:rsidTr="00FE3F65">
        <w:trPr>
          <w:trHeight w:val="281"/>
        </w:trPr>
        <w:tc>
          <w:tcPr>
            <w:tcW w:w="28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2ABECA89" w14:textId="460CCCC8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(&gt;300 PŘ.OB.)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746CB332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092385AB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32CBB861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4C6D311D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vAlign w:val="center"/>
            <w:hideMark/>
          </w:tcPr>
          <w:p w14:paraId="1401F124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131</w:t>
            </w:r>
          </w:p>
        </w:tc>
      </w:tr>
      <w:tr w:rsidR="002358D5" w:rsidRPr="00C6014F" w14:paraId="0632D237" w14:textId="77777777" w:rsidTr="00FE3F65">
        <w:trPr>
          <w:trHeight w:val="258"/>
        </w:trPr>
        <w:tc>
          <w:tcPr>
            <w:tcW w:w="28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154D5807" w14:textId="7A6E5C38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VIII.SKUPI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(&lt;300 PŘ.OB.)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5336B1F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745593F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121A38A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vAlign w:val="center"/>
            <w:hideMark/>
          </w:tcPr>
          <w:p w14:paraId="12FC5B47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vAlign w:val="center"/>
            <w:hideMark/>
          </w:tcPr>
          <w:p w14:paraId="764668E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234</w:t>
            </w:r>
          </w:p>
        </w:tc>
      </w:tr>
      <w:tr w:rsidR="002358D5" w:rsidRPr="00C6014F" w14:paraId="6F60845C" w14:textId="77777777" w:rsidTr="00FE3F65">
        <w:trPr>
          <w:trHeight w:val="275"/>
        </w:trPr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vAlign w:val="bottom"/>
            <w:hideMark/>
          </w:tcPr>
          <w:p w14:paraId="66B7444C" w14:textId="77777777" w:rsidR="002358D5" w:rsidRDefault="002358D5" w:rsidP="00FE3F65">
            <w:pPr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 w:rsidRPr="00C6014F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cs-CZ"/>
              </w:rPr>
              <w:t>POČET POROVNÁNÍ CELKEM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1FC3F9EB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3C576BD6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97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00D0C4D1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C0DA" w:fill="CCC0DA"/>
            <w:vAlign w:val="center"/>
            <w:hideMark/>
          </w:tcPr>
          <w:p w14:paraId="641B31C2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214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CCC0DA" w:fill="CCC0DA"/>
            <w:vAlign w:val="center"/>
            <w:hideMark/>
          </w:tcPr>
          <w:p w14:paraId="0250C349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411</w:t>
            </w:r>
          </w:p>
        </w:tc>
      </w:tr>
    </w:tbl>
    <w:p w14:paraId="64C2AA25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p w14:paraId="1B062D6D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p w14:paraId="57097C39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1417"/>
        <w:gridCol w:w="1045"/>
        <w:gridCol w:w="1558"/>
        <w:gridCol w:w="991"/>
        <w:gridCol w:w="1417"/>
      </w:tblGrid>
      <w:tr w:rsidR="002358D5" w14:paraId="4F242454" w14:textId="77777777" w:rsidTr="00FE3F65">
        <w:trPr>
          <w:trHeight w:val="785"/>
        </w:trPr>
        <w:tc>
          <w:tcPr>
            <w:tcW w:w="2621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F7771" w14:textId="77777777" w:rsidR="002358D5" w:rsidRDefault="002358D5" w:rsidP="00FE3F65">
            <w:pPr>
              <w:jc w:val="center"/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  <w:t xml:space="preserve">VYKAZOVÁNÍ NEFAKTUROVANÉ VODY A NULOVÉ ZTRÁTY / MODEL PROVOZOVÁNÍ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5F0A1" w14:textId="77777777" w:rsidR="002358D5" w:rsidRDefault="002358D5" w:rsidP="00FE3F65">
            <w:pPr>
              <w:jc w:val="center"/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  <w:t>KOMBINOVANÝ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D54BD" w14:textId="77777777" w:rsidR="002358D5" w:rsidRDefault="002358D5" w:rsidP="00FE3F65">
            <w:pPr>
              <w:jc w:val="center"/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  <w:t>ODDÍLNÝ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8A111" w14:textId="77777777" w:rsidR="002358D5" w:rsidRDefault="002358D5" w:rsidP="00FE3F65">
            <w:pPr>
              <w:jc w:val="center"/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  <w:t>ODDÍLNÝ SERVISNÍ SMLOUVA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8064A2" w:fill="8064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CAD1" w14:textId="77777777" w:rsidR="002358D5" w:rsidRDefault="002358D5" w:rsidP="00FE3F65">
            <w:pPr>
              <w:jc w:val="center"/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  <w:t>SMÍŠENÝ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8064A2" w:fill="8064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6BE6" w14:textId="77777777" w:rsidR="002358D5" w:rsidRDefault="002358D5" w:rsidP="00FE3F65">
            <w:pPr>
              <w:jc w:val="center"/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0"/>
                <w:szCs w:val="20"/>
              </w:rPr>
              <w:t>CELKEM</w:t>
            </w:r>
          </w:p>
        </w:tc>
      </w:tr>
      <w:tr w:rsidR="002358D5" w14:paraId="30C7E046" w14:textId="77777777" w:rsidTr="00FE3F65">
        <w:trPr>
          <w:trHeight w:val="308"/>
        </w:trPr>
        <w:tc>
          <w:tcPr>
            <w:tcW w:w="2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2992F" w14:textId="5F11C86E" w:rsidR="002358D5" w:rsidRDefault="002358D5" w:rsidP="00FE3F65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(&gt;1 000 PŘ.OB.)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84C7" w14:textId="77777777" w:rsidR="002358D5" w:rsidRDefault="002358D5" w:rsidP="00FE3F6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1A4EE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101D2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BA71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6321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9</w:t>
            </w:r>
          </w:p>
        </w:tc>
      </w:tr>
      <w:tr w:rsidR="002358D5" w14:paraId="02518E40" w14:textId="77777777" w:rsidTr="00FE3F65">
        <w:trPr>
          <w:trHeight w:val="308"/>
        </w:trPr>
        <w:tc>
          <w:tcPr>
            <w:tcW w:w="2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3BDDC" w14:textId="4F70D7BA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(&gt;300 PŘ.OB.)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7985B" w14:textId="77777777" w:rsidR="002358D5" w:rsidRDefault="002358D5" w:rsidP="00FE3F6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C993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E0989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8D6E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EABCC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45</w:t>
            </w:r>
          </w:p>
        </w:tc>
      </w:tr>
      <w:tr w:rsidR="002358D5" w14:paraId="72958F3C" w14:textId="77777777" w:rsidTr="00FE3F65">
        <w:trPr>
          <w:trHeight w:val="308"/>
        </w:trPr>
        <w:tc>
          <w:tcPr>
            <w:tcW w:w="2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AD843" w14:textId="1CEDC398" w:rsidR="002358D5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VIII.SKUPI</w:t>
            </w:r>
            <w:r w:rsidR="00962A95">
              <w:rPr>
                <w:rFonts w:cs="Calibri"/>
                <w:color w:val="000000"/>
                <w:sz w:val="20"/>
                <w:szCs w:val="20"/>
              </w:rPr>
              <w:t>NA </w:t>
            </w:r>
            <w:r>
              <w:rPr>
                <w:rFonts w:cs="Calibri"/>
                <w:color w:val="000000"/>
                <w:sz w:val="20"/>
                <w:szCs w:val="20"/>
              </w:rPr>
              <w:t>(&lt;300 PŘ.OB.)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73FDC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9AA4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6009F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884A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CCC0DA" w:fill="CCC0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33F06" w14:textId="77777777" w:rsidR="002358D5" w:rsidRDefault="002358D5" w:rsidP="00FE3F6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171</w:t>
            </w:r>
          </w:p>
        </w:tc>
      </w:tr>
      <w:tr w:rsidR="002358D5" w14:paraId="6C48214C" w14:textId="77777777" w:rsidTr="00FE3F65">
        <w:trPr>
          <w:trHeight w:val="308"/>
        </w:trPr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4EAA1" w14:textId="77777777" w:rsidR="002358D5" w:rsidRDefault="002358D5" w:rsidP="00FE3F65">
            <w:pPr>
              <w:jc w:val="left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POČET POROVNÁNÍ CELKEM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A09D0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5CFC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0304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46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B97A1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5E0EC" w:fill="E5E0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4D9E6" w14:textId="77777777" w:rsidR="002358D5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225</w:t>
            </w:r>
          </w:p>
        </w:tc>
      </w:tr>
    </w:tbl>
    <w:p w14:paraId="26324B29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p w14:paraId="727A22C2" w14:textId="6039566C" w:rsidR="002358D5" w:rsidRPr="003B13B3" w:rsidRDefault="002358D5" w:rsidP="002358D5">
      <w:pPr>
        <w:pStyle w:val="NORMLN0"/>
      </w:pPr>
      <w:r>
        <w:t xml:space="preserve">Ke zkreslení údajů </w:t>
      </w:r>
      <w:r w:rsidR="00962A95">
        <w:t>o </w:t>
      </w:r>
      <w:r>
        <w:t>vodě nefakturované vodě dochází i nejednoznačností legislativou stanovených pravidel vykazování nefakturované vody. Nedostatky se vyskytují</w:t>
      </w:r>
      <w:r w:rsidR="00DE53F8">
        <w:t xml:space="preserve"> u </w:t>
      </w:r>
      <w:r>
        <w:t xml:space="preserve">provozovatelů, kteří spotřebovávají vodu </w:t>
      </w:r>
      <w:r w:rsidR="00962A95">
        <w:t>v </w:t>
      </w:r>
      <w:r>
        <w:t>provozech nesouvisejících s výrobou a distribucí pitné vody. Zejmé</w:t>
      </w:r>
      <w:r w:rsidR="00962A95">
        <w:t>na </w:t>
      </w:r>
      <w:r>
        <w:t xml:space="preserve">se jedná </w:t>
      </w:r>
      <w:r w:rsidR="00962A95">
        <w:t>o </w:t>
      </w:r>
      <w:r>
        <w:t xml:space="preserve">areálové vodovody, případně </w:t>
      </w:r>
      <w:r w:rsidR="00962A95">
        <w:t>o </w:t>
      </w:r>
      <w:r>
        <w:t>nefakturovaný odběr organizačním jednotkám zřízených komunálním provozovatelem (např. dům sociálních služeb, školky apod.). Tyt</w:t>
      </w:r>
      <w:r w:rsidR="00962A95">
        <w:t>o </w:t>
      </w:r>
      <w:r>
        <w:t xml:space="preserve">subjekty </w:t>
      </w:r>
      <w:r w:rsidR="00962A95">
        <w:t>v </w:t>
      </w:r>
      <w:r>
        <w:t>souvisejících VÚPE vykazují čast</w:t>
      </w:r>
      <w:r w:rsidR="00962A95">
        <w:t>o za </w:t>
      </w:r>
      <w:r>
        <w:t xml:space="preserve">vodu nefakturovanou </w:t>
      </w:r>
      <w:r w:rsidRPr="000A2DB9">
        <w:t xml:space="preserve">i vodu, která byla spotřebovaná </w:t>
      </w:r>
      <w:r w:rsidR="00962A95">
        <w:t>v </w:t>
      </w:r>
      <w:r w:rsidRPr="000A2DB9">
        <w:t>provozech nesouvisejících s výrobou a distribucí pitné vody</w:t>
      </w:r>
      <w:r>
        <w:t>, neb</w:t>
      </w:r>
      <w:r w:rsidR="00962A95">
        <w:t>o </w:t>
      </w:r>
      <w:r>
        <w:t>vodu, která nebyla fakturována, ačkoli</w:t>
      </w:r>
      <w:r w:rsidR="00962A95">
        <w:t>v </w:t>
      </w:r>
      <w:r>
        <w:t>fakturová</w:t>
      </w:r>
      <w:r w:rsidR="00962A95">
        <w:t>na </w:t>
      </w:r>
      <w:r>
        <w:t xml:space="preserve">být měla (např. </w:t>
      </w:r>
      <w:r w:rsidR="00962A95">
        <w:t>z </w:t>
      </w:r>
      <w:r>
        <w:t>důvodu neuzavřené smlouvy neb</w:t>
      </w:r>
      <w:r w:rsidR="00962A95">
        <w:t>o </w:t>
      </w:r>
      <w:r>
        <w:t>je dodává</w:t>
      </w:r>
      <w:r w:rsidR="00962A95">
        <w:t>na </w:t>
      </w:r>
      <w:r>
        <w:t>zdarma záměrně).</w:t>
      </w:r>
      <w:r w:rsidRPr="000A2DB9">
        <w:t xml:space="preserve"> </w:t>
      </w:r>
      <w:r w:rsidRPr="00A92F4F">
        <w:t xml:space="preserve">Regulátor bude muset jednoznačně definovat pravidla vykazování bilančních údajů </w:t>
      </w:r>
      <w:r w:rsidR="00962A95">
        <w:t>ve </w:t>
      </w:r>
      <w:r w:rsidRPr="00A92F4F">
        <w:t xml:space="preserve">VÚPE a fakturované vody </w:t>
      </w:r>
      <w:r w:rsidR="00962A95">
        <w:t>v </w:t>
      </w:r>
      <w:r w:rsidRPr="00A92F4F">
        <w:t xml:space="preserve">Porovnání (má dopad i </w:t>
      </w:r>
      <w:r w:rsidR="00962A95">
        <w:t>na </w:t>
      </w:r>
      <w:r w:rsidRPr="00A92F4F">
        <w:t xml:space="preserve">oblast kanalizací </w:t>
      </w:r>
      <w:r w:rsidR="00962A95">
        <w:t>v </w:t>
      </w:r>
      <w:r w:rsidRPr="00A92F4F">
        <w:t>případě, že obec rozhodne odvádění odpadních a srážkových vod nefakturovat).</w:t>
      </w:r>
    </w:p>
    <w:p w14:paraId="52945586" w14:textId="77777777" w:rsidR="002358D5" w:rsidRDefault="002358D5" w:rsidP="002358D5">
      <w:pPr>
        <w:pStyle w:val="NORMLN0"/>
      </w:pPr>
    </w:p>
    <w:p w14:paraId="1FA1E8FF" w14:textId="52F28B79" w:rsidR="002358D5" w:rsidRDefault="002358D5" w:rsidP="002358D5">
      <w:pPr>
        <w:pStyle w:val="NORMLN0"/>
      </w:pPr>
    </w:p>
    <w:p w14:paraId="21744705" w14:textId="522096CB" w:rsidR="002358D5" w:rsidRDefault="002358D5" w:rsidP="002358D5">
      <w:pPr>
        <w:pStyle w:val="NORMLN0"/>
      </w:pPr>
      <w:r w:rsidRPr="005E19C0">
        <w:lastRenderedPageBreak/>
        <w:t>Následující tabulka uvádí hodnoty sledovaných ukazat</w:t>
      </w:r>
      <w:r>
        <w:t>e</w:t>
      </w:r>
      <w:r w:rsidRPr="005E19C0">
        <w:t xml:space="preserve">lů </w:t>
      </w:r>
      <w:r w:rsidR="00962A95">
        <w:t>pro </w:t>
      </w:r>
      <w:r w:rsidRPr="005E19C0">
        <w:t>Porovnání,</w:t>
      </w:r>
      <w:r w:rsidR="00DE53F8">
        <w:t xml:space="preserve"> u </w:t>
      </w:r>
      <w:r>
        <w:t xml:space="preserve">kterých se </w:t>
      </w:r>
      <w:r w:rsidR="00962A95">
        <w:t>v </w:t>
      </w:r>
      <w:r>
        <w:t>souvisejících VÚPE sledují ukazatele množství vody nefakturované a ztrát vody.</w:t>
      </w:r>
      <w:r w:rsidRPr="005E19C0">
        <w:t xml:space="preserve"> </w:t>
      </w:r>
    </w:p>
    <w:p w14:paraId="04D55021" w14:textId="2A5E6298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tbl>
      <w:tblPr>
        <w:tblW w:w="9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55"/>
        <w:gridCol w:w="805"/>
        <w:gridCol w:w="708"/>
        <w:gridCol w:w="1134"/>
        <w:gridCol w:w="851"/>
        <w:gridCol w:w="1134"/>
        <w:gridCol w:w="1324"/>
      </w:tblGrid>
      <w:tr w:rsidR="002358D5" w:rsidRPr="007731EA" w14:paraId="1FF88818" w14:textId="77777777" w:rsidTr="00FE3F65">
        <w:trPr>
          <w:cantSplit/>
          <w:trHeight w:val="2775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5B3D7"/>
              <w:right w:val="single" w:sz="4" w:space="0" w:color="FFFFFF"/>
            </w:tcBorders>
            <w:shd w:val="clear" w:color="4F81BD" w:fill="4F81BD"/>
            <w:vAlign w:val="center"/>
            <w:hideMark/>
          </w:tcPr>
          <w:p w14:paraId="066FB624" w14:textId="77777777" w:rsidR="002358D5" w:rsidRPr="007731EA" w:rsidRDefault="002358D5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POROVNÁNÍ SE SLEDOVÁNÍM MNOŽSTVÍ VODY NEFAKTUROVANÉ A MNOŽSTVÍM ZTRÁT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4F81BD" w:fill="4F81BD"/>
            <w:textDirection w:val="btLr"/>
            <w:vAlign w:val="center"/>
            <w:hideMark/>
          </w:tcPr>
          <w:p w14:paraId="06AB46BE" w14:textId="4A6D8E70" w:rsidR="002358D5" w:rsidRPr="007731EA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VODA URČENÁ 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REALIZACI (MIL. M3)</w:t>
            </w:r>
          </w:p>
        </w:tc>
        <w:tc>
          <w:tcPr>
            <w:tcW w:w="805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4F81BD" w:fill="4F81BD"/>
            <w:textDirection w:val="btLr"/>
            <w:vAlign w:val="center"/>
            <w:hideMark/>
          </w:tcPr>
          <w:p w14:paraId="73C59B52" w14:textId="77777777" w:rsidR="002358D5" w:rsidRPr="007731EA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VODA NEFAKTUROVANÁ CELKEM 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br/>
              <w:t>(MIL. M3)</w:t>
            </w:r>
          </w:p>
        </w:tc>
        <w:tc>
          <w:tcPr>
            <w:tcW w:w="708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4F81BD" w:fill="4F81BD"/>
            <w:textDirection w:val="btLr"/>
            <w:vAlign w:val="center"/>
            <w:hideMark/>
          </w:tcPr>
          <w:p w14:paraId="7EE490BF" w14:textId="77777777" w:rsidR="002358D5" w:rsidRPr="007731EA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ZTRÁTY VODY (MIL. M3)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4F81BD" w:fill="4F81BD"/>
            <w:textDirection w:val="btLr"/>
            <w:vAlign w:val="center"/>
            <w:hideMark/>
          </w:tcPr>
          <w:p w14:paraId="2191E840" w14:textId="20FECB5F" w:rsidR="002358D5" w:rsidRPr="007731EA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PRŮMĚR - PODÍL NEFAKTUROVANÉ VODY 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REALIZACI (%)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4F81BD" w:fill="4F81BD"/>
            <w:textDirection w:val="btLr"/>
            <w:vAlign w:val="center"/>
            <w:hideMark/>
          </w:tcPr>
          <w:p w14:paraId="75879246" w14:textId="6C0035FA" w:rsidR="002358D5" w:rsidRPr="007731EA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PRŮMĚR - PODÍL ZTRÁT VODY 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REALIZACI (%)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95B3D7"/>
              <w:right w:val="nil"/>
            </w:tcBorders>
            <w:shd w:val="clear" w:color="4F81BD" w:fill="4F81BD"/>
            <w:textDirection w:val="btLr"/>
            <w:vAlign w:val="center"/>
            <w:hideMark/>
          </w:tcPr>
          <w:p w14:paraId="6D037C04" w14:textId="68FDB50F" w:rsidR="002358D5" w:rsidRPr="007731EA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PRŮMĚR - ZTRÁTY VODY 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1 KM</w:t>
            </w:r>
            <w:r w:rsidR="00371EFB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PŘEPOČTENÉ DÉLKY VODOVODNÍH</w:t>
            </w:r>
            <w:r w:rsidR="00962A95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O </w:t>
            </w:r>
            <w:r w:rsidRPr="007731EA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ŘÁDU A DEN ((M3/KM)/DEN)</w:t>
            </w:r>
          </w:p>
        </w:tc>
        <w:tc>
          <w:tcPr>
            <w:tcW w:w="1324" w:type="dxa"/>
            <w:tcBorders>
              <w:top w:val="nil"/>
              <w:left w:val="single" w:sz="4" w:space="0" w:color="FFFFFF"/>
              <w:bottom w:val="single" w:sz="4" w:space="0" w:color="95B3D7"/>
              <w:right w:val="nil"/>
            </w:tcBorders>
            <w:shd w:val="clear" w:color="4F81BD" w:fill="4F81BD"/>
            <w:textDirection w:val="btLr"/>
            <w:vAlign w:val="center"/>
          </w:tcPr>
          <w:p w14:paraId="39B99792" w14:textId="7A066D8C" w:rsidR="002358D5" w:rsidRDefault="002358D5" w:rsidP="00FE3F65">
            <w:pPr>
              <w:spacing w:before="0" w:after="0"/>
              <w:ind w:left="113" w:right="113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PRŮMĚR - </w:t>
            </w:r>
            <w:r w:rsidRPr="001A102F">
              <w:rPr>
                <w:rFonts w:asciiTheme="majorHAnsi" w:eastAsia="Times New Roman" w:hAnsiTheme="majorHAnsi"/>
                <w:b/>
                <w:bCs/>
                <w:color w:val="FFFFFF"/>
                <w:sz w:val="20"/>
                <w:szCs w:val="20"/>
                <w:lang w:eastAsia="cs-CZ"/>
              </w:rPr>
              <w:t>VODA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NEFAKTUROVANÁ 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1 KM PŘEPOČTENÉ DÉLKY VODOVODNÍH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O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ŘADU A DEN ((M3/KM)/DEN)</w:t>
            </w:r>
          </w:p>
        </w:tc>
      </w:tr>
      <w:tr w:rsidR="002358D5" w:rsidRPr="007731EA" w14:paraId="7E366DD2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C89C235" w14:textId="214F7FD3" w:rsidR="002358D5" w:rsidRPr="007124D0" w:rsidRDefault="002358D5" w:rsidP="00FE3F65">
            <w:pPr>
              <w:spacing w:before="0" w:after="0"/>
              <w:contextualSpacing w:val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I.SKUPI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(&gt;500 000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BEC3BA6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207,74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0B94BAF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40,58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3F99667F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35,21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AFDDB84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7DB5ECC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17,05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14:paraId="35D09E16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1F4D9413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5,99</w:t>
            </w:r>
          </w:p>
        </w:tc>
      </w:tr>
      <w:tr w:rsidR="002358D5" w:rsidRPr="007731EA" w14:paraId="3BC4BFCD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09201817" w14:textId="287F5969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II.SKUPI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(&gt;200 000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F48D524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58,49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1825950E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4D3FECB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03E2A13E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85085CA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14:paraId="34296E0D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5,07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346FB021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5,50</w:t>
            </w:r>
          </w:p>
        </w:tc>
      </w:tr>
      <w:tr w:rsidR="002358D5" w:rsidRPr="007731EA" w14:paraId="3E514063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05FEDED6" w14:textId="6856A5E3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III.SKUPI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(&gt;100 000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DB77689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79,26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224B217D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37508955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11,19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27B16250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5B156822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14:paraId="5F48CEB8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072F580B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5,49</w:t>
            </w:r>
          </w:p>
        </w:tc>
      </w:tr>
      <w:tr w:rsidR="002358D5" w:rsidRPr="007731EA" w14:paraId="07078F9C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4E1FFE1D" w14:textId="714759D9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IV.SKUPI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(&gt;50 000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3C648ACF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84,74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82DECBB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15,44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14DFB15B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14,10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4A3A76E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17,95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55B09B7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16,29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14:paraId="40909AC1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4,38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068DBFE6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4,81</w:t>
            </w:r>
          </w:p>
        </w:tc>
      </w:tr>
      <w:tr w:rsidR="002358D5" w:rsidRPr="007731EA" w14:paraId="6415EEA8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481CF7DD" w14:textId="3DC802C8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V.SKUPI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(&gt;10 000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A5DA8DD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69,49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623D604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7D625FA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12,83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D7BCF72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18,66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41D22A58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16,74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14:paraId="36AF5B65" w14:textId="77777777" w:rsidR="002358D5" w:rsidRPr="007124D0" w:rsidRDefault="002358D5" w:rsidP="00FE3F6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124D0">
              <w:rPr>
                <w:rFonts w:cs="Calibri"/>
                <w:b/>
                <w:sz w:val="20"/>
                <w:szCs w:val="20"/>
              </w:rPr>
              <w:t>5,87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0051FAFA" w14:textId="77777777" w:rsidR="002358D5" w:rsidRPr="007124D0" w:rsidRDefault="002358D5" w:rsidP="00FE3F6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124D0">
              <w:rPr>
                <w:rFonts w:cs="Calibri"/>
                <w:b/>
                <w:sz w:val="20"/>
                <w:szCs w:val="20"/>
              </w:rPr>
              <w:t>6,57</w:t>
            </w:r>
          </w:p>
        </w:tc>
      </w:tr>
      <w:tr w:rsidR="002358D5" w:rsidRPr="007731EA" w14:paraId="6A15889A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387198D2" w14:textId="7BB47475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VI.SKUPI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(&gt;1 000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90086D4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52,49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4416B5A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CC02ABE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334AD10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000000"/>
                <w:sz w:val="20"/>
                <w:szCs w:val="20"/>
              </w:rPr>
              <w:t>20,28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46E02A56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000000"/>
                <w:sz w:val="20"/>
                <w:szCs w:val="20"/>
              </w:rPr>
              <w:t>16,99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14:paraId="20C4F1E5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3E80B110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4,76</w:t>
            </w:r>
          </w:p>
        </w:tc>
      </w:tr>
      <w:tr w:rsidR="002358D5" w:rsidRPr="007731EA" w14:paraId="7E038E6E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57267B53" w14:textId="6094F206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VII.SKUPI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(&gt;300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A55F0E5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4E0787E9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1F5E644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218F7268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724BFFF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15,67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14:paraId="77E666A9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5CFD571B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3,90</w:t>
            </w:r>
          </w:p>
        </w:tc>
      </w:tr>
      <w:tr w:rsidR="002358D5" w:rsidRPr="007731EA" w14:paraId="5E66E35B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97C1A2E" w14:textId="556459C0" w:rsidR="002358D5" w:rsidRPr="007124D0" w:rsidRDefault="002358D5" w:rsidP="00FE3F6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VIII.SKUPI</w:t>
            </w:r>
            <w:r w:rsidR="00962A95" w:rsidRPr="007124D0">
              <w:rPr>
                <w:rFonts w:cs="Calibri"/>
                <w:color w:val="000000"/>
                <w:sz w:val="20"/>
                <w:szCs w:val="20"/>
              </w:rPr>
              <w:t>NA </w:t>
            </w:r>
            <w:r w:rsidRPr="007124D0">
              <w:rPr>
                <w:rFonts w:cs="Calibri"/>
                <w:color w:val="000000"/>
                <w:sz w:val="20"/>
                <w:szCs w:val="20"/>
              </w:rPr>
              <w:t>(&lt;300 PŘ.OB.)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5905393E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7,28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3871D3E5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01DABFE7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4000ADE0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14,73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51B439D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10,60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14:paraId="31FDDBB1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72E1E04D" w14:textId="77777777" w:rsidR="002358D5" w:rsidRPr="007124D0" w:rsidRDefault="002358D5" w:rsidP="00FE3F6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color w:val="000000"/>
                <w:sz w:val="20"/>
                <w:szCs w:val="20"/>
              </w:rPr>
              <w:t>4,15</w:t>
            </w:r>
          </w:p>
        </w:tc>
      </w:tr>
      <w:tr w:rsidR="002358D5" w:rsidRPr="007731EA" w14:paraId="58F6B563" w14:textId="77777777" w:rsidTr="00FE3F65">
        <w:trPr>
          <w:trHeight w:val="271"/>
          <w:jc w:val="center"/>
        </w:trPr>
        <w:tc>
          <w:tcPr>
            <w:tcW w:w="2835" w:type="dxa"/>
            <w:tcBorders>
              <w:top w:val="single" w:sz="4" w:space="0" w:color="95B3D7"/>
              <w:left w:val="nil"/>
              <w:bottom w:val="nil"/>
              <w:right w:val="single" w:sz="4" w:space="0" w:color="FFFFFF"/>
            </w:tcBorders>
            <w:shd w:val="clear" w:color="000000" w:fill="538DD5"/>
            <w:noWrap/>
            <w:vAlign w:val="bottom"/>
            <w:hideMark/>
          </w:tcPr>
          <w:p w14:paraId="2C2CFDCA" w14:textId="77777777" w:rsidR="002358D5" w:rsidRPr="007124D0" w:rsidRDefault="002358D5" w:rsidP="00FE3F65">
            <w:pPr>
              <w:jc w:val="left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CELKEM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38DD5"/>
            <w:noWrap/>
            <w:vAlign w:val="center"/>
            <w:hideMark/>
          </w:tcPr>
          <w:p w14:paraId="5510FF28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577,72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38DD5"/>
            <w:noWrap/>
            <w:vAlign w:val="center"/>
            <w:hideMark/>
          </w:tcPr>
          <w:p w14:paraId="08197408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108,61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38DD5"/>
            <w:noWrap/>
            <w:vAlign w:val="center"/>
            <w:hideMark/>
          </w:tcPr>
          <w:p w14:paraId="538509DB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93,96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38DD5"/>
            <w:noWrap/>
            <w:vAlign w:val="center"/>
            <w:hideMark/>
          </w:tcPr>
          <w:p w14:paraId="31D8042E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17,57</w:t>
            </w:r>
          </w:p>
        </w:tc>
        <w:tc>
          <w:tcPr>
            <w:tcW w:w="851" w:type="dxa"/>
            <w:tcBorders>
              <w:top w:val="single" w:sz="4" w:space="0" w:color="95B3D7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38DD5"/>
            <w:noWrap/>
            <w:vAlign w:val="center"/>
            <w:hideMark/>
          </w:tcPr>
          <w:p w14:paraId="47252896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13,71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FFFFFF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7792CE17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4,43</w:t>
            </w:r>
          </w:p>
        </w:tc>
        <w:tc>
          <w:tcPr>
            <w:tcW w:w="1324" w:type="dxa"/>
            <w:tcBorders>
              <w:top w:val="single" w:sz="4" w:space="0" w:color="95B3D7"/>
              <w:left w:val="single" w:sz="4" w:space="0" w:color="FFFFFF"/>
              <w:bottom w:val="nil"/>
              <w:right w:val="nil"/>
            </w:tcBorders>
            <w:shd w:val="clear" w:color="000000" w:fill="538DD5"/>
            <w:vAlign w:val="center"/>
          </w:tcPr>
          <w:p w14:paraId="55F9531F" w14:textId="77777777" w:rsidR="002358D5" w:rsidRPr="007124D0" w:rsidRDefault="002358D5" w:rsidP="00FE3F6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124D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5,15</w:t>
            </w:r>
          </w:p>
        </w:tc>
      </w:tr>
    </w:tbl>
    <w:p w14:paraId="0B996ABD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p w14:paraId="17A08AFC" w14:textId="32A82BF0" w:rsidR="002358D5" w:rsidRDefault="002358D5" w:rsidP="002358D5">
      <w:pPr>
        <w:pStyle w:val="NORMLN0"/>
      </w:pPr>
      <w:r>
        <w:t xml:space="preserve">Podle výše průměrné hodnoty </w:t>
      </w:r>
      <w:r w:rsidR="00A74D97">
        <w:t xml:space="preserve">ve skupině </w:t>
      </w:r>
      <w:r>
        <w:t xml:space="preserve">ukazatele podíl nefakturované vody </w:t>
      </w:r>
      <w:r w:rsidR="00962A95">
        <w:t>na </w:t>
      </w:r>
      <w:r>
        <w:t xml:space="preserve">vodě určené </w:t>
      </w:r>
      <w:r w:rsidR="00962A95">
        <w:t>k </w:t>
      </w:r>
      <w:r>
        <w:t xml:space="preserve">realizaci a podílu ztrát vody </w:t>
      </w:r>
      <w:r w:rsidR="00962A95">
        <w:t>na </w:t>
      </w:r>
      <w:r>
        <w:t xml:space="preserve">vodě určené </w:t>
      </w:r>
      <w:r w:rsidR="00962A95">
        <w:t>k </w:t>
      </w:r>
      <w:r>
        <w:t>realizaci l</w:t>
      </w:r>
      <w:r w:rsidR="00962A95">
        <w:t>ze za </w:t>
      </w:r>
      <w:r w:rsidRPr="00A92F4F">
        <w:t>nejproblematičtější skupinu označit VI. provozovatelskou skupinu</w:t>
      </w:r>
      <w:r w:rsidRPr="003B13B3">
        <w:t xml:space="preserve"> (stejně jak</w:t>
      </w:r>
      <w:r w:rsidR="00962A95">
        <w:t>o v </w:t>
      </w:r>
      <w:r w:rsidRPr="003B13B3">
        <w:t xml:space="preserve">roce </w:t>
      </w:r>
      <w:r w:rsidRPr="006356C2">
        <w:t>předchozím).</w:t>
      </w:r>
      <w:r>
        <w:t xml:space="preserve"> </w:t>
      </w:r>
      <w:r w:rsidRPr="006356C2">
        <w:t xml:space="preserve">Podle průměrné hodnoty ztrát vody </w:t>
      </w:r>
      <w:r w:rsidR="00962A95">
        <w:t>na </w:t>
      </w:r>
      <w:r w:rsidRPr="006356C2">
        <w:t>1 km přepočtené délky vodovodníh</w:t>
      </w:r>
      <w:r w:rsidR="00962A95">
        <w:t>o </w:t>
      </w:r>
      <w:r w:rsidRPr="006356C2">
        <w:t xml:space="preserve">řádu a den a průměrné hodnoty vody nefakturované </w:t>
      </w:r>
      <w:r w:rsidR="00962A95">
        <w:t>na </w:t>
      </w:r>
      <w:r w:rsidRPr="006356C2">
        <w:t>1 km přepočtené délky vodovodníh</w:t>
      </w:r>
      <w:r w:rsidR="00962A95">
        <w:t>o </w:t>
      </w:r>
      <w:r w:rsidRPr="006356C2">
        <w:t xml:space="preserve">řadu a den je problematická </w:t>
      </w:r>
      <w:r w:rsidRPr="00A92F4F">
        <w:t>V. provozovatelská skupina</w:t>
      </w:r>
      <w:r>
        <w:t xml:space="preserve">. </w:t>
      </w:r>
    </w:p>
    <w:p w14:paraId="0500B37A" w14:textId="11590DD3" w:rsidR="002358D5" w:rsidRDefault="00962A95" w:rsidP="002358D5">
      <w:pPr>
        <w:pStyle w:val="NORMLN0"/>
        <w:rPr>
          <w:noProof/>
        </w:rPr>
      </w:pPr>
      <w:r>
        <w:rPr>
          <w:noProof/>
        </w:rPr>
        <w:t>V </w:t>
      </w:r>
      <w:r w:rsidR="002358D5">
        <w:rPr>
          <w:noProof/>
        </w:rPr>
        <w:t xml:space="preserve">následujícím grafu jsou znázorněny průměrné hodnoty podílu nefakturované vody a ztrát vody </w:t>
      </w:r>
      <w:r>
        <w:rPr>
          <w:noProof/>
        </w:rPr>
        <w:t>na </w:t>
      </w:r>
      <w:r w:rsidR="002358D5">
        <w:rPr>
          <w:noProof/>
        </w:rPr>
        <w:t xml:space="preserve">vodě určené </w:t>
      </w:r>
      <w:r>
        <w:rPr>
          <w:noProof/>
        </w:rPr>
        <w:t>k </w:t>
      </w:r>
      <w:r w:rsidR="002358D5">
        <w:rPr>
          <w:noProof/>
        </w:rPr>
        <w:t xml:space="preserve">realizaci </w:t>
      </w:r>
      <w:r>
        <w:rPr>
          <w:noProof/>
        </w:rPr>
        <w:t>pro </w:t>
      </w:r>
      <w:r w:rsidR="002358D5">
        <w:rPr>
          <w:noProof/>
        </w:rPr>
        <w:t xml:space="preserve">jednotlivé skupiny. </w:t>
      </w:r>
    </w:p>
    <w:p w14:paraId="06F1FF34" w14:textId="01F92A5A" w:rsidR="002358D5" w:rsidRDefault="007124D0" w:rsidP="002358D5">
      <w:pPr>
        <w:pStyle w:val="NORMLN0"/>
        <w:ind w:firstLine="0"/>
        <w:jc w:val="center"/>
        <w:rPr>
          <w:noProof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13536" behindDoc="0" locked="0" layoutInCell="1" allowOverlap="1" wp14:anchorId="5225EDC1" wp14:editId="5C2A01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56630" cy="4655820"/>
            <wp:effectExtent l="0" t="0" r="1270" b="0"/>
            <wp:wrapTopAndBottom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anchor>
        </w:drawing>
      </w:r>
    </w:p>
    <w:p w14:paraId="0CD823FE" w14:textId="5DA319ED" w:rsidR="002358D5" w:rsidRPr="006356C2" w:rsidRDefault="00962A95" w:rsidP="002358D5">
      <w:pPr>
        <w:pStyle w:val="NORMLN0"/>
        <w:rPr>
          <w:noProof/>
        </w:rPr>
      </w:pPr>
      <w:r>
        <w:rPr>
          <w:noProof/>
        </w:rPr>
        <w:t>Z </w:t>
      </w:r>
      <w:r w:rsidR="002358D5" w:rsidRPr="003B13B3">
        <w:rPr>
          <w:noProof/>
        </w:rPr>
        <w:t>ekonomickéh</w:t>
      </w:r>
      <w:r>
        <w:rPr>
          <w:noProof/>
        </w:rPr>
        <w:t>o </w:t>
      </w:r>
      <w:r w:rsidR="002358D5" w:rsidRPr="003B13B3">
        <w:rPr>
          <w:noProof/>
        </w:rPr>
        <w:t xml:space="preserve">hlediska </w:t>
      </w:r>
      <w:r w:rsidR="002358D5" w:rsidRPr="006356C2">
        <w:rPr>
          <w:noProof/>
        </w:rPr>
        <w:t xml:space="preserve">by aktivní řešení problematiky snižování ztrát </w:t>
      </w:r>
      <w:r w:rsidR="002358D5" w:rsidRPr="00A92F4F">
        <w:rPr>
          <w:noProof/>
        </w:rPr>
        <w:t>mohl</w:t>
      </w:r>
      <w:r>
        <w:rPr>
          <w:noProof/>
        </w:rPr>
        <w:t>o </w:t>
      </w:r>
      <w:r w:rsidR="002358D5" w:rsidRPr="00A92F4F">
        <w:rPr>
          <w:noProof/>
        </w:rPr>
        <w:t>provozovatelům</w:t>
      </w:r>
      <w:r w:rsidR="00371EFB">
        <w:rPr>
          <w:noProof/>
        </w:rPr>
        <w:t xml:space="preserve"> </w:t>
      </w:r>
      <w:r w:rsidR="002358D5" w:rsidRPr="00A92F4F">
        <w:rPr>
          <w:noProof/>
        </w:rPr>
        <w:t xml:space="preserve">teoreticky pomoci dosáhnout celkových úspor </w:t>
      </w:r>
      <w:r>
        <w:rPr>
          <w:noProof/>
        </w:rPr>
        <w:t>v </w:t>
      </w:r>
      <w:r w:rsidR="002358D5" w:rsidRPr="00A92F4F">
        <w:rPr>
          <w:noProof/>
        </w:rPr>
        <w:t>hodnotě až 3,46 mld. Kč</w:t>
      </w:r>
      <w:r w:rsidR="002358D5" w:rsidRPr="003B13B3">
        <w:rPr>
          <w:noProof/>
        </w:rPr>
        <w:t xml:space="preserve"> (množství ztrát v</w:t>
      </w:r>
      <w:r w:rsidR="002358D5" w:rsidRPr="006356C2">
        <w:rPr>
          <w:noProof/>
        </w:rPr>
        <w:t>ody vynásoben</w:t>
      </w:r>
      <w:r>
        <w:rPr>
          <w:noProof/>
        </w:rPr>
        <w:t>o </w:t>
      </w:r>
      <w:r w:rsidR="002358D5" w:rsidRPr="006356C2">
        <w:rPr>
          <w:noProof/>
        </w:rPr>
        <w:t>jednotkovými ÚVN). Jedná</w:t>
      </w:r>
      <w:r w:rsidR="002358D5">
        <w:rPr>
          <w:noProof/>
        </w:rPr>
        <w:t xml:space="preserve"> </w:t>
      </w:r>
      <w:r w:rsidR="002358D5" w:rsidRPr="003B13B3">
        <w:rPr>
          <w:noProof/>
        </w:rPr>
        <w:t xml:space="preserve">se </w:t>
      </w:r>
      <w:r>
        <w:rPr>
          <w:noProof/>
        </w:rPr>
        <w:t>o </w:t>
      </w:r>
      <w:r w:rsidR="002358D5" w:rsidRPr="003B13B3">
        <w:rPr>
          <w:noProof/>
        </w:rPr>
        <w:t>teoretický odhad, protože snižování ztrát m</w:t>
      </w:r>
      <w:r w:rsidR="004A66A9">
        <w:rPr>
          <w:noProof/>
        </w:rPr>
        <w:t>á své limity</w:t>
      </w:r>
      <w:r w:rsidR="002358D5" w:rsidRPr="003B13B3">
        <w:rPr>
          <w:noProof/>
        </w:rPr>
        <w:t xml:space="preserve"> a úspora nákladů by se reálně týkala pou</w:t>
      </w:r>
      <w:r>
        <w:rPr>
          <w:noProof/>
        </w:rPr>
        <w:t>ze </w:t>
      </w:r>
      <w:r w:rsidR="002358D5" w:rsidRPr="003B13B3">
        <w:rPr>
          <w:noProof/>
        </w:rPr>
        <w:t xml:space="preserve">tzv. variabilních nákladů (tj. nákladů, které jsou proměnlivé </w:t>
      </w:r>
      <w:r>
        <w:rPr>
          <w:noProof/>
        </w:rPr>
        <w:t>v </w:t>
      </w:r>
      <w:r w:rsidR="002358D5" w:rsidRPr="003B13B3">
        <w:rPr>
          <w:noProof/>
        </w:rPr>
        <w:t xml:space="preserve">závislosti </w:t>
      </w:r>
      <w:r>
        <w:rPr>
          <w:noProof/>
        </w:rPr>
        <w:t>na </w:t>
      </w:r>
      <w:r w:rsidR="002358D5" w:rsidRPr="003B13B3">
        <w:rPr>
          <w:noProof/>
        </w:rPr>
        <w:t>mn</w:t>
      </w:r>
      <w:r w:rsidR="002358D5" w:rsidRPr="006356C2">
        <w:rPr>
          <w:noProof/>
        </w:rPr>
        <w:t xml:space="preserve">ožství produkce). Vzhledem </w:t>
      </w:r>
      <w:r>
        <w:rPr>
          <w:noProof/>
        </w:rPr>
        <w:t>k </w:t>
      </w:r>
      <w:r w:rsidR="002358D5" w:rsidRPr="006356C2">
        <w:rPr>
          <w:noProof/>
        </w:rPr>
        <w:t xml:space="preserve">podílu </w:t>
      </w:r>
      <w:r>
        <w:rPr>
          <w:noProof/>
        </w:rPr>
        <w:t>na </w:t>
      </w:r>
      <w:r w:rsidR="002358D5" w:rsidRPr="006356C2">
        <w:rPr>
          <w:noProof/>
        </w:rPr>
        <w:t xml:space="preserve">trhu by největších úspor mohli dosáhnout provozovatelé </w:t>
      </w:r>
      <w:r>
        <w:rPr>
          <w:noProof/>
        </w:rPr>
        <w:t>z </w:t>
      </w:r>
      <w:r w:rsidR="002358D5" w:rsidRPr="006356C2">
        <w:rPr>
          <w:noProof/>
        </w:rPr>
        <w:t xml:space="preserve">I. skupiny (největší provozovatelé). </w:t>
      </w:r>
      <w:r>
        <w:rPr>
          <w:noProof/>
        </w:rPr>
        <w:t>Z </w:t>
      </w:r>
      <w:r w:rsidR="002358D5" w:rsidRPr="006356C2">
        <w:rPr>
          <w:noProof/>
        </w:rPr>
        <w:t>hlediska modelu provozování l</w:t>
      </w:r>
      <w:r>
        <w:rPr>
          <w:noProof/>
        </w:rPr>
        <w:t>ze </w:t>
      </w:r>
      <w:r w:rsidR="002358D5" w:rsidRPr="006356C2">
        <w:rPr>
          <w:noProof/>
        </w:rPr>
        <w:t xml:space="preserve">nejvyšších teoreticky možných úspor dosáhnout </w:t>
      </w:r>
      <w:r>
        <w:rPr>
          <w:noProof/>
        </w:rPr>
        <w:t>v </w:t>
      </w:r>
      <w:r w:rsidR="002358D5" w:rsidRPr="006356C2">
        <w:rPr>
          <w:noProof/>
        </w:rPr>
        <w:t>oddílném modelu provozování.</w:t>
      </w:r>
      <w:r w:rsidR="00371EFB">
        <w:rPr>
          <w:noProof/>
        </w:rPr>
        <w:t xml:space="preserve"> </w:t>
      </w:r>
    </w:p>
    <w:p w14:paraId="5AE9804B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tbl>
      <w:tblPr>
        <w:tblW w:w="9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490"/>
        <w:gridCol w:w="1570"/>
        <w:gridCol w:w="1572"/>
        <w:gridCol w:w="923"/>
        <w:gridCol w:w="1053"/>
      </w:tblGrid>
      <w:tr w:rsidR="002358D5" w:rsidRPr="003C7C17" w14:paraId="2E807B78" w14:textId="77777777" w:rsidTr="00FE3F65">
        <w:trPr>
          <w:trHeight w:val="885"/>
        </w:trPr>
        <w:tc>
          <w:tcPr>
            <w:tcW w:w="263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C0504D" w:fill="C0504D"/>
            <w:vAlign w:val="center"/>
            <w:hideMark/>
          </w:tcPr>
          <w:p w14:paraId="4AEB9FDA" w14:textId="59699093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 xml:space="preserve">MOŽNÁ ÚSPORA NÁKLADŮ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V </w:t>
            </w: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MIL.KČ / MODEL PROVOZOVÁNÍ</w:t>
            </w:r>
          </w:p>
        </w:tc>
        <w:tc>
          <w:tcPr>
            <w:tcW w:w="149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C0504D" w:fill="C0504D"/>
            <w:vAlign w:val="center"/>
            <w:hideMark/>
          </w:tcPr>
          <w:p w14:paraId="4C604988" w14:textId="77777777" w:rsidR="002358D5" w:rsidRPr="003C7C17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KOMBINOVANÝ</w:t>
            </w:r>
          </w:p>
        </w:tc>
        <w:tc>
          <w:tcPr>
            <w:tcW w:w="157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C0504D" w:fill="C0504D"/>
            <w:vAlign w:val="center"/>
            <w:hideMark/>
          </w:tcPr>
          <w:p w14:paraId="24F1D05B" w14:textId="77777777" w:rsidR="002358D5" w:rsidRPr="003C7C17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ODDÍLNÝ</w:t>
            </w:r>
          </w:p>
        </w:tc>
        <w:tc>
          <w:tcPr>
            <w:tcW w:w="157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C0504D" w:fill="C0504D"/>
            <w:vAlign w:val="center"/>
            <w:hideMark/>
          </w:tcPr>
          <w:p w14:paraId="6BD306C0" w14:textId="77777777" w:rsidR="002358D5" w:rsidRPr="003C7C17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ODDÍLNÝ SERVISNÍ SMLOUVA</w:t>
            </w:r>
          </w:p>
        </w:tc>
        <w:tc>
          <w:tcPr>
            <w:tcW w:w="92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C0504D" w:fill="C0504D"/>
            <w:vAlign w:val="center"/>
            <w:hideMark/>
          </w:tcPr>
          <w:p w14:paraId="19B6EFD5" w14:textId="77777777" w:rsidR="002358D5" w:rsidRPr="003C7C17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SMÍŠENÝ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C0504D" w:fill="C0504D"/>
            <w:vAlign w:val="center"/>
            <w:hideMark/>
          </w:tcPr>
          <w:p w14:paraId="1A1B906E" w14:textId="16289342" w:rsidR="002358D5" w:rsidRPr="003C7C17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 xml:space="preserve">CELKEM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ZA </w:t>
            </w:r>
            <w:r w:rsidRPr="003C7C1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20"/>
                <w:lang w:eastAsia="cs-CZ"/>
              </w:rPr>
              <w:t>SKUPINU</w:t>
            </w:r>
          </w:p>
        </w:tc>
      </w:tr>
      <w:tr w:rsidR="002358D5" w:rsidRPr="003C7C17" w14:paraId="6F8F64AB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vAlign w:val="center"/>
            <w:hideMark/>
          </w:tcPr>
          <w:p w14:paraId="120D6437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I.SKUPINA(&gt;500 000PŘ.OB.)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26CA5F9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169,06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3CC29E0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1 149,62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135D29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58DC55A6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hideMark/>
          </w:tcPr>
          <w:p w14:paraId="17CEB200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1 318,68</w:t>
            </w:r>
          </w:p>
        </w:tc>
      </w:tr>
      <w:tr w:rsidR="002358D5" w:rsidRPr="003C7C17" w14:paraId="42D9B437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vAlign w:val="center"/>
            <w:hideMark/>
          </w:tcPr>
          <w:p w14:paraId="6B15D693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II.SKUPINA(&gt;200 000PŘ.OB.)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3FD5B95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0533324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232,66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181C2C6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0BDF384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hideMark/>
          </w:tcPr>
          <w:p w14:paraId="0D7E56EF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232,66</w:t>
            </w:r>
          </w:p>
        </w:tc>
      </w:tr>
      <w:tr w:rsidR="002358D5" w:rsidRPr="003C7C17" w14:paraId="64BFE32D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vAlign w:val="center"/>
            <w:hideMark/>
          </w:tcPr>
          <w:p w14:paraId="34E36DF5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III.SKUPINA(&gt;100 000PŘ.OB.)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3FE30E4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312,25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9A648F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102,06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B4AC13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DE23FE2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hideMark/>
          </w:tcPr>
          <w:p w14:paraId="0BB974B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414,30</w:t>
            </w:r>
          </w:p>
        </w:tc>
      </w:tr>
      <w:tr w:rsidR="002358D5" w:rsidRPr="003C7C17" w14:paraId="0B71AF67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vAlign w:val="center"/>
            <w:hideMark/>
          </w:tcPr>
          <w:p w14:paraId="307B2CDC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IV.SKUPINA(&gt;50 000PŘ.OB.)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0074C2E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157,40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1A65B644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380,26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4B0E17D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76B53682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hideMark/>
          </w:tcPr>
          <w:p w14:paraId="20F8FF9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537,67</w:t>
            </w:r>
          </w:p>
        </w:tc>
      </w:tr>
      <w:tr w:rsidR="002358D5" w:rsidRPr="003C7C17" w14:paraId="42543C33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vAlign w:val="center"/>
            <w:hideMark/>
          </w:tcPr>
          <w:p w14:paraId="2362C5B5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V.SKUPINA(&gt;10 000PŘ.OB.)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F476894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151,15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183B59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292,76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04DACBD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18,21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58CB7483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5,96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hideMark/>
          </w:tcPr>
          <w:p w14:paraId="1041AB4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468,08</w:t>
            </w:r>
          </w:p>
        </w:tc>
      </w:tr>
      <w:tr w:rsidR="002358D5" w:rsidRPr="003C7C17" w14:paraId="4E68ACA9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vAlign w:val="center"/>
            <w:hideMark/>
          </w:tcPr>
          <w:p w14:paraId="34964AF8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VI.SKUPINA(&gt;1 000PŘ.OB.)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04C6C8CA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10,93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5911A5C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250,80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1512A110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9,66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06B9926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46,34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hideMark/>
          </w:tcPr>
          <w:p w14:paraId="1831ED48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317,73</w:t>
            </w:r>
          </w:p>
        </w:tc>
      </w:tr>
      <w:tr w:rsidR="002358D5" w:rsidRPr="003C7C17" w14:paraId="06011E2B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vAlign w:val="center"/>
            <w:hideMark/>
          </w:tcPr>
          <w:p w14:paraId="20B4B081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VII.SKUPINA(&gt;300PŘ.OB.)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4EE407E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0,32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1D10D86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61,90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2A49CD7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13,30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hideMark/>
          </w:tcPr>
          <w:p w14:paraId="6C5B3779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50,45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hideMark/>
          </w:tcPr>
          <w:p w14:paraId="026C0B7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125,96</w:t>
            </w:r>
          </w:p>
        </w:tc>
      </w:tr>
      <w:tr w:rsidR="002358D5" w:rsidRPr="003C7C17" w14:paraId="30AB59BC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vAlign w:val="center"/>
            <w:hideMark/>
          </w:tcPr>
          <w:p w14:paraId="73EEF8BD" w14:textId="77777777" w:rsidR="002358D5" w:rsidRPr="003C7C17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cs-CZ"/>
              </w:rPr>
              <w:t>VIII.SKUPINA(&lt;300PŘ.OB.)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31C9666F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1,07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166B7DBA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11,04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34C31466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5,06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hideMark/>
          </w:tcPr>
          <w:p w14:paraId="3AF26000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26,02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hideMark/>
          </w:tcPr>
          <w:p w14:paraId="7F59BCC2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18"/>
              </w:rPr>
            </w:pPr>
            <w:r w:rsidRPr="003C7C17">
              <w:rPr>
                <w:rFonts w:ascii="Calibri Light" w:hAnsi="Calibri Light" w:cs="Calibri Light"/>
                <w:sz w:val="18"/>
              </w:rPr>
              <w:t>43,19</w:t>
            </w:r>
          </w:p>
        </w:tc>
      </w:tr>
      <w:tr w:rsidR="002358D5" w:rsidRPr="003C7C17" w14:paraId="6CCDA2B0" w14:textId="77777777" w:rsidTr="00FE3F65">
        <w:trPr>
          <w:trHeight w:val="252"/>
        </w:trPr>
        <w:tc>
          <w:tcPr>
            <w:tcW w:w="26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C0504D"/>
            <w:vAlign w:val="center"/>
            <w:hideMark/>
          </w:tcPr>
          <w:p w14:paraId="389E537E" w14:textId="77777777" w:rsidR="002358D5" w:rsidRPr="003C7C17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3C7C17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CELKEM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C0504D"/>
            <w:hideMark/>
          </w:tcPr>
          <w:p w14:paraId="2CF5EC94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802,17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C0504D"/>
            <w:hideMark/>
          </w:tcPr>
          <w:p w14:paraId="7181C18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2 481,10</w:t>
            </w:r>
          </w:p>
        </w:tc>
        <w:tc>
          <w:tcPr>
            <w:tcW w:w="157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C0504D"/>
            <w:hideMark/>
          </w:tcPr>
          <w:p w14:paraId="19E9669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46,22</w:t>
            </w:r>
          </w:p>
        </w:tc>
        <w:tc>
          <w:tcPr>
            <w:tcW w:w="92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C0504D"/>
            <w:hideMark/>
          </w:tcPr>
          <w:p w14:paraId="2A11FBC9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128,77</w:t>
            </w:r>
          </w:p>
        </w:tc>
        <w:tc>
          <w:tcPr>
            <w:tcW w:w="105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C0504D"/>
            <w:hideMark/>
          </w:tcPr>
          <w:p w14:paraId="0EF51FB2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3 458,26</w:t>
            </w:r>
          </w:p>
        </w:tc>
      </w:tr>
    </w:tbl>
    <w:p w14:paraId="6AF0BCCB" w14:textId="67E38D97" w:rsidR="002358D5" w:rsidRDefault="00962A95" w:rsidP="002358D5">
      <w:pPr>
        <w:pStyle w:val="NORMLN0"/>
        <w:rPr>
          <w:noProof/>
        </w:rPr>
      </w:pPr>
      <w:r>
        <w:rPr>
          <w:noProof/>
        </w:rPr>
        <w:lastRenderedPageBreak/>
        <w:t>Pro </w:t>
      </w:r>
      <w:r w:rsidR="002358D5">
        <w:rPr>
          <w:noProof/>
        </w:rPr>
        <w:t xml:space="preserve">lepší představu a opět </w:t>
      </w:r>
      <w:r>
        <w:rPr>
          <w:noProof/>
        </w:rPr>
        <w:t>za </w:t>
      </w:r>
      <w:r w:rsidR="002358D5">
        <w:rPr>
          <w:noProof/>
        </w:rPr>
        <w:t>teoretickéh</w:t>
      </w:r>
      <w:r>
        <w:rPr>
          <w:noProof/>
        </w:rPr>
        <w:t>o </w:t>
      </w:r>
      <w:r w:rsidR="002358D5">
        <w:rPr>
          <w:noProof/>
        </w:rPr>
        <w:t>předpokladu, že l</w:t>
      </w:r>
      <w:r>
        <w:rPr>
          <w:noProof/>
        </w:rPr>
        <w:t>ze </w:t>
      </w:r>
      <w:r w:rsidR="002358D5">
        <w:rPr>
          <w:noProof/>
        </w:rPr>
        <w:t xml:space="preserve">dosáhnout nulových ztrát, je možné pohlížet </w:t>
      </w:r>
      <w:r>
        <w:rPr>
          <w:noProof/>
        </w:rPr>
        <w:t>na </w:t>
      </w:r>
      <w:r w:rsidR="002358D5">
        <w:rPr>
          <w:noProof/>
        </w:rPr>
        <w:t>ztráty vody jak</w:t>
      </w:r>
      <w:r>
        <w:rPr>
          <w:noProof/>
        </w:rPr>
        <w:t>o na </w:t>
      </w:r>
      <w:r w:rsidR="002358D5">
        <w:rPr>
          <w:noProof/>
        </w:rPr>
        <w:t>nerealizované, tzv. ušlé tržby (objem ztrát vody násobený cenou). S použitím zjednodušenéh</w:t>
      </w:r>
      <w:r>
        <w:rPr>
          <w:noProof/>
        </w:rPr>
        <w:t>o </w:t>
      </w:r>
      <w:r w:rsidR="002358D5">
        <w:rPr>
          <w:noProof/>
        </w:rPr>
        <w:t>výpočtu l</w:t>
      </w:r>
      <w:r>
        <w:rPr>
          <w:noProof/>
        </w:rPr>
        <w:t>ze </w:t>
      </w:r>
      <w:r w:rsidR="002358D5">
        <w:rPr>
          <w:noProof/>
        </w:rPr>
        <w:t xml:space="preserve">konstatovat, že </w:t>
      </w:r>
      <w:r>
        <w:rPr>
          <w:noProof/>
        </w:rPr>
        <w:t>v </w:t>
      </w:r>
      <w:r w:rsidR="002358D5">
        <w:rPr>
          <w:noProof/>
        </w:rPr>
        <w:t xml:space="preserve">daném roce celkové ušlé tržby způsobené ztrátami pitné vody </w:t>
      </w:r>
      <w:r>
        <w:rPr>
          <w:noProof/>
        </w:rPr>
        <w:t>v </w:t>
      </w:r>
      <w:r w:rsidR="002358D5">
        <w:rPr>
          <w:noProof/>
        </w:rPr>
        <w:t>trubní síti činily 3,71</w:t>
      </w:r>
      <w:r w:rsidR="002358D5" w:rsidRPr="007731EA">
        <w:rPr>
          <w:noProof/>
        </w:rPr>
        <w:t xml:space="preserve"> mld. Kč. </w:t>
      </w:r>
      <w:r w:rsidR="002358D5">
        <w:rPr>
          <w:noProof/>
        </w:rPr>
        <w:t>Přehled p</w:t>
      </w:r>
      <w:r>
        <w:rPr>
          <w:noProof/>
        </w:rPr>
        <w:t>o </w:t>
      </w:r>
      <w:r w:rsidR="002358D5">
        <w:rPr>
          <w:noProof/>
        </w:rPr>
        <w:t>skupinách a modelech provozování uvádí tabulka níže.</w:t>
      </w:r>
    </w:p>
    <w:p w14:paraId="3087AA17" w14:textId="77777777" w:rsidR="002358D5" w:rsidRDefault="002358D5" w:rsidP="002358D5">
      <w:pPr>
        <w:spacing w:before="0" w:after="0"/>
        <w:contextualSpacing w:val="0"/>
        <w:jc w:val="left"/>
        <w:rPr>
          <w:noProof/>
        </w:rPr>
      </w:pPr>
    </w:p>
    <w:tbl>
      <w:tblPr>
        <w:tblW w:w="9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955"/>
        <w:gridCol w:w="1255"/>
        <w:gridCol w:w="1255"/>
        <w:gridCol w:w="1255"/>
        <w:gridCol w:w="1255"/>
      </w:tblGrid>
      <w:tr w:rsidR="002358D5" w:rsidRPr="00722DC0" w14:paraId="58B67CCF" w14:textId="77777777" w:rsidTr="00FE3F65">
        <w:trPr>
          <w:trHeight w:val="308"/>
        </w:trPr>
        <w:tc>
          <w:tcPr>
            <w:tcW w:w="246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center"/>
            <w:hideMark/>
          </w:tcPr>
          <w:p w14:paraId="5F94EF06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MOŽNÉ NEREALIZOVANÉ TRŽBY </w:t>
            </w:r>
            <w:r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Z</w:t>
            </w: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PŮSOBEN</w:t>
            </w:r>
            <w:r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É</w:t>
            </w: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ZTRÁTAMI VODY</w:t>
            </w:r>
          </w:p>
          <w:p w14:paraId="6FA29BA2" w14:textId="7F3CE195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(</w:t>
            </w:r>
            <w:r w:rsidR="00962A95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MIL. KČ) / MODEL PROVOZOVÁNÍ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center"/>
            <w:hideMark/>
          </w:tcPr>
          <w:p w14:paraId="4C39899E" w14:textId="77777777" w:rsidR="002358D5" w:rsidRPr="00722DC0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KOMBINOVANÝ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center"/>
            <w:hideMark/>
          </w:tcPr>
          <w:p w14:paraId="56613E4D" w14:textId="77777777" w:rsidR="002358D5" w:rsidRPr="00722DC0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ODDÍLNÝ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center"/>
            <w:hideMark/>
          </w:tcPr>
          <w:p w14:paraId="6B9FE9E2" w14:textId="77777777" w:rsidR="002358D5" w:rsidRPr="00722DC0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ODDÍLNÝ SERVISNÍ SMLOUVA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79646" w:fill="F79646"/>
            <w:noWrap/>
            <w:vAlign w:val="center"/>
            <w:hideMark/>
          </w:tcPr>
          <w:p w14:paraId="70DC821A" w14:textId="77777777" w:rsidR="002358D5" w:rsidRPr="00722DC0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SMÍŠENÝ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79646" w:fill="F79646"/>
            <w:noWrap/>
            <w:vAlign w:val="center"/>
            <w:hideMark/>
          </w:tcPr>
          <w:p w14:paraId="56781B27" w14:textId="441F4E3E" w:rsidR="002358D5" w:rsidRPr="00722DC0" w:rsidRDefault="002358D5" w:rsidP="00FE3F65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</w:t>
            </w:r>
            <w:r w:rsidR="00962A95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ZA </w:t>
            </w:r>
            <w:r w:rsidRPr="00722DC0">
              <w:rPr>
                <w:rFonts w:ascii="Calibri Light" w:eastAsia="Times New Roman" w:hAnsi="Calibri Light"/>
                <w:b/>
                <w:bCs/>
                <w:color w:val="FFFFFF"/>
                <w:sz w:val="20"/>
                <w:szCs w:val="20"/>
                <w:lang w:eastAsia="cs-CZ"/>
              </w:rPr>
              <w:t>SKUPINU</w:t>
            </w:r>
          </w:p>
        </w:tc>
      </w:tr>
      <w:tr w:rsidR="002358D5" w:rsidRPr="00722DC0" w14:paraId="60EB643E" w14:textId="77777777" w:rsidTr="00FE3F65">
        <w:trPr>
          <w:trHeight w:val="308"/>
        </w:trPr>
        <w:tc>
          <w:tcPr>
            <w:tcW w:w="24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6BDF02A3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I.SKUPINA(&gt;500 000PŘ.OB.)</w:t>
            </w:r>
          </w:p>
        </w:tc>
        <w:tc>
          <w:tcPr>
            <w:tcW w:w="19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6575279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218,88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5A7BC55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1 254,76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</w:tcPr>
          <w:p w14:paraId="594F3289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E6DBF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</w:tcPr>
          <w:p w14:paraId="4E52A2F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C0643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FCD5B4" w:fill="FCD5B4"/>
            <w:noWrap/>
            <w:hideMark/>
          </w:tcPr>
          <w:p w14:paraId="534388FE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1 473,64</w:t>
            </w:r>
          </w:p>
        </w:tc>
      </w:tr>
      <w:tr w:rsidR="002358D5" w:rsidRPr="00722DC0" w14:paraId="13E6542E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417194E9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II.SKUPINA(&gt;200 000PŘ.OB.)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3D6A882F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3AF74F3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251,79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</w:tcPr>
          <w:p w14:paraId="3CA79AA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E6DBF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</w:tcPr>
          <w:p w14:paraId="04E5853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C0643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DE9D9" w:fill="FDE9D9"/>
            <w:noWrap/>
            <w:hideMark/>
          </w:tcPr>
          <w:p w14:paraId="74344274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251,79</w:t>
            </w:r>
          </w:p>
        </w:tc>
      </w:tr>
      <w:tr w:rsidR="002358D5" w:rsidRPr="00722DC0" w14:paraId="56D1C850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06381BE4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III.SKUPINA(&gt;100 000PŘ.OB.)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3192AFA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354,87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636876FF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108,69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</w:tcPr>
          <w:p w14:paraId="39AA07BA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E6DBF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</w:tcPr>
          <w:p w14:paraId="4AF74469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C0643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D5B4" w:fill="FCD5B4"/>
            <w:noWrap/>
            <w:hideMark/>
          </w:tcPr>
          <w:p w14:paraId="0B0841D2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463,56</w:t>
            </w:r>
          </w:p>
        </w:tc>
      </w:tr>
      <w:tr w:rsidR="002358D5" w:rsidRPr="00722DC0" w14:paraId="3D2E8C3E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48FE99A7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IV.SKUPINA(&gt;50 000PŘ.OB.)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6A59676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176,82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02E1663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395,70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</w:tcPr>
          <w:p w14:paraId="1C1B0681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E6DBF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</w:tcPr>
          <w:p w14:paraId="53D5310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C0643">
              <w:rPr>
                <w:rFonts w:ascii="Calibri Light" w:hAnsi="Calibri Light" w:cs="Calibri Light"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DE9D9" w:fill="FDE9D9"/>
            <w:noWrap/>
            <w:hideMark/>
          </w:tcPr>
          <w:p w14:paraId="34C6797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572,51</w:t>
            </w:r>
          </w:p>
        </w:tc>
      </w:tr>
      <w:tr w:rsidR="002358D5" w:rsidRPr="00722DC0" w14:paraId="5F32CD3A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3DC70156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V.SKUPINA(&gt;10 000PŘ.OB.)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168B1FC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160,61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724EDF78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302,65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56DFF80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19,07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693BF57E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6,26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D5B4" w:fill="FCD5B4"/>
            <w:noWrap/>
            <w:hideMark/>
          </w:tcPr>
          <w:p w14:paraId="3C45DCC2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488,60</w:t>
            </w:r>
          </w:p>
        </w:tc>
      </w:tr>
      <w:tr w:rsidR="002358D5" w:rsidRPr="00722DC0" w14:paraId="164CF26F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3AF8003D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VI.SKUPINA(&gt;1 000PŘ.OB.)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572DF9A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11,29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19CF5F2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255,62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4382FD37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8,83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133905D8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44,41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DE9D9" w:fill="FDE9D9"/>
            <w:noWrap/>
            <w:hideMark/>
          </w:tcPr>
          <w:p w14:paraId="0DA1E14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320,15</w:t>
            </w:r>
          </w:p>
        </w:tc>
      </w:tr>
      <w:tr w:rsidR="002358D5" w:rsidRPr="00722DC0" w14:paraId="347CEF12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vAlign w:val="center"/>
            <w:hideMark/>
          </w:tcPr>
          <w:p w14:paraId="20FD4D4A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VII.SKUPINA(&gt;300PŘ.OB.)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308AD5DE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0,35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593B7226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59,57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5897071A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9,61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D5B4" w:fill="FCD5B4"/>
            <w:noWrap/>
            <w:hideMark/>
          </w:tcPr>
          <w:p w14:paraId="34F84E7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34,87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CD5B4" w:fill="FCD5B4"/>
            <w:noWrap/>
            <w:hideMark/>
          </w:tcPr>
          <w:p w14:paraId="34E79CF3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104,40</w:t>
            </w:r>
          </w:p>
        </w:tc>
      </w:tr>
      <w:tr w:rsidR="002358D5" w:rsidRPr="00722DC0" w14:paraId="7F064D58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vAlign w:val="center"/>
            <w:hideMark/>
          </w:tcPr>
          <w:p w14:paraId="37EC4262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color w:val="000000"/>
                <w:sz w:val="20"/>
                <w:szCs w:val="20"/>
                <w:lang w:eastAsia="cs-CZ"/>
              </w:rPr>
              <w:t>VIII.SKUPINA(&lt;300PŘ.OB.)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7DBB6FF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1AC2F95A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10,50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44E4A22D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3,14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DE9D9" w:fill="FDE9D9"/>
            <w:noWrap/>
            <w:hideMark/>
          </w:tcPr>
          <w:p w14:paraId="122E5FD5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18,01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FDE9D9" w:fill="FDE9D9"/>
            <w:noWrap/>
            <w:hideMark/>
          </w:tcPr>
          <w:p w14:paraId="181F2CC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sz w:val="20"/>
                <w:szCs w:val="20"/>
              </w:rPr>
              <w:t>32,66</w:t>
            </w:r>
          </w:p>
        </w:tc>
      </w:tr>
      <w:tr w:rsidR="002358D5" w:rsidRPr="00722DC0" w14:paraId="55B4288B" w14:textId="77777777" w:rsidTr="00FE3F65">
        <w:trPr>
          <w:trHeight w:val="293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D7D31" w:themeFill="accent2"/>
            <w:noWrap/>
            <w:vAlign w:val="center"/>
            <w:hideMark/>
          </w:tcPr>
          <w:p w14:paraId="2FD234DC" w14:textId="77777777" w:rsidR="002358D5" w:rsidRPr="00722DC0" w:rsidRDefault="002358D5" w:rsidP="00FE3F65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/>
                <w:b/>
                <w:color w:val="FFFFFF" w:themeColor="background1"/>
                <w:sz w:val="20"/>
                <w:szCs w:val="20"/>
                <w:lang w:eastAsia="cs-CZ"/>
              </w:rPr>
            </w:pPr>
            <w:r w:rsidRPr="00722DC0">
              <w:rPr>
                <w:rFonts w:ascii="Calibri Light" w:eastAsia="Times New Roman" w:hAnsi="Calibri Light"/>
                <w:b/>
                <w:color w:val="FFFFFF" w:themeColor="background1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D7D31" w:themeFill="accent2"/>
            <w:noWrap/>
            <w:hideMark/>
          </w:tcPr>
          <w:p w14:paraId="2E42BA8F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923,82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D7D31" w:themeFill="accent2"/>
            <w:noWrap/>
            <w:hideMark/>
          </w:tcPr>
          <w:p w14:paraId="50FBC33C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2 639,28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D7D31" w:themeFill="accent2"/>
            <w:noWrap/>
            <w:hideMark/>
          </w:tcPr>
          <w:p w14:paraId="657DB2FB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40,65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D7D31" w:themeFill="accent2"/>
            <w:noWrap/>
            <w:hideMark/>
          </w:tcPr>
          <w:p w14:paraId="22482D63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103,55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hideMark/>
          </w:tcPr>
          <w:p w14:paraId="4601FF83" w14:textId="77777777" w:rsidR="002358D5" w:rsidRPr="003C7C17" w:rsidRDefault="002358D5" w:rsidP="00FE3F6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3C7C17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3 707,30</w:t>
            </w:r>
          </w:p>
        </w:tc>
      </w:tr>
    </w:tbl>
    <w:p w14:paraId="7B84422C" w14:textId="77777777" w:rsidR="005A127A" w:rsidRDefault="005A127A" w:rsidP="005A127A">
      <w:pPr>
        <w:spacing w:before="0" w:after="0"/>
        <w:contextualSpacing w:val="0"/>
        <w:jc w:val="left"/>
        <w:rPr>
          <w:noProof/>
        </w:rPr>
      </w:pPr>
    </w:p>
    <w:p w14:paraId="1BEB7E7C" w14:textId="77777777" w:rsidR="005A127A" w:rsidRDefault="005A127A" w:rsidP="005A127A">
      <w:pPr>
        <w:spacing w:before="0" w:after="0"/>
        <w:contextualSpacing w:val="0"/>
        <w:jc w:val="left"/>
        <w:rPr>
          <w:noProof/>
        </w:rPr>
      </w:pPr>
      <w:r>
        <w:rPr>
          <w:noProof/>
        </w:rPr>
        <w:br w:type="page"/>
      </w:r>
    </w:p>
    <w:p w14:paraId="34600F20" w14:textId="77777777" w:rsidR="005A127A" w:rsidRDefault="002358D5" w:rsidP="002358D5">
      <w:pPr>
        <w:pStyle w:val="Nadpis2"/>
        <w:rPr>
          <w:noProof/>
        </w:rPr>
      </w:pPr>
      <w:bookmarkStart w:id="96" w:name="_Toc963498"/>
      <w:r>
        <w:rPr>
          <w:noProof/>
        </w:rPr>
        <w:lastRenderedPageBreak/>
        <w:t xml:space="preserve"> </w:t>
      </w:r>
      <w:bookmarkStart w:id="97" w:name="_Toc34210411"/>
      <w:r w:rsidR="005A127A" w:rsidRPr="00C62639">
        <w:rPr>
          <w:noProof/>
        </w:rPr>
        <w:t>Kanalizace</w:t>
      </w:r>
      <w:bookmarkEnd w:id="96"/>
      <w:bookmarkEnd w:id="97"/>
    </w:p>
    <w:p w14:paraId="6430FB51" w14:textId="5CDA073A" w:rsidR="005A127A" w:rsidRDefault="002358D5" w:rsidP="005A127A">
      <w:pPr>
        <w:pStyle w:val="NORMLN0"/>
      </w:pPr>
      <w:r w:rsidRPr="002358D5">
        <w:t xml:space="preserve"> </w:t>
      </w:r>
      <w:r>
        <w:t>I</w:t>
      </w:r>
      <w:r w:rsidR="00DE53F8">
        <w:t xml:space="preserve"> u </w:t>
      </w:r>
      <w:r>
        <w:t>odpadní vody byl</w:t>
      </w:r>
      <w:r w:rsidR="00962A95">
        <w:t>o </w:t>
      </w:r>
      <w:r>
        <w:t>přistoupen</w:t>
      </w:r>
      <w:r w:rsidR="00962A95">
        <w:t>o k </w:t>
      </w:r>
      <w:r>
        <w:t xml:space="preserve">rozdělení anomálií </w:t>
      </w:r>
      <w:r w:rsidR="00962A95">
        <w:t>na </w:t>
      </w:r>
      <w:r>
        <w:t>dvě kategorie, a t</w:t>
      </w:r>
      <w:r w:rsidR="00962A95">
        <w:t>o </w:t>
      </w:r>
      <w:r>
        <w:t xml:space="preserve">anomálie spojené s chybným vykazováním dat anomálie upozorňujících </w:t>
      </w:r>
      <w:r w:rsidR="00962A95">
        <w:t>na </w:t>
      </w:r>
      <w:r>
        <w:t>nedostatky indikující neplnění regulačních záměrů neb</w:t>
      </w:r>
      <w:r w:rsidR="00962A95">
        <w:t>o </w:t>
      </w:r>
      <w:r>
        <w:t>legislativních předpisů.</w:t>
      </w:r>
    </w:p>
    <w:p w14:paraId="46263136" w14:textId="77777777" w:rsidR="005A127A" w:rsidRDefault="005A127A" w:rsidP="005A127A">
      <w:pPr>
        <w:pStyle w:val="Normlnzprva"/>
      </w:pPr>
    </w:p>
    <w:p w14:paraId="423AB5D7" w14:textId="77777777" w:rsidR="00760BCD" w:rsidRDefault="00760BCD" w:rsidP="00760BCD">
      <w:pPr>
        <w:pStyle w:val="Nadpis3"/>
        <w:rPr>
          <w:noProof/>
        </w:rPr>
      </w:pPr>
      <w:bookmarkStart w:id="98" w:name="_Toc34210412"/>
      <w:r w:rsidRPr="00CF0FCF">
        <w:t>Chybné</w:t>
      </w:r>
      <w:r>
        <w:rPr>
          <w:noProof/>
        </w:rPr>
        <w:t xml:space="preserve"> vykazování dat</w:t>
      </w:r>
      <w:bookmarkEnd w:id="98"/>
    </w:p>
    <w:p w14:paraId="615ECF0C" w14:textId="6934100F" w:rsidR="00760BCD" w:rsidRPr="00DD5A6C" w:rsidRDefault="00760BCD" w:rsidP="00760BCD">
      <w:pPr>
        <w:pStyle w:val="normlntextvodstavcch"/>
      </w:pPr>
      <w:r>
        <w:t xml:space="preserve">Podle údajů </w:t>
      </w:r>
      <w:r w:rsidR="00962A95">
        <w:t>z </w:t>
      </w:r>
      <w:r>
        <w:t>následujících tabule</w:t>
      </w:r>
      <w:r w:rsidR="00962A95">
        <w:t>k </w:t>
      </w:r>
      <w:r>
        <w:t>l</w:t>
      </w:r>
      <w:r w:rsidR="00962A95">
        <w:t>ze </w:t>
      </w:r>
      <w:r>
        <w:t xml:space="preserve">konstatovat, že </w:t>
      </w:r>
      <w:r w:rsidR="00962A95">
        <w:t>z </w:t>
      </w:r>
      <w:r>
        <w:t xml:space="preserve">analyzovaných 2 443 Porovnání se </w:t>
      </w:r>
      <w:r w:rsidR="00962A95">
        <w:t>v </w:t>
      </w:r>
      <w:r w:rsidR="00B71B78">
        <w:t xml:space="preserve">70 </w:t>
      </w:r>
      <w:r>
        <w:t xml:space="preserve">případech (tj. </w:t>
      </w:r>
      <w:r w:rsidR="00B71B78">
        <w:t>2,86</w:t>
      </w:r>
      <w:r>
        <w:t xml:space="preserve">% </w:t>
      </w:r>
      <w:r w:rsidR="00962A95">
        <w:t>z </w:t>
      </w:r>
      <w:r>
        <w:t>celkovéh</w:t>
      </w:r>
      <w:r w:rsidR="00962A95">
        <w:t>o </w:t>
      </w:r>
      <w:r>
        <w:t xml:space="preserve">počtu) vyskytuje chybné vykazování dat (nejčastěji </w:t>
      </w:r>
      <w:r w:rsidR="00962A95">
        <w:t>v </w:t>
      </w:r>
      <w:r>
        <w:t xml:space="preserve">VII. a VIII. provozovatelské skupině). </w:t>
      </w:r>
    </w:p>
    <w:p w14:paraId="0D39E650" w14:textId="77777777" w:rsidR="00760BCD" w:rsidRDefault="00760BCD" w:rsidP="00760BCD"/>
    <w:tbl>
      <w:tblPr>
        <w:tblW w:w="529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540"/>
        <w:gridCol w:w="1402"/>
        <w:gridCol w:w="1556"/>
        <w:gridCol w:w="1083"/>
        <w:gridCol w:w="1319"/>
      </w:tblGrid>
      <w:tr w:rsidR="00760BCD" w:rsidRPr="00E80434" w14:paraId="44CF4A0C" w14:textId="77777777" w:rsidTr="00FE3F65">
        <w:trPr>
          <w:trHeight w:val="1257"/>
          <w:jc w:val="center"/>
        </w:trPr>
        <w:tc>
          <w:tcPr>
            <w:tcW w:w="1407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01455492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SKUPINA</w:t>
            </w:r>
          </w:p>
        </w:tc>
        <w:tc>
          <w:tcPr>
            <w:tcW w:w="80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5BCA1FC8" w14:textId="265EF273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NENULOVÉ MNOŽSTVÍ ODVEDENÉ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ČO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A ŽÁDNÍ PŘIPOJENÍ OBYVATELÉ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ČOV</w:t>
            </w:r>
          </w:p>
        </w:tc>
        <w:tc>
          <w:tcPr>
            <w:tcW w:w="730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74322514" w14:textId="55B64894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PŘIPOJENÍ OBYVATELÉ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ČOV, NULOVÉ MNOŽSTVÍ ODVEDENÉ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ČOV</w:t>
            </w:r>
          </w:p>
        </w:tc>
        <w:tc>
          <w:tcPr>
            <w:tcW w:w="810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2C56B5F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NULOVÝ POČET ZAMĚSTNANCŮ + VYKÁZANÉ MZDOVÉ NÁKLADY</w:t>
            </w:r>
          </w:p>
        </w:tc>
        <w:tc>
          <w:tcPr>
            <w:tcW w:w="56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2AB50623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SOUČET VÝSKYTU</w:t>
            </w:r>
          </w:p>
        </w:tc>
        <w:tc>
          <w:tcPr>
            <w:tcW w:w="687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7DB93265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POČET POROVNÁNÍ S ALESPOŇ JEDNOU ANOMÁLIÍ</w:t>
            </w:r>
          </w:p>
        </w:tc>
      </w:tr>
      <w:tr w:rsidR="00760BCD" w:rsidRPr="00E80434" w14:paraId="6DED3C44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5F5883DA" w14:textId="453EB02A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(&gt;500 000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1C725B3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2FFE2642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440E90D6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DD739EE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44D657A5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760BCD" w:rsidRPr="00E80434" w14:paraId="53A6D7C8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412DE90D" w14:textId="3F40AB07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(&gt;200 000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19526461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8E189C0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4F6E3A2E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52BACFBA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vAlign w:val="center"/>
            <w:hideMark/>
          </w:tcPr>
          <w:p w14:paraId="63BFE451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760BCD" w:rsidRPr="00E80434" w14:paraId="3989F83E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42B10420" w14:textId="7EA177A1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(&gt;100 000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1BF80BC1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15E7B392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4E0B450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B725DD1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1D860567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760BCD" w:rsidRPr="00E80434" w14:paraId="4C32F61A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7D05225C" w14:textId="6436705B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IV.SKUPI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(&gt;50 000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49041A55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3D7312E9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2A93AEE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31467E79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vAlign w:val="center"/>
            <w:hideMark/>
          </w:tcPr>
          <w:p w14:paraId="786EC2C5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60BCD" w:rsidRPr="00E80434" w14:paraId="6D1CA0FF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5A182B12" w14:textId="56D72959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(&gt;10 000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C393365" w14:textId="444410C1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9758C12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5D8B7B69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4B0A4210" w14:textId="580031F0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63952E43" w14:textId="328C4B77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760BCD" w:rsidRPr="00E80434" w14:paraId="13769776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7E593C9C" w14:textId="775DD9F8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(&gt;1 000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4077351E" w14:textId="527B6265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383D90E6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2CEC8898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940FC2C" w14:textId="4D5C037D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vAlign w:val="center"/>
            <w:hideMark/>
          </w:tcPr>
          <w:p w14:paraId="1D16EC5E" w14:textId="227D1472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760BCD" w:rsidRPr="00E80434" w14:paraId="4510E7A3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479D3E04" w14:textId="58326FC4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(&gt;300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6610979" w14:textId="69D04294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03B567FD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163004B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2E0F1D9B" w14:textId="50FE47D9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14EF8D6A" w14:textId="18432BCD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760BCD" w:rsidRPr="00E80434" w14:paraId="055627C8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349320AC" w14:textId="0B4A6974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VIII.SKUPI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NA </w:t>
            </w: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(&lt;300 PŘ.OB.)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B5932C4" w14:textId="7F8552CE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77FD393B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488976D5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5CA0A085" w14:textId="1E182120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vAlign w:val="center"/>
            <w:hideMark/>
          </w:tcPr>
          <w:p w14:paraId="193AF1AD" w14:textId="45ABA372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44</w:t>
            </w:r>
          </w:p>
        </w:tc>
      </w:tr>
      <w:tr w:rsidR="00760BCD" w:rsidRPr="00E80434" w14:paraId="23F685E8" w14:textId="77777777" w:rsidTr="00FE3F65">
        <w:trPr>
          <w:trHeight w:val="181"/>
          <w:jc w:val="center"/>
        </w:trPr>
        <w:tc>
          <w:tcPr>
            <w:tcW w:w="1407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5540E465" w14:textId="77777777" w:rsidR="00760BCD" w:rsidRPr="00E80434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0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3586CE22" w14:textId="57B836C6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3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0F9EC738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1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594D7327" w14:textId="77777777" w:rsidR="00760BCD" w:rsidRPr="00E80434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80434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564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0B4787C5" w14:textId="2A8B5C17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87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3059EC" w14:textId="4508258C" w:rsidR="00760BCD" w:rsidRPr="00E80434" w:rsidRDefault="00B71B78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70</w:t>
            </w:r>
          </w:p>
        </w:tc>
      </w:tr>
    </w:tbl>
    <w:p w14:paraId="437BE096" w14:textId="77777777" w:rsidR="00760BCD" w:rsidRDefault="00760BCD" w:rsidP="00760BCD"/>
    <w:p w14:paraId="0263A307" w14:textId="699AAC2A" w:rsidR="00760BCD" w:rsidRDefault="00962A95" w:rsidP="00760BCD">
      <w:pPr>
        <w:pStyle w:val="NORMLN0"/>
      </w:pPr>
      <w:r>
        <w:t>Z </w:t>
      </w:r>
      <w:r w:rsidR="00760BCD">
        <w:t xml:space="preserve">hlediska objemu fakturované vody je chybným vykazováním dat ovlivněn jen </w:t>
      </w:r>
      <w:r w:rsidR="002C1E7B">
        <w:t>1,06</w:t>
      </w:r>
      <w:r w:rsidR="00760BCD">
        <w:t xml:space="preserve">% podíl </w:t>
      </w:r>
      <w:r>
        <w:t>z </w:t>
      </w:r>
      <w:r w:rsidR="00760BCD">
        <w:t>analyzovanéh</w:t>
      </w:r>
      <w:r>
        <w:t>o </w:t>
      </w:r>
      <w:r w:rsidR="00760BCD">
        <w:t xml:space="preserve">trhu. </w:t>
      </w:r>
    </w:p>
    <w:p w14:paraId="4371F06D" w14:textId="77777777" w:rsidR="00760BCD" w:rsidRDefault="00760BCD" w:rsidP="00760BCD"/>
    <w:tbl>
      <w:tblPr>
        <w:tblW w:w="586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7"/>
        <w:gridCol w:w="1727"/>
        <w:gridCol w:w="1663"/>
        <w:gridCol w:w="1338"/>
        <w:gridCol w:w="1010"/>
        <w:gridCol w:w="1155"/>
        <w:gridCol w:w="1285"/>
      </w:tblGrid>
      <w:tr w:rsidR="00760BCD" w:rsidRPr="00DD33A7" w14:paraId="3D749F26" w14:textId="77777777" w:rsidTr="00FE3F65">
        <w:trPr>
          <w:trHeight w:val="1171"/>
          <w:jc w:val="center"/>
        </w:trPr>
        <w:tc>
          <w:tcPr>
            <w:tcW w:w="115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052157E0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SKUPINA</w:t>
            </w:r>
          </w:p>
        </w:tc>
        <w:tc>
          <w:tcPr>
            <w:tcW w:w="81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6B34E16C" w14:textId="2F7DCF14" w:rsidR="00760BCD" w:rsidRPr="00A92F4F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 xml:space="preserve">OBJEM_NENULOVÉ MNOŽSTVÍ ODVEDENÉ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NA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ČO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V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 xml:space="preserve">A ŽÁDNÍ PŘIPOJENÍ OBYVATELÉ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NA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ČOV</w:t>
            </w:r>
          </w:p>
        </w:tc>
        <w:tc>
          <w:tcPr>
            <w:tcW w:w="78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66B8DD26" w14:textId="3734579B" w:rsidR="00760BCD" w:rsidRPr="00A92F4F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 xml:space="preserve">OBJEM_PŘIPOJENÍ OBYVATELÉ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NA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 xml:space="preserve">ČOV, NULOVÉ MNOŽSTVÍ ODVEDENÉ ODPADNÍ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NA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ČOV</w:t>
            </w:r>
          </w:p>
        </w:tc>
        <w:tc>
          <w:tcPr>
            <w:tcW w:w="62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5D08F0D1" w14:textId="77777777" w:rsidR="00760BCD" w:rsidRPr="00A92F4F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OBJEM_NULOVÝ POČET ZAMĚSTNANCŮ + VYKÁZANÉ MZDOVÉ NÁKLADY</w:t>
            </w:r>
          </w:p>
        </w:tc>
        <w:tc>
          <w:tcPr>
            <w:tcW w:w="475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3B0B5EFD" w14:textId="77777777" w:rsidR="00760BCD" w:rsidRPr="00A92F4F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SOUČET OBJEMŮ VÝSKYTU ANOMÁLII</w:t>
            </w:r>
          </w:p>
        </w:tc>
        <w:tc>
          <w:tcPr>
            <w:tcW w:w="543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3E47DA50" w14:textId="6305A31F" w:rsidR="00760BCD" w:rsidRPr="00A92F4F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 xml:space="preserve">OBJEM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V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MIL. M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vertAlign w:val="superscript"/>
                <w:lang w:eastAsia="cs-CZ"/>
              </w:rPr>
              <w:t>3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 xml:space="preserve"> S JEDNOU NEB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O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VÍCER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O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ANOMÁLIEMI</w:t>
            </w:r>
          </w:p>
        </w:tc>
        <w:tc>
          <w:tcPr>
            <w:tcW w:w="604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</w:tcPr>
          <w:p w14:paraId="658F1710" w14:textId="35C70A01" w:rsidR="00760BCD" w:rsidRPr="00A92F4F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A92F4F">
              <w:rPr>
                <w:rFonts w:asciiTheme="majorHAnsi" w:eastAsia="Times New Roman" w:hAnsiTheme="majorHAnsi" w:cstheme="majorHAnsi"/>
                <w:b/>
                <w:bCs/>
                <w:iCs/>
                <w:color w:val="FFFFFF"/>
                <w:sz w:val="18"/>
                <w:szCs w:val="18"/>
                <w:lang w:eastAsia="cs-CZ"/>
              </w:rPr>
              <w:t xml:space="preserve">% OBJEMU VODY FAKTUROVANÉ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iCs/>
                <w:color w:val="FFFFFF"/>
                <w:sz w:val="18"/>
                <w:szCs w:val="18"/>
                <w:lang w:eastAsia="cs-CZ"/>
              </w:rPr>
              <w:t>NA </w:t>
            </w:r>
            <w:r w:rsidRPr="00A92F4F">
              <w:rPr>
                <w:rFonts w:asciiTheme="majorHAnsi" w:eastAsia="Times New Roman" w:hAnsiTheme="majorHAnsi" w:cstheme="majorHAnsi"/>
                <w:b/>
                <w:bCs/>
                <w:iCs/>
                <w:color w:val="FFFFFF"/>
                <w:sz w:val="18"/>
                <w:szCs w:val="18"/>
                <w:lang w:eastAsia="cs-CZ"/>
              </w:rPr>
              <w:t>CELKOVÉM OBJEMU FAKTUROVANÉ VODY</w:t>
            </w:r>
          </w:p>
        </w:tc>
      </w:tr>
      <w:tr w:rsidR="00760BCD" w:rsidRPr="00DD33A7" w14:paraId="29B1CB53" w14:textId="77777777" w:rsidTr="00FE3F65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3E0A4295" w14:textId="7FACE897" w:rsidR="00760BCD" w:rsidRPr="00DD33A7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(&gt;500 000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2AA91670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33CE8507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14D23C2E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05B73FF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2F7DDBD3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</w:tcPr>
          <w:p w14:paraId="0A66ED7F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0,00%</w:t>
            </w:r>
          </w:p>
        </w:tc>
      </w:tr>
      <w:tr w:rsidR="00760BCD" w:rsidRPr="00DD33A7" w14:paraId="52DBA43B" w14:textId="77777777" w:rsidTr="00FE3F65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24D1ECBF" w14:textId="4129DC97" w:rsidR="00760BCD" w:rsidRPr="00DD33A7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(&gt;200 000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24741AB4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15313187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1B45BC1F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5D4EADF4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vAlign w:val="center"/>
            <w:hideMark/>
          </w:tcPr>
          <w:p w14:paraId="2E74486D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</w:tcPr>
          <w:p w14:paraId="3E0B4ED2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0,00%</w:t>
            </w:r>
          </w:p>
        </w:tc>
      </w:tr>
      <w:tr w:rsidR="00760BCD" w:rsidRPr="00DD33A7" w14:paraId="3C327F79" w14:textId="77777777" w:rsidTr="00FE3F65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4F385262" w14:textId="6FDDF2EE" w:rsidR="00760BCD" w:rsidRPr="00DD33A7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III.SKUPI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(&gt;100 000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3EBD6978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038401B4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A421973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54D7406B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60CF3B96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</w:tcPr>
          <w:p w14:paraId="092DC6DB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0,00%</w:t>
            </w:r>
          </w:p>
        </w:tc>
      </w:tr>
      <w:tr w:rsidR="00760BCD" w:rsidRPr="00DD33A7" w14:paraId="0498FA6F" w14:textId="77777777" w:rsidTr="00FE3F65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78511C78" w14:textId="70EF32AE" w:rsidR="00760BCD" w:rsidRPr="00DD33A7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IV.SKUPI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(&gt;50 000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5ABE2DCA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4CEF8482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1BBB5F2C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3,92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7E3EDCB1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3,92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vAlign w:val="center"/>
            <w:hideMark/>
          </w:tcPr>
          <w:p w14:paraId="4CA57DF7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3,92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</w:tcPr>
          <w:p w14:paraId="03DE5CC1" w14:textId="77777777" w:rsidR="00760BCD" w:rsidRPr="00DD33A7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0,76%</w:t>
            </w:r>
          </w:p>
        </w:tc>
      </w:tr>
      <w:tr w:rsidR="00B71B78" w:rsidRPr="00DD33A7" w14:paraId="67C13072" w14:textId="77777777" w:rsidTr="00B71B78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BCC2F24" w14:textId="535525CF" w:rsidR="00B71B78" w:rsidRPr="00DD33A7" w:rsidRDefault="00B71B78" w:rsidP="00B71B7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V.SKUPI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(&gt;10 000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63396878" w14:textId="1EF927A0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2C69AF1E" w14:textId="474B79A3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6D6FDE79" w14:textId="791C9DDE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77B6BA38" w14:textId="32DC1CDF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hideMark/>
          </w:tcPr>
          <w:p w14:paraId="3812F6B2" w14:textId="2CD449E5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</w:tcPr>
          <w:p w14:paraId="4A8EEA59" w14:textId="5C5EF485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0,00%</w:t>
            </w:r>
          </w:p>
        </w:tc>
      </w:tr>
      <w:tr w:rsidR="00B71B78" w:rsidRPr="00DD33A7" w14:paraId="44E99C52" w14:textId="77777777" w:rsidTr="00B71B78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796C76A1" w14:textId="621E02FC" w:rsidR="00B71B78" w:rsidRPr="00DD33A7" w:rsidRDefault="00B71B78" w:rsidP="00B71B7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VI.SKUPI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(&gt;1 000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510FE9EF" w14:textId="035C89AD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6A8E61F2" w14:textId="61713E85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0,02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73505EDF" w14:textId="33103E0F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0,63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6D5488AB" w14:textId="0055BF29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0,65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hideMark/>
          </w:tcPr>
          <w:p w14:paraId="5F0C0B78" w14:textId="4E7C2724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0,65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</w:tcPr>
          <w:p w14:paraId="6C20E477" w14:textId="0AF343E3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0,13%</w:t>
            </w:r>
          </w:p>
        </w:tc>
      </w:tr>
      <w:tr w:rsidR="00B71B78" w:rsidRPr="00DD33A7" w14:paraId="1D09E49E" w14:textId="77777777" w:rsidTr="00B71B78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511ECFA1" w14:textId="310C8929" w:rsidR="00B71B78" w:rsidRPr="00DD33A7" w:rsidRDefault="00B71B78" w:rsidP="00B71B7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VII.SKUPI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(&gt;300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26102529" w14:textId="189C074B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0,03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546E6F48" w14:textId="4137CB10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0,14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2BB011BF" w14:textId="0E4C979E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0,16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hideMark/>
          </w:tcPr>
          <w:p w14:paraId="1CA59824" w14:textId="4E92F768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0,34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hideMark/>
          </w:tcPr>
          <w:p w14:paraId="17CA690F" w14:textId="26E2F0BF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0,34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</w:tcPr>
          <w:p w14:paraId="4B2D1EF8" w14:textId="42E879D9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0,07%</w:t>
            </w:r>
          </w:p>
        </w:tc>
      </w:tr>
      <w:tr w:rsidR="00B71B78" w:rsidRPr="00DD33A7" w14:paraId="11FBD017" w14:textId="77777777" w:rsidTr="00B71B78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1F9430AE" w14:textId="3CC0007B" w:rsidR="00B71B78" w:rsidRPr="00DD33A7" w:rsidRDefault="00B71B78" w:rsidP="00B71B7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VIII.SKUPI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NA </w:t>
            </w:r>
            <w:r w:rsidRPr="00DD33A7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(&lt;300 PŘ.OB.)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131C4E4B" w14:textId="279FBD17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0,00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3FF446DF" w14:textId="650F00F1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0,30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194FB89F" w14:textId="31CB8A26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0,23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noWrap/>
            <w:hideMark/>
          </w:tcPr>
          <w:p w14:paraId="226A7CE9" w14:textId="03F3731A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0,53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noWrap/>
            <w:hideMark/>
          </w:tcPr>
          <w:p w14:paraId="6A46C59E" w14:textId="09F0711E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0,53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</w:tcPr>
          <w:p w14:paraId="38182979" w14:textId="1D7D9D3D" w:rsidR="00B71B78" w:rsidRPr="00DD33A7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  <w:t>0,10%</w:t>
            </w:r>
          </w:p>
        </w:tc>
      </w:tr>
      <w:tr w:rsidR="00B71B78" w:rsidRPr="00DD33A7" w14:paraId="536598B3" w14:textId="77777777" w:rsidTr="00B71B78">
        <w:trPr>
          <w:trHeight w:val="201"/>
          <w:jc w:val="center"/>
        </w:trPr>
        <w:tc>
          <w:tcPr>
            <w:tcW w:w="1155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046AC0A0" w14:textId="77777777" w:rsidR="00B71B78" w:rsidRPr="00DD33A7" w:rsidRDefault="00B71B78" w:rsidP="00B71B7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DD33A7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CELKEM</w:t>
            </w:r>
          </w:p>
        </w:tc>
        <w:tc>
          <w:tcPr>
            <w:tcW w:w="81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hideMark/>
          </w:tcPr>
          <w:p w14:paraId="0E6C6B6E" w14:textId="3BA3AF8E" w:rsidR="00B71B78" w:rsidRPr="002C1E7B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  <w:t>0,03</w:t>
            </w:r>
          </w:p>
        </w:tc>
        <w:tc>
          <w:tcPr>
            <w:tcW w:w="78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hideMark/>
          </w:tcPr>
          <w:p w14:paraId="7062225D" w14:textId="423DA0FF" w:rsidR="00B71B78" w:rsidRPr="002C1E7B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  <w:t>0,47</w:t>
            </w:r>
          </w:p>
        </w:tc>
        <w:tc>
          <w:tcPr>
            <w:tcW w:w="62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hideMark/>
          </w:tcPr>
          <w:p w14:paraId="7FCD4DF5" w14:textId="72C247A9" w:rsidR="00B71B78" w:rsidRPr="002C1E7B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  <w:t>4,94</w:t>
            </w:r>
          </w:p>
        </w:tc>
        <w:tc>
          <w:tcPr>
            <w:tcW w:w="47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hideMark/>
          </w:tcPr>
          <w:p w14:paraId="023499BB" w14:textId="2AA721B6" w:rsidR="00B71B78" w:rsidRPr="002C1E7B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  <w:t>5,44</w:t>
            </w:r>
          </w:p>
        </w:tc>
        <w:tc>
          <w:tcPr>
            <w:tcW w:w="543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hideMark/>
          </w:tcPr>
          <w:p w14:paraId="36FA59CD" w14:textId="68238C28" w:rsidR="00B71B78" w:rsidRPr="002C1E7B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  <w:t>5,44</w:t>
            </w:r>
          </w:p>
        </w:tc>
        <w:tc>
          <w:tcPr>
            <w:tcW w:w="604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C000"/>
          </w:tcPr>
          <w:p w14:paraId="3D53D029" w14:textId="33B2CD66" w:rsidR="00B71B78" w:rsidRPr="002C1E7B" w:rsidRDefault="00B71B78" w:rsidP="00B71B7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2C1E7B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20"/>
                <w:lang w:eastAsia="cs-CZ"/>
              </w:rPr>
              <w:t>1,06%</w:t>
            </w:r>
          </w:p>
        </w:tc>
      </w:tr>
    </w:tbl>
    <w:p w14:paraId="7B9FE2C4" w14:textId="77777777" w:rsidR="00760BCD" w:rsidRDefault="00760BCD" w:rsidP="00760BCD">
      <w:pPr>
        <w:pStyle w:val="Nadpis3"/>
        <w:rPr>
          <w:noProof/>
        </w:rPr>
      </w:pPr>
      <w:bookmarkStart w:id="99" w:name="_Toc34210413"/>
      <w:r>
        <w:rPr>
          <w:noProof/>
        </w:rPr>
        <w:lastRenderedPageBreak/>
        <w:t>Anomálie související s regulačními záměry</w:t>
      </w:r>
      <w:bookmarkEnd w:id="99"/>
    </w:p>
    <w:p w14:paraId="3FCB6DF1" w14:textId="77777777" w:rsidR="00760BCD" w:rsidRPr="00950FB8" w:rsidRDefault="00760BCD" w:rsidP="00760BCD"/>
    <w:p w14:paraId="7A459063" w14:textId="5161F310" w:rsidR="00760BCD" w:rsidRDefault="00962A95" w:rsidP="00760BCD">
      <w:pPr>
        <w:pStyle w:val="NORMLN0"/>
      </w:pPr>
      <w:r>
        <w:t>V </w:t>
      </w:r>
      <w:r w:rsidR="00760BCD" w:rsidRPr="00C410C4">
        <w:t xml:space="preserve">rámci benchmarkingu provozovatelských subjektů </w:t>
      </w:r>
      <w:r>
        <w:t>v </w:t>
      </w:r>
      <w:r w:rsidR="00760BCD" w:rsidRPr="00C410C4">
        <w:t>části týkající se kanalizace byl</w:t>
      </w:r>
      <w:r>
        <w:t>o </w:t>
      </w:r>
      <w:r w:rsidR="00760BCD" w:rsidRPr="00C410C4">
        <w:t>posuzován</w:t>
      </w:r>
      <w:r>
        <w:t>o </w:t>
      </w:r>
      <w:r w:rsidR="00760BCD">
        <w:t>2 443</w:t>
      </w:r>
      <w:r w:rsidR="00760BCD" w:rsidRPr="00C410C4">
        <w:t xml:space="preserve"> Porovnání, která představ</w:t>
      </w:r>
      <w:r w:rsidR="00760BCD">
        <w:t>ovala 97,34</w:t>
      </w:r>
      <w:r w:rsidR="00760BCD" w:rsidRPr="00C410C4">
        <w:t xml:space="preserve">% podíl trhu určený </w:t>
      </w:r>
      <w:r>
        <w:t>na </w:t>
      </w:r>
      <w:r w:rsidR="00760BCD" w:rsidRPr="00C410C4">
        <w:t>základě množství vody odpadní a srážkové fakturované (tj.</w:t>
      </w:r>
      <w:r w:rsidR="00760BCD" w:rsidRPr="00CE5B91">
        <w:t xml:space="preserve"> </w:t>
      </w:r>
      <w:r w:rsidR="00760BCD">
        <w:t>515,231</w:t>
      </w:r>
      <w:r w:rsidR="00760BCD" w:rsidRPr="00C410C4">
        <w:t xml:space="preserve"> </w:t>
      </w:r>
      <w:r w:rsidR="00760BCD">
        <w:t>mil. m</w:t>
      </w:r>
      <w:r w:rsidR="00760BCD" w:rsidRPr="00E27252">
        <w:rPr>
          <w:vertAlign w:val="superscript"/>
        </w:rPr>
        <w:t>3</w:t>
      </w:r>
      <w:r w:rsidR="00760BCD">
        <w:t>)</w:t>
      </w:r>
      <w:r w:rsidR="00760BCD" w:rsidRPr="00C410C4">
        <w:t>.</w:t>
      </w:r>
      <w:r w:rsidR="00760BCD">
        <w:t xml:space="preserve"> </w:t>
      </w:r>
      <w:r w:rsidR="00760BCD" w:rsidRPr="00C410C4">
        <w:t>Celkem se vyskytuje alespoň jed</w:t>
      </w:r>
      <w:r>
        <w:t>na </w:t>
      </w:r>
      <w:r w:rsidR="00760BCD" w:rsidRPr="00C410C4">
        <w:t xml:space="preserve">anomálie </w:t>
      </w:r>
      <w:r>
        <w:t>na </w:t>
      </w:r>
      <w:r w:rsidR="00760BCD">
        <w:t>2</w:t>
      </w:r>
      <w:r w:rsidR="004A66A9">
        <w:t xml:space="preserve"> </w:t>
      </w:r>
      <w:r w:rsidR="00760BCD">
        <w:t>329 </w:t>
      </w:r>
      <w:r w:rsidR="00760BCD" w:rsidRPr="00C410C4">
        <w:t>Porovnáních</w:t>
      </w:r>
      <w:r w:rsidR="00760BCD">
        <w:t xml:space="preserve"> (</w:t>
      </w:r>
      <w:r w:rsidR="00760BCD">
        <w:rPr>
          <w:sz w:val="26"/>
        </w:rPr>
        <w:t xml:space="preserve">tj. </w:t>
      </w:r>
      <w:r>
        <w:t>v </w:t>
      </w:r>
      <w:r w:rsidR="00760BCD">
        <w:t>95,33</w:t>
      </w:r>
      <w:r w:rsidR="00760BCD" w:rsidRPr="00C410C4">
        <w:t xml:space="preserve"> %</w:t>
      </w:r>
      <w:r w:rsidR="00760BCD">
        <w:t xml:space="preserve"> počtu Porovnání)</w:t>
      </w:r>
      <w:r w:rsidR="00760BCD" w:rsidRPr="00C410C4">
        <w:t xml:space="preserve">. </w:t>
      </w:r>
      <w:r w:rsidR="00760BCD" w:rsidRPr="00DD5A8B">
        <w:t xml:space="preserve">Níže uvedený graf znázorňuje výskyt alespoň jedné anomálie podle podílu </w:t>
      </w:r>
      <w:r>
        <w:t>na </w:t>
      </w:r>
      <w:r w:rsidR="00760BCD" w:rsidRPr="00DD5A8B">
        <w:t xml:space="preserve">trhu. </w:t>
      </w:r>
      <w:r>
        <w:t>Z </w:t>
      </w:r>
      <w:r w:rsidR="00760BCD" w:rsidRPr="00C410C4">
        <w:t>hlediska o</w:t>
      </w:r>
      <w:r w:rsidR="00760BCD">
        <w:t>b</w:t>
      </w:r>
      <w:r w:rsidR="00760BCD" w:rsidRPr="00C410C4">
        <w:t xml:space="preserve">jemu odpadní a srážkové vody fakturované </w:t>
      </w:r>
      <w:r w:rsidR="00760BCD">
        <w:t>není</w:t>
      </w:r>
      <w:r w:rsidR="00760BCD" w:rsidRPr="00C410C4">
        <w:t xml:space="preserve"> anomáliemi zasažen </w:t>
      </w:r>
      <w:r w:rsidR="00760BCD">
        <w:t>56,81</w:t>
      </w:r>
      <w:r w:rsidR="00760BCD" w:rsidRPr="00C410C4">
        <w:t>% podíl analyzovanéh</w:t>
      </w:r>
      <w:r>
        <w:t>o</w:t>
      </w:r>
      <w:r w:rsidR="004A66A9">
        <w:t xml:space="preserve"> </w:t>
      </w:r>
      <w:r w:rsidR="00760BCD" w:rsidRPr="00C410C4">
        <w:t>trhu</w:t>
      </w:r>
      <w:r w:rsidR="00760BCD">
        <w:t>.</w:t>
      </w:r>
    </w:p>
    <w:p w14:paraId="59C11E00" w14:textId="77777777" w:rsidR="00760BCD" w:rsidRDefault="00760BCD" w:rsidP="00760BCD">
      <w:pPr>
        <w:pStyle w:val="Normlnzprva"/>
      </w:pPr>
      <w:r>
        <w:rPr>
          <w:noProof/>
          <w:lang w:eastAsia="cs-CZ"/>
        </w:rPr>
        <w:drawing>
          <wp:inline distT="0" distB="0" distL="0" distR="0" wp14:anchorId="01D46BDD" wp14:editId="4D3ABE66">
            <wp:extent cx="5759450" cy="3654425"/>
            <wp:effectExtent l="0" t="0" r="0" b="317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EBC6DCC-3E44-4C1F-AB0F-EC12EC6943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60A8BF8A" w14:textId="405CE954" w:rsidR="00760BCD" w:rsidRPr="005F08D2" w:rsidRDefault="00A37FCB" w:rsidP="00760BCD">
      <w:pPr>
        <w:pStyle w:val="NORMLN0"/>
        <w:rPr>
          <w:sz w:val="26"/>
        </w:rPr>
      </w:pPr>
      <w:r>
        <w:rPr>
          <w:noProof/>
        </w:rPr>
        <w:object w:dxaOrig="1440" w:dyaOrig="1440" w14:anchorId="264715EF">
          <v:shape id="_x0000_s1042" type="#_x0000_t75" style="position:absolute;left:0;text-align:left;margin-left:-28.8pt;margin-top:48.2pt;width:511pt;height:166.4pt;z-index:251715584;mso-position-horizontal-relative:text;mso-position-vertical-relative:text" o:allowoverlap="f">
            <v:imagedata r:id="rId45" o:title=""/>
            <w10:wrap type="topAndBottom"/>
          </v:shape>
          <o:OLEObject Type="Embed" ProgID="Excel.Sheet.12" ShapeID="_x0000_s1042" DrawAspect="Content" ObjectID="_1662960758" r:id="rId46"/>
        </w:object>
      </w:r>
      <w:r w:rsidR="00760BCD" w:rsidRPr="00C410C4">
        <w:t>Následující tabulka uvádí četnost výskytu jednotliv</w:t>
      </w:r>
      <w:r w:rsidR="00760BCD">
        <w:t>ý</w:t>
      </w:r>
      <w:r w:rsidR="00760BCD" w:rsidRPr="00C410C4">
        <w:t>ch identifikovaných anomálií</w:t>
      </w:r>
      <w:r w:rsidR="00DE53F8">
        <w:t xml:space="preserve"> u </w:t>
      </w:r>
      <w:r w:rsidR="00760BCD" w:rsidRPr="00C410C4">
        <w:t>analyzovaných Porovnání</w:t>
      </w:r>
      <w:r w:rsidR="00760BCD">
        <w:t xml:space="preserve">. </w:t>
      </w:r>
    </w:p>
    <w:p w14:paraId="44C8ED4B" w14:textId="77777777" w:rsidR="00760BCD" w:rsidRDefault="00760BCD" w:rsidP="00760BCD">
      <w:pPr>
        <w:pStyle w:val="Normlnzprva"/>
      </w:pPr>
    </w:p>
    <w:p w14:paraId="6B44401E" w14:textId="7B606D7D" w:rsidR="00760BCD" w:rsidRDefault="00760BCD" w:rsidP="00760BCD">
      <w:pPr>
        <w:pStyle w:val="NORMLN0"/>
        <w:spacing w:before="240"/>
        <w:rPr>
          <w:i/>
        </w:rPr>
      </w:pPr>
      <w:r>
        <w:lastRenderedPageBreak/>
        <w:t>Jak</w:t>
      </w:r>
      <w:r w:rsidR="00962A95">
        <w:t>o </w:t>
      </w:r>
      <w:r>
        <w:t>nejvýznamnější anomálie</w:t>
      </w:r>
      <w:r w:rsidR="00371EFB">
        <w:t xml:space="preserve"> </w:t>
      </w:r>
      <w:r>
        <w:t>stanoven</w:t>
      </w:r>
      <w:r w:rsidR="00962A95">
        <w:t>o </w:t>
      </w:r>
      <w:r>
        <w:t>podle objemu zasaženéh</w:t>
      </w:r>
      <w:r w:rsidR="00962A95">
        <w:t>o </w:t>
      </w:r>
      <w:r>
        <w:t>trhu byly obdobně jak</w:t>
      </w:r>
      <w:r w:rsidR="00962A95">
        <w:t>o v </w:t>
      </w:r>
      <w:r>
        <w:t xml:space="preserve">loňském roce identifikovány anomálie související s vysokým kalkulačním ziskem </w:t>
      </w:r>
      <w:r w:rsidR="00962A95">
        <w:t>k </w:t>
      </w:r>
      <w:r>
        <w:t xml:space="preserve">rozdělení </w:t>
      </w:r>
      <w:r w:rsidR="00962A95">
        <w:t>v </w:t>
      </w:r>
      <w:r>
        <w:t xml:space="preserve">poměru </w:t>
      </w:r>
      <w:r w:rsidR="00962A95">
        <w:t>k </w:t>
      </w:r>
      <w:r>
        <w:t>ÚVN neb</w:t>
      </w:r>
      <w:r w:rsidR="00962A95">
        <w:t>o </w:t>
      </w:r>
      <w:r>
        <w:t xml:space="preserve">vysokým účetním ziskem </w:t>
      </w:r>
      <w:r w:rsidR="00962A95">
        <w:t>v </w:t>
      </w:r>
      <w:r>
        <w:t xml:space="preserve">poměru </w:t>
      </w:r>
      <w:r w:rsidR="00962A95">
        <w:t>k </w:t>
      </w:r>
      <w:r>
        <w:t>ÚVN. Obě tyt</w:t>
      </w:r>
      <w:r w:rsidR="00962A95">
        <w:t>o </w:t>
      </w:r>
      <w:r>
        <w:t xml:space="preserve">anomálie zasahují více </w:t>
      </w:r>
      <w:r w:rsidR="00962A95">
        <w:t>než </w:t>
      </w:r>
      <w:r>
        <w:t>20 % analyzovanéh</w:t>
      </w:r>
      <w:r w:rsidR="00962A95">
        <w:t>o </w:t>
      </w:r>
      <w:r>
        <w:t xml:space="preserve">trhu. Další významnou identifikovanou anomálií je </w:t>
      </w:r>
      <w:r w:rsidRPr="002E4371">
        <w:rPr>
          <w:b/>
        </w:rPr>
        <w:t>OKF&lt;1</w:t>
      </w:r>
      <w:r>
        <w:rPr>
          <w:b/>
        </w:rPr>
        <w:t xml:space="preserve">, </w:t>
      </w:r>
      <w:r>
        <w:t xml:space="preserve">která zasahuje </w:t>
      </w:r>
      <w:r w:rsidRPr="004A66A9">
        <w:rPr>
          <w:szCs w:val="24"/>
        </w:rPr>
        <w:t>20,40%</w:t>
      </w:r>
      <w:r>
        <w:rPr>
          <w:sz w:val="26"/>
        </w:rPr>
        <w:t xml:space="preserve"> podíl trhu.</w:t>
      </w:r>
      <w:r>
        <w:t xml:space="preserve"> Tat</w:t>
      </w:r>
      <w:r w:rsidR="00962A95">
        <w:t>o </w:t>
      </w:r>
      <w:r>
        <w:t>anomálie souvisí se záporným neb</w:t>
      </w:r>
      <w:r w:rsidR="00962A95">
        <w:t>o </w:t>
      </w:r>
      <w:r>
        <w:t>nízkým kalkulačním ziskem a nízkým množstvím P</w:t>
      </w:r>
      <w:r w:rsidR="00962A95">
        <w:t>O </w:t>
      </w:r>
      <w:r>
        <w:t>kalkulovaných d</w:t>
      </w:r>
      <w:r w:rsidR="00962A95">
        <w:t>o </w:t>
      </w:r>
      <w:r>
        <w:t>ceny. Tent</w:t>
      </w:r>
      <w:r w:rsidR="00962A95">
        <w:t>o</w:t>
      </w:r>
      <w:r w:rsidR="004A66A9">
        <w:t xml:space="preserve"> </w:t>
      </w:r>
      <w:r>
        <w:t xml:space="preserve">přístup je </w:t>
      </w:r>
      <w:r w:rsidR="00962A95">
        <w:t>v </w:t>
      </w:r>
      <w:r>
        <w:t>rozporu se záměry regulace (zejm. dosažení samofinancovatelnosti VIM) a jeh</w:t>
      </w:r>
      <w:r w:rsidR="00962A95">
        <w:t>o </w:t>
      </w:r>
      <w:r>
        <w:t>výskyt l</w:t>
      </w:r>
      <w:r w:rsidR="00962A95">
        <w:t>ze </w:t>
      </w:r>
      <w:r>
        <w:t xml:space="preserve">připisovat především vysoké atomizaci trhu, </w:t>
      </w:r>
      <w:r w:rsidR="00962A95">
        <w:t>v </w:t>
      </w:r>
      <w:r>
        <w:t>důsledku které</w:t>
      </w:r>
      <w:r w:rsidDel="00D444BA">
        <w:t xml:space="preserve"> </w:t>
      </w:r>
      <w:r>
        <w:t>je vlastní</w:t>
      </w:r>
      <w:r w:rsidR="00962A95">
        <w:t>k </w:t>
      </w:r>
      <w:r>
        <w:t xml:space="preserve">VIM nucen udržovat určitou cenovou úroveň služby i </w:t>
      </w:r>
      <w:r w:rsidR="00962A95">
        <w:t>za </w:t>
      </w:r>
      <w:r>
        <w:t xml:space="preserve">cenu </w:t>
      </w:r>
      <w:r w:rsidR="004A66A9">
        <w:t xml:space="preserve">ekonomické </w:t>
      </w:r>
      <w:r>
        <w:t>ztráty. Tot</w:t>
      </w:r>
      <w:r w:rsidR="00962A95">
        <w:t>o </w:t>
      </w:r>
      <w:r>
        <w:t xml:space="preserve">tvrzení také dokazuje vysoká četnost výskytu anomálie </w:t>
      </w:r>
      <w:r w:rsidRPr="00A92F4F">
        <w:rPr>
          <w:b/>
        </w:rPr>
        <w:t>záporný kalkulační zisk</w:t>
      </w:r>
      <w:r>
        <w:t xml:space="preserve">. </w:t>
      </w:r>
    </w:p>
    <w:p w14:paraId="345CB1FD" w14:textId="5CBE4580" w:rsidR="00760BCD" w:rsidRPr="00F30C2E" w:rsidRDefault="00760BCD" w:rsidP="00760BCD">
      <w:pPr>
        <w:pStyle w:val="NORMLN0"/>
        <w:spacing w:before="240"/>
      </w:pPr>
      <w:r>
        <w:t xml:space="preserve">Kvalita vypouštěné odpadní vody </w:t>
      </w:r>
      <w:r w:rsidR="00962A95">
        <w:t>z </w:t>
      </w:r>
      <w:r>
        <w:t>ČO</w:t>
      </w:r>
      <w:r w:rsidR="00962A95">
        <w:t>V </w:t>
      </w:r>
      <w:r>
        <w:t xml:space="preserve">a </w:t>
      </w:r>
      <w:r w:rsidR="00962A95">
        <w:t>z </w:t>
      </w:r>
      <w:r>
        <w:t xml:space="preserve">volných výustí byla poměrně vysoká. Anomálie podíl nevyhovujících vzorků vypouštěných odpaní vod </w:t>
      </w:r>
      <w:r w:rsidR="00962A95">
        <w:t>z </w:t>
      </w:r>
      <w:r>
        <w:t>ČO</w:t>
      </w:r>
      <w:r w:rsidR="00962A95">
        <w:t>V </w:t>
      </w:r>
      <w:r>
        <w:t>a V</w:t>
      </w:r>
      <w:r w:rsidR="00962A95">
        <w:t>V </w:t>
      </w:r>
      <w:r>
        <w:t xml:space="preserve">vyšší </w:t>
      </w:r>
      <w:r w:rsidR="00962A95">
        <w:t>než </w:t>
      </w:r>
      <w:r>
        <w:t xml:space="preserve">20 % zasáhla 5,34 % podílu trhu. </w:t>
      </w:r>
    </w:p>
    <w:p w14:paraId="632510BF" w14:textId="77777777" w:rsidR="00760BCD" w:rsidRDefault="00760BCD" w:rsidP="00760BCD">
      <w:pPr>
        <w:pStyle w:val="NORMLN0"/>
        <w:rPr>
          <w:color w:val="FF0000"/>
        </w:rPr>
      </w:pPr>
      <w:r>
        <w:rPr>
          <w:color w:val="FF0000"/>
        </w:rPr>
        <w:t xml:space="preserve"> </w:t>
      </w:r>
    </w:p>
    <w:p w14:paraId="2000676D" w14:textId="0901CBAE" w:rsidR="005A127A" w:rsidRDefault="00962A95" w:rsidP="004A66A9">
      <w:pPr>
        <w:pStyle w:val="NORMLN0"/>
        <w:rPr>
          <w:rFonts w:asciiTheme="minorHAnsi" w:eastAsia="Times New Roman" w:hAnsiTheme="minorHAnsi"/>
          <w:noProof/>
          <w:color w:val="243F60"/>
          <w:szCs w:val="24"/>
        </w:rPr>
      </w:pPr>
      <w:r>
        <w:rPr>
          <w:noProof/>
        </w:rPr>
        <w:t>V </w:t>
      </w:r>
      <w:r w:rsidR="00760BCD">
        <w:rPr>
          <w:noProof/>
        </w:rPr>
        <w:t xml:space="preserve">následujícím grafu jsou uvedeny jednotlivé anomálie podle zasažené fakturované vody </w:t>
      </w:r>
      <w:r>
        <w:rPr>
          <w:noProof/>
        </w:rPr>
        <w:t>na </w:t>
      </w:r>
      <w:r w:rsidR="00760BCD">
        <w:rPr>
          <w:noProof/>
        </w:rPr>
        <w:t>celkovém objemu fakturované vody analyzovanéh</w:t>
      </w:r>
      <w:r>
        <w:rPr>
          <w:noProof/>
        </w:rPr>
        <w:t>o </w:t>
      </w:r>
      <w:r w:rsidR="00760BCD">
        <w:rPr>
          <w:noProof/>
        </w:rPr>
        <w:t xml:space="preserve">trhu. </w:t>
      </w:r>
    </w:p>
    <w:p w14:paraId="4A8C73A0" w14:textId="75184415" w:rsidR="005A127A" w:rsidRDefault="00760BCD" w:rsidP="005A127A">
      <w:pPr>
        <w:spacing w:before="0" w:after="0"/>
        <w:contextualSpacing w:val="0"/>
        <w:jc w:val="left"/>
        <w:rPr>
          <w:rFonts w:asciiTheme="minorHAnsi" w:eastAsia="Times New Roman" w:hAnsiTheme="minorHAnsi"/>
          <w:noProof/>
          <w:color w:val="243F60"/>
          <w:szCs w:val="24"/>
        </w:rPr>
      </w:pPr>
      <w:r>
        <w:rPr>
          <w:noProof/>
          <w:lang w:eastAsia="cs-CZ"/>
        </w:rPr>
        <w:drawing>
          <wp:inline distT="0" distB="0" distL="0" distR="0" wp14:anchorId="63F5AC15" wp14:editId="58AD255C">
            <wp:extent cx="5581402" cy="5438775"/>
            <wp:effectExtent l="0" t="0" r="635" b="0"/>
            <wp:docPr id="12" name="Graf 12">
              <a:extLst xmlns:a="http://schemas.openxmlformats.org/drawingml/2006/main">
                <a:ext uri="{FF2B5EF4-FFF2-40B4-BE49-F238E27FC236}">
                  <a16:creationId xmlns:a16="http://schemas.microsoft.com/office/drawing/2014/main" id="{EBC8AACD-CE14-47BB-A535-FE7E1FF8C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093C8F5B" w14:textId="57CBFA81" w:rsidR="00760BCD" w:rsidRDefault="00760BCD" w:rsidP="00760BCD">
      <w:pPr>
        <w:pStyle w:val="Nadpis3"/>
        <w:rPr>
          <w:rFonts w:asciiTheme="minorHAnsi" w:hAnsiTheme="minorHAnsi"/>
          <w:noProof/>
        </w:rPr>
      </w:pPr>
      <w:bookmarkStart w:id="100" w:name="_Toc963499"/>
      <w:bookmarkStart w:id="101" w:name="_Toc34210414"/>
      <w:r w:rsidRPr="00141742">
        <w:rPr>
          <w:rFonts w:asciiTheme="minorHAnsi" w:hAnsiTheme="minorHAnsi"/>
          <w:noProof/>
        </w:rPr>
        <w:lastRenderedPageBreak/>
        <w:t xml:space="preserve">Výskyt anomálii </w:t>
      </w:r>
      <w:r w:rsidR="00962A95">
        <w:rPr>
          <w:rFonts w:asciiTheme="minorHAnsi" w:hAnsiTheme="minorHAnsi"/>
          <w:noProof/>
        </w:rPr>
        <w:t>v </w:t>
      </w:r>
      <w:r w:rsidRPr="00141742">
        <w:rPr>
          <w:rFonts w:asciiTheme="minorHAnsi" w:hAnsiTheme="minorHAnsi"/>
          <w:noProof/>
        </w:rPr>
        <w:t>jednotlivých skupinách provozovatelů</w:t>
      </w:r>
      <w:bookmarkEnd w:id="100"/>
      <w:bookmarkEnd w:id="101"/>
      <w:r w:rsidRPr="00141742">
        <w:rPr>
          <w:rFonts w:asciiTheme="minorHAnsi" w:hAnsiTheme="minorHAnsi"/>
          <w:noProof/>
        </w:rPr>
        <w:t xml:space="preserve"> </w:t>
      </w:r>
    </w:p>
    <w:p w14:paraId="73543B72" w14:textId="77777777" w:rsidR="00760BCD" w:rsidRPr="001062E2" w:rsidRDefault="00760BCD" w:rsidP="00760BCD"/>
    <w:p w14:paraId="017976C2" w14:textId="37CEA219" w:rsidR="00760BCD" w:rsidRDefault="00A37FCB" w:rsidP="00760BCD">
      <w:pPr>
        <w:pStyle w:val="NORMLN0"/>
      </w:pPr>
      <w:r>
        <w:rPr>
          <w:noProof/>
        </w:rPr>
        <w:object w:dxaOrig="1440" w:dyaOrig="1440" w14:anchorId="3FEBE159">
          <v:shape id="_x0000_s1043" type="#_x0000_t75" style="position:absolute;left:0;text-align:left;margin-left:-24.9pt;margin-top:48.35pt;width:512.45pt;height:212.65pt;z-index:251717632;mso-position-horizontal-relative:text;mso-position-vertical-relative:text">
            <v:imagedata r:id="rId48" o:title=""/>
            <w10:wrap type="topAndBottom"/>
          </v:shape>
          <o:OLEObject Type="Embed" ProgID="Excel.Sheet.12" ShapeID="_x0000_s1043" DrawAspect="Content" ObjectID="_1662960759" r:id="rId49"/>
        </w:object>
      </w:r>
      <w:r w:rsidR="00760BCD">
        <w:t>Podle počtu výskytu anomálií možn</w:t>
      </w:r>
      <w:r w:rsidR="00962A95">
        <w:t>o </w:t>
      </w:r>
      <w:r w:rsidR="00760BCD">
        <w:t xml:space="preserve">považovat </w:t>
      </w:r>
      <w:r w:rsidR="00962A95">
        <w:t>za </w:t>
      </w:r>
      <w:r w:rsidR="00760BCD">
        <w:t xml:space="preserve">nejvíce problematickou VII. a </w:t>
      </w:r>
      <w:r w:rsidR="00760BCD" w:rsidRPr="00E27252">
        <w:t xml:space="preserve">VIII. </w:t>
      </w:r>
      <w:r w:rsidR="0011579E">
        <w:t>s</w:t>
      </w:r>
      <w:r w:rsidR="00760BCD" w:rsidRPr="00E27252">
        <w:t>kupin</w:t>
      </w:r>
      <w:r w:rsidR="00760BCD">
        <w:t xml:space="preserve">u a více </w:t>
      </w:r>
      <w:r w:rsidR="00962A95">
        <w:t>než </w:t>
      </w:r>
      <w:r w:rsidR="00760BCD">
        <w:t xml:space="preserve">50% podíl fakturované vody zasažené anomáliemi se vyskytuje </w:t>
      </w:r>
      <w:r w:rsidR="0011579E">
        <w:t xml:space="preserve">ve </w:t>
      </w:r>
      <w:r w:rsidR="00760BCD">
        <w:t>III</w:t>
      </w:r>
      <w:r w:rsidR="00760BCD" w:rsidRPr="00E27252">
        <w:t>.</w:t>
      </w:r>
      <w:r w:rsidR="00760BCD">
        <w:t>, V., VI.</w:t>
      </w:r>
      <w:r w:rsidR="00760BCD" w:rsidRPr="00E27252">
        <w:t xml:space="preserve"> </w:t>
      </w:r>
      <w:r w:rsidR="0011579E">
        <w:t xml:space="preserve"> a VII. skupině.</w:t>
      </w:r>
    </w:p>
    <w:p w14:paraId="2BCDAB26" w14:textId="77777777" w:rsidR="00760BCD" w:rsidRDefault="00760BCD" w:rsidP="00760BCD">
      <w:pPr>
        <w:pStyle w:val="NORMLN0"/>
        <w:rPr>
          <w:noProof/>
        </w:rPr>
      </w:pPr>
    </w:p>
    <w:p w14:paraId="0C2B8CE7" w14:textId="77777777" w:rsidR="00760BCD" w:rsidRDefault="00760BCD" w:rsidP="00760BCD">
      <w:pPr>
        <w:pStyle w:val="NORMLN0"/>
        <w:rPr>
          <w:noProof/>
        </w:rPr>
      </w:pPr>
    </w:p>
    <w:p w14:paraId="7DC92C74" w14:textId="3CE463F0" w:rsidR="00760BCD" w:rsidRPr="006E7581" w:rsidRDefault="00962A95" w:rsidP="00760BCD">
      <w:pPr>
        <w:pStyle w:val="NORMLN0"/>
        <w:rPr>
          <w:noProof/>
        </w:rPr>
      </w:pPr>
      <w:r>
        <w:rPr>
          <w:noProof/>
        </w:rPr>
        <w:t>V </w:t>
      </w:r>
      <w:r w:rsidR="00760BCD" w:rsidRPr="00C62639">
        <w:rPr>
          <w:noProof/>
        </w:rPr>
        <w:t>následující</w:t>
      </w:r>
      <w:r w:rsidR="00760BCD">
        <w:rPr>
          <w:noProof/>
        </w:rPr>
        <w:t xml:space="preserve">ch tabulkách jsou </w:t>
      </w:r>
      <w:r w:rsidR="00760BCD" w:rsidRPr="00C62639">
        <w:rPr>
          <w:noProof/>
        </w:rPr>
        <w:t xml:space="preserve">blíže specifikovány anomálie a jejich rozložení </w:t>
      </w:r>
      <w:r>
        <w:rPr>
          <w:noProof/>
        </w:rPr>
        <w:t>ve </w:t>
      </w:r>
      <w:r w:rsidR="00760BCD">
        <w:rPr>
          <w:noProof/>
        </w:rPr>
        <w:t xml:space="preserve">všech skupinách s uvedením počtu připojených obyvatel a množství fakturované vody </w:t>
      </w:r>
      <w:r>
        <w:rPr>
          <w:noProof/>
        </w:rPr>
        <w:t>v </w:t>
      </w:r>
      <w:r w:rsidR="00760BCD">
        <w:rPr>
          <w:noProof/>
        </w:rPr>
        <w:t>jednotlivých skupinách.</w:t>
      </w:r>
    </w:p>
    <w:p w14:paraId="29BB5EFB" w14:textId="77777777" w:rsidR="005A127A" w:rsidRPr="00C62639" w:rsidRDefault="005A127A" w:rsidP="005A127A">
      <w:pPr>
        <w:pStyle w:val="NORMLN0"/>
        <w:ind w:firstLine="0"/>
        <w:rPr>
          <w:rFonts w:asciiTheme="minorHAnsi" w:hAnsiTheme="minorHAnsi"/>
          <w:noProof/>
        </w:rPr>
      </w:pPr>
    </w:p>
    <w:p w14:paraId="14379695" w14:textId="77777777" w:rsidR="005A127A" w:rsidRDefault="005A127A" w:rsidP="005A127A">
      <w:pPr>
        <w:spacing w:before="0" w:after="0"/>
        <w:contextualSpacing w:val="0"/>
        <w:jc w:val="left"/>
        <w:sectPr w:rsidR="005A127A" w:rsidSect="00FC764C">
          <w:footerReference w:type="default" r:id="rId5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7"/>
        <w:gridCol w:w="1827"/>
        <w:gridCol w:w="2216"/>
        <w:gridCol w:w="2166"/>
        <w:gridCol w:w="2167"/>
      </w:tblGrid>
      <w:tr w:rsidR="0067090C" w:rsidRPr="0067090C" w14:paraId="3488847B" w14:textId="77777777" w:rsidTr="0067090C">
        <w:trPr>
          <w:trHeight w:val="947"/>
          <w:jc w:val="center"/>
        </w:trPr>
        <w:tc>
          <w:tcPr>
            <w:tcW w:w="707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33988BF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182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7E3EB1FC" w14:textId="033EF8C8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I.SKUPI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br/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(&gt;500 000 PŘ.OB.)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br/>
              <w:t>ČETNOST VÝSKYTU ANOMÁLIE</w:t>
            </w:r>
          </w:p>
        </w:tc>
        <w:tc>
          <w:tcPr>
            <w:tcW w:w="221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63F0B48" w14:textId="0127C986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OBJEM VODY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FAKTUROVANÉ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br/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(MIL. M3) OVLIVNĚN ANOMÁLIÍ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I. SKUPINĚ</w:t>
            </w:r>
          </w:p>
        </w:tc>
        <w:tc>
          <w:tcPr>
            <w:tcW w:w="216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7BA0910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II.SKUPINA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br/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(&gt;200 000 PŘ.OB.)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br/>
              <w:t>ČETNOST VÝSKYTU ANOMÁLIE</w:t>
            </w:r>
          </w:p>
        </w:tc>
        <w:tc>
          <w:tcPr>
            <w:tcW w:w="216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59E80158" w14:textId="141C1463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OBJEM VODY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FAKTUROVANÉ</w:t>
            </w:r>
            <w:r w:rsidR="00371EFB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(MIL. M3) OVLIVNĚN ANOMÁLIÍ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 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II. SKUPINĚ</w:t>
            </w:r>
          </w:p>
        </w:tc>
      </w:tr>
      <w:tr w:rsidR="0067090C" w:rsidRPr="0067090C" w14:paraId="659DCFD4" w14:textId="77777777" w:rsidTr="0067090C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44F31A8" w14:textId="2E66FFA1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D30E51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137,35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7D20603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4F3D8CB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67,19</w:t>
            </w:r>
          </w:p>
        </w:tc>
        <w:tc>
          <w:tcPr>
            <w:tcW w:w="216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074B0F7D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67090C" w:rsidRPr="0067090C" w14:paraId="402CA231" w14:textId="77777777" w:rsidTr="0067090C">
        <w:trPr>
          <w:trHeight w:val="223"/>
          <w:jc w:val="center"/>
        </w:trPr>
        <w:tc>
          <w:tcPr>
            <w:tcW w:w="7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23AD24D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5A2CF7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2 187 226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61FD7C2A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4914E1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1 105 100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656DCBB4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67090C" w:rsidRPr="0067090C" w14:paraId="0BE820E9" w14:textId="77777777" w:rsidTr="0067090C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0B56F790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226406E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269E9F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4409F7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1E3254B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67090C" w:rsidRPr="0067090C" w14:paraId="60464D06" w14:textId="77777777" w:rsidTr="0067090C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34341DD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642B67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85EE4B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B7A545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3F028F7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67090C" w:rsidRPr="0067090C" w14:paraId="3F07F696" w14:textId="77777777" w:rsidTr="0067090C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405D100" w14:textId="4C3D3106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PRO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STOČNÉ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E2F9D1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3AADFD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D5901A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1AA174B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67090C" w:rsidRPr="0067090C" w14:paraId="76490B44" w14:textId="77777777" w:rsidTr="0067090C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F8BAB5D" w14:textId="14E9A648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ÚVN ( 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C39E49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402DAC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C8FFC6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2AD2DBD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25,11</w:t>
            </w:r>
          </w:p>
        </w:tc>
      </w:tr>
      <w:tr w:rsidR="0067090C" w:rsidRPr="0067090C" w14:paraId="775BA29F" w14:textId="77777777" w:rsidTr="0067090C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B421E12" w14:textId="33B89D79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POROVNÁNÍ S KLADNÍM ZISKEM) 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28887C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2ACEE00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D7424A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4BAE436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25,11</w:t>
            </w:r>
          </w:p>
        </w:tc>
      </w:tr>
      <w:tr w:rsidR="0067090C" w:rsidRPr="0067090C" w14:paraId="019E5B60" w14:textId="77777777" w:rsidTr="0067090C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17AAB6B" w14:textId="7B3E79FA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PODÍL NEVYHOVUJÍCÍCH VZORKŮ VYPOUŠTĚNÝCH ODPADNÍCH VOD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ČO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VYŠŠÍ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20 %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A0EF2E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A884E6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A345C6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45CA6C0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0,00</w:t>
            </w:r>
          </w:p>
        </w:tc>
      </w:tr>
      <w:tr w:rsidR="0067090C" w:rsidRPr="0067090C" w14:paraId="5830F0A3" w14:textId="77777777" w:rsidTr="0067090C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332432C4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0EBC483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682B687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645396CD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C000"/>
            <w:vAlign w:val="center"/>
            <w:hideMark/>
          </w:tcPr>
          <w:p w14:paraId="75CD187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50,22</w:t>
            </w:r>
          </w:p>
        </w:tc>
      </w:tr>
      <w:tr w:rsidR="0067090C" w:rsidRPr="0067090C" w14:paraId="70248162" w14:textId="77777777" w:rsidTr="0067090C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88C81D7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15E132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4110ED1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41659C2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72242821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25,11</w:t>
            </w:r>
          </w:p>
        </w:tc>
      </w:tr>
      <w:tr w:rsidR="0067090C" w:rsidRPr="0067090C" w14:paraId="40EEF022" w14:textId="77777777" w:rsidTr="0067090C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3846F22" w14:textId="2F04AE58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AA83FC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3A443C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FC9453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27714EF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67090C" w:rsidRPr="0067090C" w14:paraId="4AFC26A4" w14:textId="77777777" w:rsidTr="0067090C">
        <w:trPr>
          <w:trHeight w:val="568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97F2E1B" w14:textId="7FF1D2B3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F188EE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0,00%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C2F56F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0,00%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F27FEC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33,33%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FF2CC" w:fill="FFF2CC"/>
            <w:vAlign w:val="center"/>
            <w:hideMark/>
          </w:tcPr>
          <w:p w14:paraId="3C66B35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  <w:t>37,37%</w:t>
            </w:r>
          </w:p>
        </w:tc>
      </w:tr>
    </w:tbl>
    <w:p w14:paraId="46634755" w14:textId="77777777" w:rsidR="00760BCD" w:rsidRDefault="00760BCD" w:rsidP="00760BCD">
      <w:pPr>
        <w:spacing w:before="0" w:after="0"/>
        <w:contextualSpacing w:val="0"/>
      </w:pPr>
    </w:p>
    <w:p w14:paraId="69B454FA" w14:textId="77777777" w:rsidR="00760BCD" w:rsidRDefault="00760BCD" w:rsidP="00760BCD">
      <w:pPr>
        <w:spacing w:before="0" w:after="160" w:line="259" w:lineRule="auto"/>
        <w:contextualSpacing w:val="0"/>
        <w:jc w:val="left"/>
      </w:pPr>
      <w:r>
        <w:br w:type="page"/>
      </w:r>
    </w:p>
    <w:tbl>
      <w:tblPr>
        <w:tblW w:w="15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7"/>
        <w:gridCol w:w="1827"/>
        <w:gridCol w:w="2216"/>
        <w:gridCol w:w="2166"/>
        <w:gridCol w:w="2167"/>
      </w:tblGrid>
      <w:tr w:rsidR="0067090C" w:rsidRPr="0067090C" w14:paraId="36A678F5" w14:textId="77777777" w:rsidTr="005B6369">
        <w:trPr>
          <w:trHeight w:val="947"/>
          <w:jc w:val="center"/>
        </w:trPr>
        <w:tc>
          <w:tcPr>
            <w:tcW w:w="707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62CF78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ANOMÁLIE</w:t>
            </w:r>
          </w:p>
        </w:tc>
        <w:tc>
          <w:tcPr>
            <w:tcW w:w="182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61FCCE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III.SKUPINA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 (&gt;100 000 PŘ.OB.)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21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D05A1B9" w14:textId="2599E67A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OBJEM VODY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FAKTUROVANÉ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(MIL. M3) OVLIVNĚN ANOMÁLIÍ 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III. SKUPINĚ</w:t>
            </w:r>
          </w:p>
        </w:tc>
        <w:tc>
          <w:tcPr>
            <w:tcW w:w="216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6C1A192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IV.SKUPINA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 (&gt;50 000 PŘ.OB.)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16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40451E41" w14:textId="530F06B2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OBJEM VODY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FAKTUROVANÉ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(MIL. M3) OVLIVNĚN ANOMÁLIÍ 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IV. SKUPINĚ</w:t>
            </w:r>
          </w:p>
        </w:tc>
      </w:tr>
      <w:tr w:rsidR="0067090C" w:rsidRPr="0067090C" w14:paraId="0C6A7F76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2B7B2493" w14:textId="0A8E0BCA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2E36DF8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63,26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0A2982B4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587EC4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81,42</w:t>
            </w:r>
          </w:p>
        </w:tc>
        <w:tc>
          <w:tcPr>
            <w:tcW w:w="216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7A7F9B01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7090C" w:rsidRPr="0067090C" w14:paraId="47C54B1B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6CA87C59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6B7622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1 097 260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43D943E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96CBDB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1 315 025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7BB7730A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7090C" w:rsidRPr="0067090C" w14:paraId="3B0A535B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6DF2A0A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A5CBCA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2BEA97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9,12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778F12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25C96A9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6,89</w:t>
            </w:r>
          </w:p>
        </w:tc>
      </w:tr>
      <w:tr w:rsidR="0067090C" w:rsidRPr="0067090C" w14:paraId="6A7FF88E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62CAE9E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4B338DB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3D130D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B4AEC1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644FF53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0,00</w:t>
            </w:r>
          </w:p>
        </w:tc>
      </w:tr>
      <w:tr w:rsidR="0067090C" w:rsidRPr="0067090C" w14:paraId="338D41D6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A6F3FCB" w14:textId="55CB6C49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PRO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STOČNÉ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28EF314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B42452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86423F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74C48E1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0,00</w:t>
            </w:r>
          </w:p>
        </w:tc>
      </w:tr>
      <w:tr w:rsidR="0067090C" w:rsidRPr="0067090C" w14:paraId="0BA55400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4D236AE9" w14:textId="19D2CD3C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ÚVN ( 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2C9410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DCFFE2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20,18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F563E3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7A9D9D3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26,26</w:t>
            </w:r>
          </w:p>
        </w:tc>
      </w:tr>
      <w:tr w:rsidR="0067090C" w:rsidRPr="0067090C" w14:paraId="4FE10C22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09431C8" w14:textId="0792F4A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POROVNÁNÍ S KLADNÍM ZISKEM) 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0469ED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2047BDF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25,98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B4FD19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4027BF4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31,83</w:t>
            </w:r>
          </w:p>
        </w:tc>
      </w:tr>
      <w:tr w:rsidR="0067090C" w:rsidRPr="0067090C" w14:paraId="49AEE206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79B674C" w14:textId="1F266433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PODÍL NEVYHOVUJÍCÍCH VZORKŮ VYPOUŠTĚNÝCH ODPADNÍCH VOD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ČO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VYŠŠÍ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20 %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FD6742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132AFB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08BFE7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75AEB05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13,52</w:t>
            </w:r>
          </w:p>
        </w:tc>
      </w:tr>
      <w:tr w:rsidR="0067090C" w:rsidRPr="0067090C" w14:paraId="1D411FB4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5521EED9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11D4DF8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2E90696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55,28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75287E1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C000"/>
            <w:vAlign w:val="center"/>
            <w:hideMark/>
          </w:tcPr>
          <w:p w14:paraId="2D79305D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78,50</w:t>
            </w:r>
          </w:p>
        </w:tc>
      </w:tr>
      <w:tr w:rsidR="0067090C" w:rsidRPr="0067090C" w14:paraId="1C17F36E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669ED8B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8CACD5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733F591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35,10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4F60A4A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4999608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38,72</w:t>
            </w:r>
          </w:p>
        </w:tc>
      </w:tr>
      <w:tr w:rsidR="0067090C" w:rsidRPr="0067090C" w14:paraId="08217F9B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DE29023" w14:textId="39C9275E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7C06C0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BFC1B5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1B0815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4B5E9FB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67090C" w:rsidRPr="0067090C" w14:paraId="1F59D53C" w14:textId="77777777" w:rsidTr="005B6369">
        <w:trPr>
          <w:trHeight w:val="568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8290E2A" w14:textId="6B86C0B8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A11253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50,00%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ECDA58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55,49%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253A06D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42,11%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FF2CC" w:fill="FFF2CC"/>
            <w:vAlign w:val="center"/>
            <w:hideMark/>
          </w:tcPr>
          <w:p w14:paraId="3D3E6FF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47,56%</w:t>
            </w:r>
          </w:p>
        </w:tc>
      </w:tr>
    </w:tbl>
    <w:p w14:paraId="5456205C" w14:textId="77777777" w:rsidR="00760BCD" w:rsidRDefault="00760BCD" w:rsidP="00760BCD">
      <w:pPr>
        <w:spacing w:before="0" w:after="160" w:line="259" w:lineRule="auto"/>
        <w:contextualSpacing w:val="0"/>
        <w:jc w:val="left"/>
      </w:pPr>
    </w:p>
    <w:p w14:paraId="072440CB" w14:textId="77777777" w:rsidR="00760BCD" w:rsidRDefault="00760BCD" w:rsidP="00760BCD">
      <w:pPr>
        <w:spacing w:before="0" w:after="160" w:line="259" w:lineRule="auto"/>
        <w:contextualSpacing w:val="0"/>
        <w:jc w:val="left"/>
      </w:pPr>
      <w:r>
        <w:br w:type="page"/>
      </w:r>
    </w:p>
    <w:p w14:paraId="14D65748" w14:textId="77777777" w:rsidR="00760BCD" w:rsidRDefault="00760BCD" w:rsidP="00760BCD">
      <w:pPr>
        <w:spacing w:before="0" w:after="0"/>
        <w:contextualSpacing w:val="0"/>
      </w:pPr>
    </w:p>
    <w:p w14:paraId="7DDF2D15" w14:textId="77777777" w:rsidR="00760BCD" w:rsidRDefault="00760BCD" w:rsidP="00760BCD">
      <w:pPr>
        <w:spacing w:before="0" w:after="0"/>
        <w:contextualSpacing w:val="0"/>
      </w:pPr>
    </w:p>
    <w:tbl>
      <w:tblPr>
        <w:tblW w:w="15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7"/>
        <w:gridCol w:w="1827"/>
        <w:gridCol w:w="2216"/>
        <w:gridCol w:w="2166"/>
        <w:gridCol w:w="2167"/>
      </w:tblGrid>
      <w:tr w:rsidR="0067090C" w:rsidRPr="0067090C" w14:paraId="6D4A60A1" w14:textId="77777777" w:rsidTr="005B6369">
        <w:trPr>
          <w:trHeight w:val="947"/>
          <w:jc w:val="center"/>
        </w:trPr>
        <w:tc>
          <w:tcPr>
            <w:tcW w:w="707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75D18D3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ANOMÁLIE</w:t>
            </w:r>
          </w:p>
        </w:tc>
        <w:tc>
          <w:tcPr>
            <w:tcW w:w="182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03236A4D" w14:textId="50875B55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V.SKUPI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(&gt;10 000 PŘ.OB.)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21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00B1AE12" w14:textId="63A3FB0E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OBJEM VODY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FAKTUROVANÉ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(MIL. M3) OVLIVNĚN ANOMÁLIÍ 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V. SKUPINĚ</w:t>
            </w:r>
          </w:p>
        </w:tc>
        <w:tc>
          <w:tcPr>
            <w:tcW w:w="216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3B6F8E75" w14:textId="4FAE58AD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VI.SKUPI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NA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(&gt;1 000 PŘ.OB.)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>ČETNOST VÝSKYTU ANOMÁLIE</w:t>
            </w:r>
          </w:p>
        </w:tc>
        <w:tc>
          <w:tcPr>
            <w:tcW w:w="216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41B8E588" w14:textId="3DC39748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OBJEM VODY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FAKTUROVANÉ</w:t>
            </w:r>
            <w:r w:rsidR="00371EFB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br/>
              <w:t xml:space="preserve">(MIL. M3) OVLIVNĚN ANOMÁLIÍ </w:t>
            </w:r>
            <w:r w:rsidR="00962A95">
              <w:rPr>
                <w:rFonts w:cs="Calibri"/>
                <w:b/>
                <w:bCs/>
                <w:color w:val="FFFFFF"/>
                <w:sz w:val="20"/>
                <w:szCs w:val="20"/>
              </w:rPr>
              <w:t>V 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VI. SKUPINĚ</w:t>
            </w:r>
          </w:p>
        </w:tc>
      </w:tr>
      <w:tr w:rsidR="0067090C" w:rsidRPr="0067090C" w14:paraId="41D649D4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969F29A" w14:textId="2689CC5A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08CF05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68,38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49EDE146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45E80AD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65,92</w:t>
            </w:r>
          </w:p>
        </w:tc>
        <w:tc>
          <w:tcPr>
            <w:tcW w:w="216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71F43D08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7090C" w:rsidRPr="0067090C" w14:paraId="560A4E17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4DB0F79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2ED7D6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1 063 422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BF0E091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02E3CFC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1 236 990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78A7BCFE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7090C" w:rsidRPr="0067090C" w14:paraId="446D4EC8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6462B5D3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9E647F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2632F7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16,94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2218BB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414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1BF9423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43,95</w:t>
            </w:r>
          </w:p>
        </w:tc>
      </w:tr>
      <w:tr w:rsidR="0067090C" w:rsidRPr="0067090C" w14:paraId="556FFD97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0742799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31FE35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96224E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14,24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52E7BB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225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534D3ED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17,45</w:t>
            </w:r>
          </w:p>
        </w:tc>
      </w:tr>
      <w:tr w:rsidR="0067090C" w:rsidRPr="0067090C" w14:paraId="5D0657C6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4607AFF" w14:textId="273BFF3A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PRO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STOČNÉ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45B6D1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275E1A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F5DAD2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47C7F4C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0,69</w:t>
            </w:r>
          </w:p>
        </w:tc>
      </w:tr>
      <w:tr w:rsidR="0067090C" w:rsidRPr="0067090C" w14:paraId="0307DF1B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7622CD5" w14:textId="7E6FDA3A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ÚVN ( 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C5EC26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A5550F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21,60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60F383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89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10ED84A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15,08</w:t>
            </w:r>
          </w:p>
        </w:tc>
      </w:tr>
      <w:tr w:rsidR="0067090C" w:rsidRPr="0067090C" w14:paraId="08E2A6A5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006C4C1" w14:textId="2A6A4186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POROVNÁNÍ S KLADNÍM ZISKEM) 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EB717E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11DBA9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23,52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C8BDE1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1CD3EAC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16,19</w:t>
            </w:r>
          </w:p>
        </w:tc>
      </w:tr>
      <w:tr w:rsidR="0067090C" w:rsidRPr="0067090C" w14:paraId="364CEA53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A1FACF4" w14:textId="00952A81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PODÍL NEVYHOVUJÍCÍCH VZORKŮ VYPOUŠTĚNÝCH ODPADNÍCH VOD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ČO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VYŠŠÍ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20 %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C3B0281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EDBDE0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8,46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3E2E56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328869B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3,61</w:t>
            </w:r>
          </w:p>
        </w:tc>
      </w:tr>
      <w:tr w:rsidR="0067090C" w:rsidRPr="0067090C" w14:paraId="187A6910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3FC63F41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337576E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59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3C606BE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i/>
                <w:iCs/>
                <w:color w:val="FFFFFF"/>
                <w:sz w:val="20"/>
                <w:szCs w:val="20"/>
              </w:rPr>
              <w:t>84,76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5A17E51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874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C000"/>
            <w:vAlign w:val="center"/>
            <w:hideMark/>
          </w:tcPr>
          <w:p w14:paraId="61BC865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i/>
                <w:iCs/>
                <w:color w:val="FFFFFF"/>
                <w:sz w:val="20"/>
                <w:szCs w:val="20"/>
              </w:rPr>
              <w:t>96,97</w:t>
            </w:r>
          </w:p>
        </w:tc>
      </w:tr>
      <w:tr w:rsidR="0067090C" w:rsidRPr="0067090C" w14:paraId="69814920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B1D39CB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B3EF651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97C458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45,73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F8476E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460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67D174F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55,22</w:t>
            </w:r>
          </w:p>
        </w:tc>
      </w:tr>
      <w:tr w:rsidR="0067090C" w:rsidRPr="0067090C" w14:paraId="19F5A303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1FDF3435" w14:textId="09951960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0E2981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1FF1851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F8BC24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507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7FA938D1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67090C" w:rsidRPr="0067090C" w14:paraId="5815C733" w14:textId="77777777" w:rsidTr="005B6369">
        <w:trPr>
          <w:trHeight w:val="568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F7B71F1" w14:textId="387BDBB9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DCF322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63,46%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0C4932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66,88%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04D4E5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90,73%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FF2CC" w:fill="FFF2CC"/>
            <w:vAlign w:val="center"/>
            <w:hideMark/>
          </w:tcPr>
          <w:p w14:paraId="50C2B13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cs="Calibri"/>
                <w:i/>
                <w:iCs/>
                <w:color w:val="833C0C"/>
                <w:sz w:val="20"/>
                <w:szCs w:val="20"/>
              </w:rPr>
              <w:t>83,77%</w:t>
            </w:r>
          </w:p>
        </w:tc>
      </w:tr>
    </w:tbl>
    <w:p w14:paraId="5687D428" w14:textId="77777777" w:rsidR="00760BCD" w:rsidRDefault="00760BCD" w:rsidP="00760BCD">
      <w:pPr>
        <w:spacing w:before="0" w:after="160" w:line="259" w:lineRule="auto"/>
        <w:contextualSpacing w:val="0"/>
        <w:jc w:val="left"/>
      </w:pPr>
      <w:r>
        <w:br w:type="page"/>
      </w:r>
    </w:p>
    <w:p w14:paraId="33E2DA33" w14:textId="77777777" w:rsidR="00760BCD" w:rsidRDefault="00760BCD" w:rsidP="00760BCD">
      <w:pPr>
        <w:spacing w:before="0" w:after="160" w:line="259" w:lineRule="auto"/>
        <w:contextualSpacing w:val="0"/>
        <w:jc w:val="left"/>
      </w:pPr>
    </w:p>
    <w:p w14:paraId="20D99DF0" w14:textId="77777777" w:rsidR="005A127A" w:rsidRDefault="005A127A" w:rsidP="005A127A">
      <w:pPr>
        <w:spacing w:before="0" w:after="0"/>
        <w:contextualSpacing w:val="0"/>
      </w:pPr>
    </w:p>
    <w:tbl>
      <w:tblPr>
        <w:tblW w:w="15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7"/>
        <w:gridCol w:w="1827"/>
        <w:gridCol w:w="2216"/>
        <w:gridCol w:w="2166"/>
        <w:gridCol w:w="2167"/>
      </w:tblGrid>
      <w:tr w:rsidR="0067090C" w:rsidRPr="0067090C" w14:paraId="0346FB6F" w14:textId="77777777" w:rsidTr="005B6369">
        <w:trPr>
          <w:trHeight w:val="947"/>
          <w:jc w:val="center"/>
        </w:trPr>
        <w:tc>
          <w:tcPr>
            <w:tcW w:w="707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578CB7A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ANOMÁLIE</w:t>
            </w:r>
          </w:p>
        </w:tc>
        <w:tc>
          <w:tcPr>
            <w:tcW w:w="182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C6DAB93" w14:textId="48A6C8CA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VII.SKUPI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NA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br/>
              <w:t xml:space="preserve">(&gt;300 PŘ.OB.)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br/>
              <w:t>ČETNOST VÝSKYTU ANOMÁLIE</w:t>
            </w:r>
          </w:p>
        </w:tc>
        <w:tc>
          <w:tcPr>
            <w:tcW w:w="221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265C0B8F" w14:textId="2462A261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OBJEM VODY</w:t>
            </w:r>
            <w:r w:rsidR="00371EFB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FAKTUROVANÉ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br/>
              <w:t xml:space="preserve"> (MIL. M3) OVLIVNĚN ANOMÁLIÍ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VII. SKUPINĚ</w:t>
            </w:r>
          </w:p>
        </w:tc>
        <w:tc>
          <w:tcPr>
            <w:tcW w:w="216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343428A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VIII.SKUPINA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br/>
              <w:t xml:space="preserve"> (&lt;300 PŘ.OB.)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br/>
              <w:t>ČETNOST VÝSKYTU ANOMÁLIE</w:t>
            </w:r>
          </w:p>
        </w:tc>
        <w:tc>
          <w:tcPr>
            <w:tcW w:w="216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5008F90B" w14:textId="456F7D8F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OBJEM VODY</w:t>
            </w:r>
            <w:r w:rsidR="00371EFB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FAKTUROVANÉ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br/>
            </w:r>
            <w:r w:rsidR="00371EFB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(MIL. M3) OVLIVNĚN ANOMÁLIÍ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V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VIII. SKUPINĚ</w:t>
            </w:r>
          </w:p>
        </w:tc>
      </w:tr>
      <w:tr w:rsidR="0067090C" w:rsidRPr="0067090C" w14:paraId="23830CFD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55287C08" w14:textId="2D0A9DDA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OBJEM VODY ODPADNÍ A SRÁŽKOVÉ FAKTUROVANÉ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0D2B2D4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23,22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4C74DCA0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3A40CC2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8,50</w:t>
            </w:r>
          </w:p>
        </w:tc>
        <w:tc>
          <w:tcPr>
            <w:tcW w:w="216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62E5C352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7090C" w:rsidRPr="0067090C" w14:paraId="6259D837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75960479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>POČET PŘIPOJENÝCH OBYVATEL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17368980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543 350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2245AA93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8000"/>
            <w:noWrap/>
            <w:vAlign w:val="center"/>
            <w:hideMark/>
          </w:tcPr>
          <w:p w14:paraId="65AD904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151 754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8000"/>
            <w:noWrap/>
            <w:vAlign w:val="center"/>
            <w:hideMark/>
          </w:tcPr>
          <w:p w14:paraId="4E8513EA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7090C" w:rsidRPr="0067090C" w14:paraId="10B9A392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2BC89883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OKF&lt;1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98FADF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28117E1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20,68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421E723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2510CDF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7,53</w:t>
            </w:r>
          </w:p>
        </w:tc>
      </w:tr>
      <w:tr w:rsidR="0067090C" w:rsidRPr="0067090C" w14:paraId="6D90EB81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CC4C5AC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ZÁPORNÝ KALKULAČNÍ ZISK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3E022B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8A0880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13,79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18FE55D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785EF2A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5,35</w:t>
            </w:r>
          </w:p>
        </w:tc>
      </w:tr>
      <w:tr w:rsidR="0067090C" w:rsidRPr="0067090C" w14:paraId="6E81C141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BA79C16" w14:textId="534304CF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VYSOKÁ CE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PRO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STOČNÉ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PRŮMĚRU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OPTIMÁLNÍCH POROVNÁNÍ SKUPINY)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181BEB4F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21EFE2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0,54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A0910C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48D6AB9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0,39</w:t>
            </w:r>
          </w:p>
        </w:tc>
      </w:tr>
      <w:tr w:rsidR="0067090C" w:rsidRPr="0067090C" w14:paraId="1B54A75B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2DFCF0E" w14:textId="54FD7D89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VYSOKÝ PODÍL KALKULAČNÍH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ZISKU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ROZDĚLENÍ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ÚVN ( 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POROVNÁNÍ S KLADNÝM ZISKEM)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F170A0D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11E976E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3,17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448284A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5E270E1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1,33</w:t>
            </w:r>
          </w:p>
        </w:tc>
      </w:tr>
      <w:tr w:rsidR="0067090C" w:rsidRPr="0067090C" w14:paraId="74ED5773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19A51279" w14:textId="0C8D84C6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VYSOKÁ RENTABILITA NÁKLADŮ (ROC) (VÍCE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1,5 NÁSOBE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K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MEDIÁNU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POROVNÁNÍ S KLADNÍM ZISKEM) 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6CC2593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6E561B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4,35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8E3192D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1B49AFE3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1,61</w:t>
            </w:r>
          </w:p>
        </w:tc>
      </w:tr>
      <w:tr w:rsidR="0067090C" w:rsidRPr="0067090C" w14:paraId="30425AF2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040DBA0" w14:textId="23FB070F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PODÍL NEVYHOVUJÍCÍCH VZORKŮ VYPOUŠTĚNÝCH ODPADNÍCH VOD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ČO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VYŠŠÍ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NEŽ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20 %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633664E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8CA2C0A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1,34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F085CF7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3EE347B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0,57</w:t>
            </w:r>
          </w:p>
        </w:tc>
      </w:tr>
      <w:tr w:rsidR="0067090C" w:rsidRPr="0067090C" w14:paraId="00137141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7CA7C33D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ANOMÁLIÍ / </w:t>
            </w:r>
            <w:r w:rsidRPr="0067090C"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OBJEM FAKTUROVANÉ VODY OVLIVNĚN ANOMÁLIEMI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4AF9E66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1 856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700814B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 w:val="20"/>
                <w:szCs w:val="20"/>
              </w:rPr>
              <w:t>43,87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0110A06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1 855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C000"/>
            <w:vAlign w:val="center"/>
            <w:hideMark/>
          </w:tcPr>
          <w:p w14:paraId="75E57DAE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 w:val="20"/>
                <w:szCs w:val="20"/>
              </w:rPr>
              <w:t>16,78</w:t>
            </w:r>
          </w:p>
        </w:tc>
      </w:tr>
      <w:tr w:rsidR="0067090C" w:rsidRPr="0067090C" w14:paraId="4264E94F" w14:textId="77777777" w:rsidTr="005B6369">
        <w:trPr>
          <w:trHeight w:val="379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4EC7EFE" w14:textId="7777777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POČET POROVNÁNÍ S ALESPOŇ JEDNOU ANOMÁLIÍ /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OBJEM VODY FAKTUROVANÉ S VÝSKYTEM ALESPOŇ JEDNÉ ANOMÁLIE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FD0887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E108C4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22,63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BE24D0B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13B2835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0,01</w:t>
            </w:r>
          </w:p>
        </w:tc>
      </w:tr>
      <w:tr w:rsidR="0067090C" w:rsidRPr="0067090C" w14:paraId="4870B232" w14:textId="77777777" w:rsidTr="005B6369">
        <w:trPr>
          <w:trHeight w:val="223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4575397" w14:textId="118E43B7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POČET POROVNÁNÍ </w:t>
            </w:r>
            <w:r w:rsidR="00962A9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152EA42C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95CD712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9B39206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38F5CAC5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67090C" w:rsidRPr="0067090C" w14:paraId="1D8E230C" w14:textId="77777777" w:rsidTr="005B6369">
        <w:trPr>
          <w:trHeight w:val="568"/>
          <w:jc w:val="center"/>
        </w:trPr>
        <w:tc>
          <w:tcPr>
            <w:tcW w:w="707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670FEB5" w14:textId="3D9083C2" w:rsidR="0067090C" w:rsidRPr="0067090C" w:rsidRDefault="0067090C" w:rsidP="0067090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6709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% PODÍL POČTU POROVNÁNÍ S ALESPOŇ JEDNOU ANOMÁLIÍ / 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% PODÍL FAKTUROVANÉ VODY S VÝSKYTEM ALESPOŇ JEDNÉ ANOMÁLIE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NA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 xml:space="preserve">VODĚ FAKTUROVANÉ </w:t>
            </w:r>
            <w:r w:rsidR="00962A95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VE </w:t>
            </w:r>
            <w:r w:rsidRPr="0067090C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SKUPINĚ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7E837B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98,41%</w:t>
            </w:r>
          </w:p>
        </w:tc>
        <w:tc>
          <w:tcPr>
            <w:tcW w:w="22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2AEA979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97,47%</w:t>
            </w: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01A844B4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98,46%</w:t>
            </w:r>
          </w:p>
        </w:tc>
        <w:tc>
          <w:tcPr>
            <w:tcW w:w="216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FF2CC" w:fill="FFF2CC"/>
            <w:vAlign w:val="center"/>
            <w:hideMark/>
          </w:tcPr>
          <w:p w14:paraId="2F605448" w14:textId="77777777" w:rsidR="0067090C" w:rsidRPr="0067090C" w:rsidRDefault="0067090C" w:rsidP="0067090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i/>
                <w:iCs/>
                <w:color w:val="833C0C"/>
                <w:sz w:val="20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i/>
                <w:iCs/>
                <w:color w:val="833C0C"/>
                <w:sz w:val="20"/>
                <w:szCs w:val="20"/>
              </w:rPr>
              <w:t>0,11%</w:t>
            </w:r>
          </w:p>
        </w:tc>
      </w:tr>
    </w:tbl>
    <w:p w14:paraId="70E34255" w14:textId="77777777" w:rsidR="005A127A" w:rsidRDefault="005A127A" w:rsidP="005A127A">
      <w:pPr>
        <w:spacing w:before="0" w:after="0"/>
        <w:contextualSpacing w:val="0"/>
        <w:sectPr w:rsidR="005A127A" w:rsidSect="00FC764C">
          <w:footerReference w:type="default" r:id="rId5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974BD90" w14:textId="30D0A2AA" w:rsidR="00760BCD" w:rsidRPr="00C410C4" w:rsidRDefault="00760BCD" w:rsidP="00760BCD">
      <w:pPr>
        <w:pStyle w:val="Normlnzprva"/>
        <w:ind w:firstLine="567"/>
      </w:pPr>
      <w:bookmarkStart w:id="102" w:name="_Toc459133206"/>
      <w:bookmarkStart w:id="103" w:name="_Toc495564970"/>
      <w:r>
        <w:rPr>
          <w:noProof/>
          <w:lang w:eastAsia="cs-CZ"/>
        </w:rPr>
        <w:lastRenderedPageBreak/>
        <w:drawing>
          <wp:anchor distT="0" distB="0" distL="114300" distR="114300" simplePos="0" relativeHeight="251719680" behindDoc="0" locked="0" layoutInCell="1" allowOverlap="1" wp14:anchorId="0B428CC2" wp14:editId="131E9DB0">
            <wp:simplePos x="0" y="0"/>
            <wp:positionH relativeFrom="margin">
              <wp:posOffset>-159873</wp:posOffset>
            </wp:positionH>
            <wp:positionV relativeFrom="margin">
              <wp:posOffset>232117</wp:posOffset>
            </wp:positionV>
            <wp:extent cx="6297295" cy="8199755"/>
            <wp:effectExtent l="0" t="0" r="8255" b="0"/>
            <wp:wrapSquare wrapText="bothSides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A031458C-5B21-4E6C-8491-0094E91E7B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anchor>
        </w:drawing>
      </w:r>
      <w:r w:rsidR="00962A95">
        <w:t>Pro </w:t>
      </w:r>
      <w:r w:rsidRPr="00C410C4">
        <w:t>ucelení přehledu dále uvádíme graf znázorňující situaci</w:t>
      </w:r>
      <w:r w:rsidR="00DE53F8">
        <w:t xml:space="preserve"> u </w:t>
      </w:r>
      <w:r w:rsidRPr="00C410C4">
        <w:t>jednotlivých skupin.</w:t>
      </w:r>
    </w:p>
    <w:p w14:paraId="6E991726" w14:textId="77777777" w:rsidR="00760BCD" w:rsidRDefault="00760BCD" w:rsidP="00760BCD">
      <w:pPr>
        <w:spacing w:before="0" w:after="160" w:line="259" w:lineRule="auto"/>
        <w:contextualSpacing w:val="0"/>
        <w:jc w:val="left"/>
        <w:rPr>
          <w:rFonts w:asciiTheme="minorHAnsi" w:eastAsia="Times New Roman" w:hAnsiTheme="minorHAnsi"/>
          <w:bCs/>
          <w:noProof/>
          <w:color w:val="243F60"/>
          <w:szCs w:val="24"/>
        </w:rPr>
      </w:pPr>
      <w:r>
        <w:rPr>
          <w:rFonts w:asciiTheme="minorHAnsi" w:hAnsiTheme="minorHAnsi"/>
          <w:bCs/>
          <w:noProof/>
        </w:rPr>
        <w:br w:type="page"/>
      </w:r>
    </w:p>
    <w:p w14:paraId="021A04D8" w14:textId="59F74F6F" w:rsidR="00760BCD" w:rsidRPr="0067084A" w:rsidRDefault="00760BCD" w:rsidP="00760BCD">
      <w:pPr>
        <w:pStyle w:val="Nadpis3"/>
        <w:rPr>
          <w:rFonts w:asciiTheme="minorHAnsi" w:hAnsiTheme="minorHAnsi"/>
          <w:bCs/>
          <w:noProof/>
        </w:rPr>
      </w:pPr>
      <w:bookmarkStart w:id="104" w:name="_Toc34210415"/>
      <w:r w:rsidRPr="0067084A">
        <w:rPr>
          <w:rFonts w:asciiTheme="minorHAnsi" w:hAnsiTheme="minorHAnsi"/>
          <w:bCs/>
          <w:noProof/>
        </w:rPr>
        <w:lastRenderedPageBreak/>
        <w:t xml:space="preserve">Porovnání průměrných hodnot sledovaných ukazatelů </w:t>
      </w:r>
      <w:r w:rsidR="00962A95">
        <w:rPr>
          <w:rFonts w:asciiTheme="minorHAnsi" w:hAnsiTheme="minorHAnsi"/>
          <w:bCs/>
          <w:noProof/>
        </w:rPr>
        <w:t>z </w:t>
      </w:r>
      <w:r w:rsidRPr="0067084A">
        <w:rPr>
          <w:rFonts w:asciiTheme="minorHAnsi" w:hAnsiTheme="minorHAnsi"/>
          <w:bCs/>
          <w:noProof/>
        </w:rPr>
        <w:t>Porovnání splňujících daná kritéria</w:t>
      </w:r>
      <w:bookmarkEnd w:id="104"/>
      <w:r w:rsidRPr="0067084A">
        <w:rPr>
          <w:rFonts w:asciiTheme="minorHAnsi" w:hAnsiTheme="minorHAnsi"/>
          <w:bCs/>
          <w:noProof/>
        </w:rPr>
        <w:t xml:space="preserve"> </w:t>
      </w:r>
    </w:p>
    <w:p w14:paraId="3B3885A5" w14:textId="77777777" w:rsidR="00760BCD" w:rsidRDefault="00760BCD" w:rsidP="00760BCD"/>
    <w:p w14:paraId="026BE71C" w14:textId="74B9F210" w:rsidR="00760BCD" w:rsidRPr="00C62639" w:rsidRDefault="00962A95" w:rsidP="00760BCD">
      <w:pPr>
        <w:pStyle w:val="NORMLN0"/>
      </w:pPr>
      <w:r>
        <w:t>V </w:t>
      </w:r>
      <w:r w:rsidR="00760BCD">
        <w:t>následující tabulce jsou uvedeny</w:t>
      </w:r>
      <w:r w:rsidR="00760BCD" w:rsidRPr="00C62639">
        <w:t xml:space="preserve"> </w:t>
      </w:r>
      <w:r w:rsidR="00760BCD">
        <w:t xml:space="preserve">průměry </w:t>
      </w:r>
      <w:r w:rsidR="00760BCD" w:rsidRPr="00C62639">
        <w:t xml:space="preserve">hodnot </w:t>
      </w:r>
      <w:r w:rsidR="00760BCD">
        <w:t>vybraných</w:t>
      </w:r>
      <w:r w:rsidR="00760BCD" w:rsidRPr="00C62639">
        <w:t xml:space="preserve"> ukazatelů </w:t>
      </w:r>
      <w:r w:rsidR="00760BCD">
        <w:t xml:space="preserve">Porovnání splňujících stanovené </w:t>
      </w:r>
      <w:r w:rsidR="000D0294">
        <w:t>kritéria</w:t>
      </w:r>
      <w:r w:rsidR="00760BCD">
        <w:t xml:space="preserve"> </w:t>
      </w:r>
      <w:r>
        <w:t>pro </w:t>
      </w:r>
      <w:r w:rsidR="00760BCD">
        <w:t>jednotlivé skupiny provozovatelů</w:t>
      </w:r>
      <w:r w:rsidR="00760BCD" w:rsidRPr="00C62639">
        <w:t>.</w:t>
      </w:r>
      <w:r w:rsidR="00760BCD">
        <w:t xml:space="preserve"> </w:t>
      </w:r>
      <w:r>
        <w:t>Při </w:t>
      </w:r>
      <w:r w:rsidR="00760BCD" w:rsidRPr="00C62639">
        <w:t>jejich výpočtu se postupoval</w:t>
      </w:r>
      <w:r>
        <w:t>o v </w:t>
      </w:r>
      <w:r w:rsidR="00760BCD" w:rsidRPr="00C62639">
        <w:t xml:space="preserve">souladu s platnou metodikou a postupy uvedenými </w:t>
      </w:r>
      <w:r>
        <w:t>v </w:t>
      </w:r>
      <w:r w:rsidR="00760BCD" w:rsidRPr="00C62639">
        <w:t xml:space="preserve">bodě </w:t>
      </w:r>
      <w:r w:rsidR="00760BCD" w:rsidRPr="0011579E">
        <w:t>6.2.</w:t>
      </w:r>
      <w:r w:rsidR="0011579E" w:rsidRPr="0011579E">
        <w:t>2</w:t>
      </w:r>
      <w:r w:rsidR="00760BCD" w:rsidRPr="0011579E">
        <w:t>.</w:t>
      </w:r>
    </w:p>
    <w:p w14:paraId="008DD153" w14:textId="77777777" w:rsidR="00760BCD" w:rsidRPr="00C410C4" w:rsidRDefault="00760BCD" w:rsidP="00760BCD">
      <w:pPr>
        <w:pStyle w:val="NORMLN0"/>
      </w:pPr>
    </w:p>
    <w:p w14:paraId="5BA420D0" w14:textId="71D460F9" w:rsidR="00760BCD" w:rsidRPr="00C410C4" w:rsidRDefault="00760BCD" w:rsidP="00760BCD">
      <w:pPr>
        <w:pStyle w:val="NORMLN0"/>
      </w:pPr>
      <w:r w:rsidRPr="00C62639">
        <w:t>Podle průměrných hodnot je možné se pokusit velice zjednodušeně specifikovat charakteristiky provozovatel</w:t>
      </w:r>
      <w:r>
        <w:t>ů nejvíce se blížících plnění jednotlivých záměrů regulace</w:t>
      </w:r>
      <w:r w:rsidRPr="00C62639">
        <w:t xml:space="preserve"> </w:t>
      </w:r>
      <w:r w:rsidR="00962A95">
        <w:t>pro </w:t>
      </w:r>
      <w:r w:rsidRPr="00C62639">
        <w:t xml:space="preserve">celý obor </w:t>
      </w:r>
      <w:r>
        <w:t>kanalizací</w:t>
      </w:r>
      <w:r w:rsidRPr="00C62639">
        <w:t>.</w:t>
      </w:r>
      <w:r w:rsidRPr="00C410C4">
        <w:t xml:space="preserve"> </w:t>
      </w:r>
    </w:p>
    <w:p w14:paraId="428BBD39" w14:textId="77777777" w:rsidR="00760BCD" w:rsidRPr="00D16669" w:rsidRDefault="00760BCD" w:rsidP="00760BCD"/>
    <w:tbl>
      <w:tblPr>
        <w:tblW w:w="609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1134"/>
        <w:gridCol w:w="993"/>
        <w:gridCol w:w="1559"/>
        <w:gridCol w:w="1314"/>
        <w:gridCol w:w="1238"/>
        <w:gridCol w:w="1132"/>
        <w:gridCol w:w="1274"/>
      </w:tblGrid>
      <w:tr w:rsidR="001C0012" w:rsidRPr="008E0656" w14:paraId="3AE3C037" w14:textId="77777777" w:rsidTr="001C0012">
        <w:trPr>
          <w:trHeight w:val="602"/>
          <w:jc w:val="center"/>
        </w:trPr>
        <w:tc>
          <w:tcPr>
            <w:tcW w:w="1091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05E70F80" w14:textId="77777777" w:rsidR="00760BCD" w:rsidRPr="008E0656" w:rsidRDefault="00760BCD" w:rsidP="00DE53F8">
            <w:pPr>
              <w:spacing w:before="0" w:after="0"/>
              <w:ind w:left="351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E0656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  <w:t>UKAZATEL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0C4A422C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OPERAČNÍ KOEFICIENT (-)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17D94CF5" w14:textId="3BD0590A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CE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NA PRO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STOČNÉ (KČ/M³)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066A049C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PODÍL NEVYHOVUJÍCÍCH VZORKŮ (%)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2C3F9197" w14:textId="5EAD43FD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 xml:space="preserve">PODÍL GENEROVANÝCH PROSTŘEDKŮ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NA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 xml:space="preserve">OBNOVU A ROZVOJ 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K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HODNOTĚ VIM (%)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  <w:hideMark/>
          </w:tcPr>
          <w:p w14:paraId="1DC11B2F" w14:textId="46F83C49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POČET PŘÍPOJE</w:t>
            </w:r>
            <w:r w:rsidR="00962A95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K NA 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1 PRACOVNÍKA SPOLEČNOSTI (PŘÍP./PRAC.)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vAlign w:val="center"/>
          </w:tcPr>
          <w:p w14:paraId="143C9EF0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JEDNOTKOVÉ NÁKLADY (KČ/M³)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ED7D31" w:fill="ED7D31"/>
          </w:tcPr>
          <w:p w14:paraId="74AA0DE3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44036D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MNOŽSTVÍ ODPADNÍ FAKTUROVANÉ VODY VČETNĚ VODY SRÁŽKOVÉ (MIL. M³)</w:t>
            </w:r>
          </w:p>
        </w:tc>
      </w:tr>
      <w:tr w:rsidR="001C0012" w:rsidRPr="008E0656" w14:paraId="7D168721" w14:textId="77777777" w:rsidTr="001C0012">
        <w:trPr>
          <w:trHeight w:val="120"/>
          <w:jc w:val="center"/>
        </w:trPr>
        <w:tc>
          <w:tcPr>
            <w:tcW w:w="10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E51D678" w14:textId="5F59A4CF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I.SKUPI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(&gt;500 000 PŘ.OB.)</w:t>
            </w:r>
          </w:p>
        </w:tc>
        <w:tc>
          <w:tcPr>
            <w:tcW w:w="51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49DA74A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44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F2798BA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70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D1ADF0D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9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AEBDA81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56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52A461A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298,40</w:t>
            </w:r>
          </w:p>
        </w:tc>
        <w:tc>
          <w:tcPr>
            <w:tcW w:w="51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</w:tcPr>
          <w:p w14:paraId="21D038FA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34,55</w:t>
            </w:r>
          </w:p>
        </w:tc>
        <w:tc>
          <w:tcPr>
            <w:tcW w:w="5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vAlign w:val="center"/>
          </w:tcPr>
          <w:p w14:paraId="4C268704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68,68</w:t>
            </w:r>
          </w:p>
        </w:tc>
      </w:tr>
      <w:tr w:rsidR="001C0012" w:rsidRPr="008E0656" w14:paraId="03809EC5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44B05A8" w14:textId="68652C13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II.SKUPI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(&gt;200 000 PŘ.OB.)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D24E3DC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B4642FD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33,84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184DC78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10ACB78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62CBFAB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172,68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</w:tcPr>
          <w:p w14:paraId="3DC1CD60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28,95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CE4D6" w:fill="FCE4D6"/>
            <w:vAlign w:val="center"/>
          </w:tcPr>
          <w:p w14:paraId="4EF0B5F0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22,40</w:t>
            </w:r>
          </w:p>
        </w:tc>
      </w:tr>
      <w:tr w:rsidR="001C0012" w:rsidRPr="008E0656" w14:paraId="60315311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7857923A" w14:textId="42A47024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III.SKUPI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(&gt;100 000 PŘ.OB.)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291B0C8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A37D048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36,61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A3E3C04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0912179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ABDE564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</w:tcPr>
          <w:p w14:paraId="5215FD47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33,56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vAlign w:val="center"/>
          </w:tcPr>
          <w:p w14:paraId="30A25F5D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6,95</w:t>
            </w:r>
          </w:p>
        </w:tc>
      </w:tr>
      <w:tr w:rsidR="001C0012" w:rsidRPr="008E0656" w14:paraId="6107470E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F4C9CAC" w14:textId="712F2F43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IV.SKUPI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(&gt;50 000 PŘ.OB.)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9236919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E83AC29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C70970F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265FDF29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700F106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661,09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</w:tcPr>
          <w:p w14:paraId="0A2B57D0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CE4D6" w:fill="FCE4D6"/>
            <w:vAlign w:val="center"/>
          </w:tcPr>
          <w:p w14:paraId="3BD477DE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4,45</w:t>
            </w:r>
          </w:p>
        </w:tc>
      </w:tr>
      <w:tr w:rsidR="001C0012" w:rsidRPr="008E0656" w14:paraId="4D88A8F3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F3DC1E5" w14:textId="220EB701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V.SKUPI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(&gt;10 000 PŘ.OB.)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F4457EB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BED913C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35,32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3E993D9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02D9B8CA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7592BF66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347,87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</w:tcPr>
          <w:p w14:paraId="19C597BB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vAlign w:val="center"/>
          </w:tcPr>
          <w:p w14:paraId="4C5AAC16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1,49</w:t>
            </w:r>
          </w:p>
        </w:tc>
      </w:tr>
      <w:tr w:rsidR="001C0012" w:rsidRPr="008E0656" w14:paraId="2AF66CF0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EC64DC5" w14:textId="7E400509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VI.SKUPI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(&gt;1 000 PŘ.OB.)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8A229B9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0279006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34,83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8CD0CA5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6D6B074E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3E0434CC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422,15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CE4D6" w:fill="FCE4D6"/>
            <w:vAlign w:val="center"/>
          </w:tcPr>
          <w:p w14:paraId="426A3A85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30,87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CE4D6" w:fill="FCE4D6"/>
            <w:vAlign w:val="center"/>
          </w:tcPr>
          <w:p w14:paraId="0053D3F1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0,2</w:t>
            </w:r>
          </w:p>
        </w:tc>
      </w:tr>
      <w:tr w:rsidR="001C0012" w:rsidRPr="008E0656" w14:paraId="4CF7930B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4ABE095B" w14:textId="305D8BAC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VII.SKUPI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(&gt;300 PŘ.OB.)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7779CBEF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69194E6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6A0A05CE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1D8DB044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FAFE0EA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657,81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F8CBAD" w:fill="F8CBAD"/>
            <w:vAlign w:val="center"/>
          </w:tcPr>
          <w:p w14:paraId="79546465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31,64</w:t>
            </w:r>
          </w:p>
        </w:tc>
        <w:tc>
          <w:tcPr>
            <w:tcW w:w="577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F8CBAD" w:fill="F8CBAD"/>
            <w:vAlign w:val="center"/>
          </w:tcPr>
          <w:p w14:paraId="359C6C68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0,08</w:t>
            </w:r>
          </w:p>
        </w:tc>
      </w:tr>
      <w:tr w:rsidR="001C0012" w:rsidRPr="008E0656" w14:paraId="5D6A8D60" w14:textId="77777777" w:rsidTr="001C0012">
        <w:trPr>
          <w:trHeight w:val="114"/>
          <w:jc w:val="center"/>
        </w:trPr>
        <w:tc>
          <w:tcPr>
            <w:tcW w:w="109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50D0EEDA" w14:textId="70549772" w:rsidR="00760BCD" w:rsidRPr="001C0012" w:rsidRDefault="00760BCD" w:rsidP="00FE3F65">
            <w:pPr>
              <w:rPr>
                <w:rFonts w:asciiTheme="majorHAnsi" w:hAnsiTheme="majorHAnsi" w:cstheme="majorHAnsi"/>
                <w:color w:val="000000"/>
                <w:sz w:val="18"/>
                <w:szCs w:val="16"/>
              </w:rPr>
            </w:pP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VIII.SKUPI</w:t>
            </w:r>
            <w:r w:rsidR="00962A95"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NA </w:t>
            </w:r>
            <w:r w:rsidRPr="001C0012">
              <w:rPr>
                <w:rFonts w:asciiTheme="majorHAnsi" w:hAnsiTheme="majorHAnsi" w:cstheme="majorHAnsi"/>
                <w:color w:val="000000"/>
                <w:sz w:val="18"/>
                <w:szCs w:val="16"/>
              </w:rPr>
              <w:t>(&lt;300 PŘ.OB.)</w:t>
            </w:r>
          </w:p>
        </w:tc>
        <w:tc>
          <w:tcPr>
            <w:tcW w:w="513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7A680393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449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035E0B34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705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9E0737A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42BAE1E4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56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noWrap/>
            <w:vAlign w:val="center"/>
            <w:hideMark/>
          </w:tcPr>
          <w:p w14:paraId="1678C81D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52,03</w:t>
            </w:r>
          </w:p>
        </w:tc>
        <w:tc>
          <w:tcPr>
            <w:tcW w:w="512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CE4D6" w:fill="FCE4D6"/>
            <w:vAlign w:val="center"/>
          </w:tcPr>
          <w:p w14:paraId="32A1C3AC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28,23</w:t>
            </w:r>
          </w:p>
        </w:tc>
        <w:tc>
          <w:tcPr>
            <w:tcW w:w="577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FCE4D6" w:fill="FCE4D6"/>
            <w:vAlign w:val="center"/>
          </w:tcPr>
          <w:p w14:paraId="02DC6DBD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0,03</w:t>
            </w:r>
          </w:p>
        </w:tc>
      </w:tr>
      <w:tr w:rsidR="001C0012" w:rsidRPr="008E0656" w14:paraId="66C1A34D" w14:textId="77777777" w:rsidTr="001C0012">
        <w:trPr>
          <w:trHeight w:val="211"/>
          <w:jc w:val="center"/>
        </w:trPr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5BBE920A" w14:textId="77777777" w:rsidR="00760BCD" w:rsidRPr="008E0656" w:rsidRDefault="00760BCD" w:rsidP="00FE3F65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</w:pPr>
            <w:r w:rsidRPr="008E0656"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  <w:t>PRŮMĚR VŠECH SKUPIN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8F56545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393AE787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35,88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3D0E941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209139D5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center"/>
            <w:hideMark/>
          </w:tcPr>
          <w:p w14:paraId="7E646456" w14:textId="77777777" w:rsidR="00760BCD" w:rsidRPr="008E0656" w:rsidRDefault="00760BCD" w:rsidP="00FE3F65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365,87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8CBAD" w:fill="F8CBAD"/>
            <w:vAlign w:val="center"/>
          </w:tcPr>
          <w:p w14:paraId="6C6A2DC7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31,68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F8CBAD" w:fill="F8CBAD"/>
            <w:vAlign w:val="center"/>
          </w:tcPr>
          <w:p w14:paraId="406B12EB" w14:textId="77777777" w:rsidR="00760BCD" w:rsidRDefault="00760BCD" w:rsidP="00FE3F65">
            <w:pPr>
              <w:spacing w:before="0" w:after="0"/>
              <w:contextualSpacing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13,03</w:t>
            </w:r>
          </w:p>
        </w:tc>
      </w:tr>
    </w:tbl>
    <w:p w14:paraId="2DA2AA53" w14:textId="229F39A0" w:rsidR="005A127A" w:rsidRPr="00C62639" w:rsidRDefault="005A127A" w:rsidP="005A127A">
      <w:pPr>
        <w:pStyle w:val="Normlnzprva"/>
        <w:rPr>
          <w:noProof/>
        </w:rPr>
      </w:pPr>
      <w:r w:rsidRPr="00C62639">
        <w:rPr>
          <w:noProof/>
        </w:rPr>
        <w:br w:type="page"/>
      </w:r>
      <w:bookmarkEnd w:id="102"/>
      <w:bookmarkEnd w:id="103"/>
    </w:p>
    <w:p w14:paraId="546CF477" w14:textId="793553ED" w:rsidR="005A127A" w:rsidRPr="007827BA" w:rsidRDefault="005A127A" w:rsidP="005A127A">
      <w:pPr>
        <w:pStyle w:val="Nadpis2"/>
        <w:rPr>
          <w:rFonts w:asciiTheme="minorHAnsi" w:eastAsia="Calibri Light" w:hAnsiTheme="minorHAnsi"/>
          <w:noProof/>
        </w:rPr>
      </w:pPr>
      <w:r w:rsidRPr="00C62639">
        <w:rPr>
          <w:rFonts w:asciiTheme="minorHAnsi" w:hAnsiTheme="minorHAnsi"/>
          <w:noProof/>
        </w:rPr>
        <w:lastRenderedPageBreak/>
        <w:t xml:space="preserve"> </w:t>
      </w:r>
      <w:bookmarkStart w:id="105" w:name="_Toc963501"/>
      <w:bookmarkStart w:id="106" w:name="_Toc34210416"/>
      <w:r w:rsidRPr="007827BA">
        <w:rPr>
          <w:rFonts w:asciiTheme="minorHAnsi" w:eastAsia="Calibri Light" w:hAnsiTheme="minorHAnsi"/>
          <w:noProof/>
        </w:rPr>
        <w:t>Závěry benchmarkingovéh</w:t>
      </w:r>
      <w:r w:rsidR="00962A95">
        <w:rPr>
          <w:rFonts w:asciiTheme="minorHAnsi" w:eastAsia="Calibri Light" w:hAnsiTheme="minorHAnsi"/>
          <w:noProof/>
        </w:rPr>
        <w:t>o </w:t>
      </w:r>
      <w:r w:rsidRPr="007827BA">
        <w:rPr>
          <w:rFonts w:asciiTheme="minorHAnsi" w:eastAsia="Calibri Light" w:hAnsiTheme="minorHAnsi"/>
          <w:noProof/>
        </w:rPr>
        <w:t xml:space="preserve">projektu provozovatelských subjektů </w:t>
      </w:r>
      <w:r w:rsidRPr="007827BA">
        <w:rPr>
          <w:rFonts w:asciiTheme="minorHAnsi" w:eastAsia="Calibri Light" w:hAnsiTheme="minorHAnsi"/>
          <w:noProof/>
        </w:rPr>
        <w:br/>
      </w:r>
      <w:r w:rsidR="00962A95">
        <w:rPr>
          <w:rFonts w:asciiTheme="minorHAnsi" w:eastAsia="Calibri Light" w:hAnsiTheme="minorHAnsi"/>
          <w:noProof/>
        </w:rPr>
        <w:t>za </w:t>
      </w:r>
      <w:r w:rsidRPr="007827BA">
        <w:rPr>
          <w:rFonts w:asciiTheme="minorHAnsi" w:eastAsia="Calibri Light" w:hAnsiTheme="minorHAnsi"/>
          <w:noProof/>
        </w:rPr>
        <w:t>ro</w:t>
      </w:r>
      <w:r w:rsidR="00962A95">
        <w:rPr>
          <w:rFonts w:asciiTheme="minorHAnsi" w:eastAsia="Calibri Light" w:hAnsiTheme="minorHAnsi"/>
          <w:noProof/>
        </w:rPr>
        <w:t>k </w:t>
      </w:r>
      <w:r w:rsidRPr="007827BA">
        <w:rPr>
          <w:rFonts w:asciiTheme="minorHAnsi" w:eastAsia="Calibri Light" w:hAnsiTheme="minorHAnsi"/>
          <w:noProof/>
        </w:rPr>
        <w:t>201</w:t>
      </w:r>
      <w:bookmarkEnd w:id="105"/>
      <w:r>
        <w:rPr>
          <w:rFonts w:asciiTheme="minorHAnsi" w:eastAsia="Calibri Light" w:hAnsiTheme="minorHAnsi"/>
          <w:noProof/>
        </w:rPr>
        <w:t>8</w:t>
      </w:r>
      <w:bookmarkEnd w:id="106"/>
    </w:p>
    <w:p w14:paraId="72EB498D" w14:textId="77777777" w:rsidR="005A127A" w:rsidRDefault="005A127A" w:rsidP="005A127A">
      <w:pPr>
        <w:pStyle w:val="Nadpis3"/>
      </w:pPr>
      <w:bookmarkStart w:id="107" w:name="_Toc963502"/>
      <w:bookmarkStart w:id="108" w:name="_Toc34210417"/>
      <w:r>
        <w:t>SWOT analýza</w:t>
      </w:r>
      <w:bookmarkEnd w:id="107"/>
      <w:bookmarkEnd w:id="108"/>
    </w:p>
    <w:p w14:paraId="47719BA3" w14:textId="4CD3EA91" w:rsidR="005A127A" w:rsidRPr="000C19A9" w:rsidRDefault="00962A95" w:rsidP="005A127A">
      <w:pPr>
        <w:pStyle w:val="normlntextvodstavcch"/>
      </w:pPr>
      <w:r>
        <w:t>Na </w:t>
      </w:r>
      <w:r w:rsidR="005A127A" w:rsidRPr="000C19A9">
        <w:t>základě realizovanéh</w:t>
      </w:r>
      <w:r>
        <w:t>o </w:t>
      </w:r>
      <w:r w:rsidR="005A127A" w:rsidRPr="000C19A9">
        <w:t>benchmarkingu a</w:t>
      </w:r>
      <w:r w:rsidR="005A127A">
        <w:t> </w:t>
      </w:r>
      <w:r w:rsidR="005A127A" w:rsidRPr="000C19A9">
        <w:t>podrobné analýzy dat zasílaných</w:t>
      </w:r>
      <w:r w:rsidR="005A127A">
        <w:t xml:space="preserve"> </w:t>
      </w:r>
      <w:r>
        <w:t>na </w:t>
      </w:r>
      <w:r w:rsidR="005A127A" w:rsidRPr="000C19A9">
        <w:t>M</w:t>
      </w:r>
      <w:r>
        <w:t>Ze </w:t>
      </w:r>
      <w:r w:rsidR="005A127A" w:rsidRPr="000C19A9">
        <w:t xml:space="preserve">včetně informací </w:t>
      </w:r>
      <w:r>
        <w:t>o </w:t>
      </w:r>
      <w:r w:rsidR="005A127A" w:rsidRPr="000C19A9">
        <w:t>přijatých stížnostech a</w:t>
      </w:r>
      <w:r w:rsidR="005A127A">
        <w:t> </w:t>
      </w:r>
      <w:r w:rsidR="005A127A" w:rsidRPr="000C19A9">
        <w:t xml:space="preserve">nálezech </w:t>
      </w:r>
      <w:r>
        <w:t>z </w:t>
      </w:r>
      <w:r w:rsidR="005A127A" w:rsidRPr="000C19A9">
        <w:t>realizovaných kontrol</w:t>
      </w:r>
      <w:r w:rsidR="00DE53F8">
        <w:t xml:space="preserve"> u </w:t>
      </w:r>
      <w:r w:rsidR="005A127A" w:rsidRPr="000C19A9">
        <w:t>vlastníků a</w:t>
      </w:r>
      <w:r w:rsidR="005A127A">
        <w:t> </w:t>
      </w:r>
      <w:r w:rsidR="005A127A" w:rsidRPr="000C19A9">
        <w:t>provozovatelů VIM, byla sestave</w:t>
      </w:r>
      <w:r>
        <w:t>na </w:t>
      </w:r>
      <w:r w:rsidR="005A127A" w:rsidRPr="000C19A9">
        <w:t>následující SWOT analýza.</w:t>
      </w:r>
    </w:p>
    <w:p w14:paraId="6C6C87F7" w14:textId="77777777" w:rsidR="005A127A" w:rsidRPr="005A127A" w:rsidRDefault="005A127A" w:rsidP="005A127A"/>
    <w:tbl>
      <w:tblPr>
        <w:tblW w:w="10842" w:type="dxa"/>
        <w:jc w:val="center"/>
        <w:tblBorders>
          <w:top w:val="single" w:sz="6" w:space="0" w:color="B2A1C7"/>
          <w:left w:val="single" w:sz="6" w:space="0" w:color="B2A1C7"/>
          <w:bottom w:val="single" w:sz="6" w:space="0" w:color="B2A1C7"/>
          <w:right w:val="single" w:sz="6" w:space="0" w:color="B2A1C7"/>
          <w:insideH w:val="single" w:sz="6" w:space="0" w:color="B2A1C7"/>
          <w:insideV w:val="single" w:sz="6" w:space="0" w:color="B2A1C7"/>
        </w:tblBorders>
        <w:tblLook w:val="04A0" w:firstRow="1" w:lastRow="0" w:firstColumn="1" w:lastColumn="0" w:noHBand="0" w:noVBand="1"/>
      </w:tblPr>
      <w:tblGrid>
        <w:gridCol w:w="5240"/>
        <w:gridCol w:w="5602"/>
      </w:tblGrid>
      <w:tr w:rsidR="005A127A" w:rsidRPr="005A127A" w14:paraId="330BF37F" w14:textId="77777777" w:rsidTr="00FC764C">
        <w:trPr>
          <w:jc w:val="center"/>
        </w:trPr>
        <w:tc>
          <w:tcPr>
            <w:tcW w:w="5240" w:type="dxa"/>
            <w:shd w:val="clear" w:color="auto" w:fill="B2A1C7"/>
          </w:tcPr>
          <w:p w14:paraId="1AA90113" w14:textId="77777777" w:rsidR="005A127A" w:rsidRPr="005A127A" w:rsidRDefault="005A127A" w:rsidP="00FC764C">
            <w:pPr>
              <w:spacing w:before="0" w:after="0"/>
              <w:rPr>
                <w:rFonts w:asciiTheme="majorHAnsi" w:hAnsiTheme="majorHAnsi" w:cstheme="majorHAnsi"/>
                <w:bCs/>
                <w:smallCaps/>
                <w:noProof/>
                <w:color w:val="FFFFFF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bCs/>
                <w:smallCaps/>
                <w:noProof/>
                <w:color w:val="FFFFFF"/>
                <w:sz w:val="22"/>
                <w:szCs w:val="18"/>
              </w:rPr>
              <w:t>Silné stránky</w:t>
            </w:r>
          </w:p>
        </w:tc>
        <w:tc>
          <w:tcPr>
            <w:tcW w:w="5602" w:type="dxa"/>
            <w:shd w:val="clear" w:color="auto" w:fill="B2A1C7"/>
          </w:tcPr>
          <w:p w14:paraId="609AF092" w14:textId="77777777" w:rsidR="005A127A" w:rsidRPr="005A127A" w:rsidRDefault="005A127A" w:rsidP="00FC764C">
            <w:pPr>
              <w:spacing w:before="0" w:after="60" w:line="276" w:lineRule="auto"/>
              <w:rPr>
                <w:rFonts w:asciiTheme="majorHAnsi" w:hAnsiTheme="majorHAnsi" w:cstheme="majorHAnsi"/>
                <w:b/>
                <w:bCs/>
                <w:smallCaps/>
                <w:noProof/>
                <w:color w:val="FFFFFF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b/>
                <w:bCs/>
                <w:smallCaps/>
                <w:noProof/>
                <w:color w:val="FFFFFF"/>
                <w:sz w:val="22"/>
                <w:szCs w:val="18"/>
              </w:rPr>
              <w:t>Slabé stránky</w:t>
            </w:r>
          </w:p>
        </w:tc>
      </w:tr>
      <w:tr w:rsidR="005A127A" w:rsidRPr="005A127A" w14:paraId="42259B9F" w14:textId="77777777" w:rsidTr="00FC764C">
        <w:trPr>
          <w:jc w:val="center"/>
        </w:trPr>
        <w:tc>
          <w:tcPr>
            <w:tcW w:w="5240" w:type="dxa"/>
            <w:tcBorders>
              <w:bottom w:val="single" w:sz="6" w:space="0" w:color="B2A1C7"/>
            </w:tcBorders>
            <w:shd w:val="clear" w:color="auto" w:fill="FFFFFF"/>
          </w:tcPr>
          <w:p w14:paraId="6C891C89" w14:textId="3FBC049F" w:rsidR="005A127A" w:rsidRPr="005A127A" w:rsidRDefault="005A127A" w:rsidP="005A127A">
            <w:pPr>
              <w:pStyle w:val="Odstavecseseznamem"/>
              <w:spacing w:before="0" w:after="60" w:line="276" w:lineRule="auto"/>
              <w:ind w:left="164" w:hanging="164"/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>
              <w:rPr>
                <w:rFonts w:asciiTheme="majorHAnsi" w:hAnsiTheme="majorHAnsi" w:cstheme="majorHAnsi"/>
                <w:sz w:val="22"/>
                <w:szCs w:val="18"/>
              </w:rPr>
              <w:t>1.</w:t>
            </w:r>
            <w:r w:rsidR="00371EFB">
              <w:rPr>
                <w:rFonts w:asciiTheme="majorHAnsi" w:hAnsiTheme="majorHAnsi" w:cstheme="majorHAnsi"/>
                <w:sz w:val="22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18"/>
              </w:rPr>
              <w:t xml:space="preserve"> 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Rozvinutá síť VIM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většině území ČR.</w:t>
            </w:r>
          </w:p>
          <w:p w14:paraId="6318A5F5" w14:textId="77777777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2.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Legislativní rámec upravující práva a povinnosti vlastníků a provozovatelů VIM.</w:t>
            </w:r>
          </w:p>
          <w:p w14:paraId="43A3A150" w14:textId="512C47F4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3.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Vysoké % napojení obyvatelstva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vodovodu a</w:t>
            </w:r>
            <w:r w:rsidR="00BD5FF3">
              <w:rPr>
                <w:rFonts w:asciiTheme="majorHAnsi" w:hAnsiTheme="majorHAnsi" w:cstheme="majorHAnsi"/>
                <w:sz w:val="22"/>
                <w:szCs w:val="18"/>
              </w:rPr>
              <w:t xml:space="preserve"> ke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kanalizaci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veřejnou potřebu.</w:t>
            </w:r>
          </w:p>
          <w:p w14:paraId="777056D2" w14:textId="13B32755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4.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Legislativně zaveden systém cenotvorby, který umožňuje pokrývat všechny ekonomicky oprávněné náklady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ceny vodnéh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a stočnéh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- předpoklad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dosažení samofinancovatelnosti vodovodů a kanalizací. </w:t>
            </w:r>
          </w:p>
          <w:p w14:paraId="2BBFB18C" w14:textId="0EF6BD87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5.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Možnost využití nástroje „Dohoda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rozdělení vloženéh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kapitálu mezi vlastníkem a provozovatelem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výpočet přiměřenéh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zisku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použitéh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kapitálu“.</w:t>
            </w:r>
          </w:p>
          <w:p w14:paraId="740B1A0E" w14:textId="44B7661C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6.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Organizovaný sběr dat upraven legislativou (vybrané údaje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majetkové a provozní evidence, „Porovnání“, hlášení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ČSÚ, mechanizmy sběru dat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kvalitě pitné vody a hodnotách vyčištěných odpadních vod).</w:t>
            </w:r>
          </w:p>
          <w:p w14:paraId="68F36EE3" w14:textId="4083CDED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7.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Existence dotačních titulů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rozvoj VIM.</w:t>
            </w:r>
          </w:p>
        </w:tc>
        <w:tc>
          <w:tcPr>
            <w:tcW w:w="5602" w:type="dxa"/>
            <w:tcBorders>
              <w:bottom w:val="single" w:sz="6" w:space="0" w:color="B2A1C7"/>
            </w:tcBorders>
            <w:shd w:val="clear" w:color="auto" w:fill="auto"/>
          </w:tcPr>
          <w:p w14:paraId="5DF1F891" w14:textId="306B4920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>
              <w:rPr>
                <w:rFonts w:asciiTheme="majorHAnsi" w:hAnsiTheme="majorHAnsi" w:cstheme="majorHAnsi"/>
                <w:sz w:val="22"/>
                <w:szCs w:val="18"/>
              </w:rPr>
              <w:t>1.</w:t>
            </w:r>
            <w:r w:rsidR="00371EFB">
              <w:rPr>
                <w:rFonts w:asciiTheme="majorHAnsi" w:hAnsiTheme="majorHAnsi" w:cstheme="majorHAnsi"/>
                <w:sz w:val="22"/>
                <w:szCs w:val="18"/>
              </w:rPr>
              <w:t xml:space="preserve"> 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Vysoký stupeň atomizace trhu (dle evidence M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vlastníků, provozovatelů). </w:t>
            </w:r>
          </w:p>
          <w:p w14:paraId="26D9C76A" w14:textId="435DDE83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2.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Různorodost struktury obchodních vztahů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rámci jednotlivých modelů provozování ovlivňuje možnosti vlastníka rozhodovat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způsobu generování prostředků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obnovu,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jejich výši a době akumulace, která může souviset s délkou trvání smlouvy uzavřené mezi vlastníkem VIM a provozovatelem.</w:t>
            </w:r>
          </w:p>
          <w:p w14:paraId="0BC40733" w14:textId="77A736C6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3.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Slabá vyjednávací pozice vlastníka vůči provozovateli zapříčiněná nedostatečnou znalostí prá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a povinností vlastníka VIM (zejmé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</w:t>
            </w:r>
            <w:r w:rsidR="00DE53F8">
              <w:rPr>
                <w:rFonts w:asciiTheme="majorHAnsi" w:hAnsiTheme="majorHAnsi" w:cstheme="majorHAnsi"/>
                <w:sz w:val="22"/>
                <w:szCs w:val="18"/>
              </w:rPr>
              <w:t xml:space="preserve"> u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menších vlastníků).</w:t>
            </w:r>
          </w:p>
          <w:p w14:paraId="7A54F342" w14:textId="3AEE1988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4.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Nedodržování legislativy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strany vlastníků a provozovatelů (zákon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cenách, vyhláška č. 428/2001 Sb., zákon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vodovodech a kanalizacích č. 274/2001 Sb., Koncesní zákon 139/2006 Sb. platný 1. 1. 2014 - 30. 9. 2016, zákon č. 134/2016 Sb.,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zadávání veřejných zakázek).</w:t>
            </w:r>
          </w:p>
          <w:p w14:paraId="280532F9" w14:textId="53CF3FDF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5.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Neexistence legislativní úpravy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stanovení minimální výše nájemnéh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neb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ceny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vodné a 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stočné s vazbou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dosažení samofinancovatelnosti VIM. Nedostatečný dozor nad dodržováním legislativy (cenotvorba, plán financování obnovy a jeh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realizace, kalkulace neoprávněných nákladů, servisní smlouvy).</w:t>
            </w:r>
          </w:p>
          <w:p w14:paraId="6A814801" w14:textId="7C8CDFC1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6.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Zejmé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</w:t>
            </w:r>
            <w:r w:rsidR="00DE53F8">
              <w:rPr>
                <w:rFonts w:asciiTheme="majorHAnsi" w:hAnsiTheme="majorHAnsi" w:cstheme="majorHAnsi"/>
                <w:sz w:val="22"/>
                <w:szCs w:val="18"/>
              </w:rPr>
              <w:t xml:space="preserve"> u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menších vlastníků - prioritní využívání zdrojů vody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vlastním katastru a případné doplňování nedostatečné kapacity vlastních zdrojů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oblastních vodovodů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úkor ekonomické efektivity a kolísající úrovně kvality dodávané vody.</w:t>
            </w:r>
          </w:p>
          <w:p w14:paraId="7CB44E7D" w14:textId="7B0C7FD9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7.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Dotace ceny vlastníkem přes položku kalkulační zis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- trend</w:t>
            </w:r>
            <w:r w:rsidR="00DE53F8">
              <w:rPr>
                <w:rFonts w:asciiTheme="majorHAnsi" w:hAnsiTheme="majorHAnsi" w:cstheme="majorHAnsi"/>
                <w:sz w:val="22"/>
                <w:szCs w:val="18"/>
              </w:rPr>
              <w:t xml:space="preserve"> u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komunálních vlastníků. Tent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postup zamezuje dosažení samofinancovatelnosti sektoru. Dochází ta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dotování samotnéh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provozu - zejmé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</w:t>
            </w:r>
            <w:r w:rsidR="00DE53F8">
              <w:rPr>
                <w:rFonts w:asciiTheme="majorHAnsi" w:hAnsiTheme="majorHAnsi" w:cstheme="majorHAnsi"/>
                <w:sz w:val="22"/>
                <w:szCs w:val="18"/>
              </w:rPr>
              <w:t xml:space="preserve"> u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vlastníků s malým počtem připojených osob.</w:t>
            </w:r>
          </w:p>
          <w:p w14:paraId="2C34027A" w14:textId="5BB66D41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lastRenderedPageBreak/>
              <w:t>8.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Diskutabilní kvalita dat zasílaných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M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(výskyt logických chyb, neúplná data, nesouměřitelná data vyplývající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nejednotnéh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chápání pojmů, např. obnova, porucha)</w:t>
            </w:r>
          </w:p>
          <w:p w14:paraId="624FDFE7" w14:textId="3ABD62C6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9.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vybraných údajích majetkové a provozní evidence nebyly poskytovány informace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přivaděčích a sběračích, což má přímý vli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vypovídací hodnotu některých ukazatelů benchmarkingu (např. hodnota VIM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reprodukční pořizovací ceně, minimální roční výše prostředků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obnovu, délka řadů a stok, množství nefakturované vody, ztrát a poruch a jejich hodnoty přepočtené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km sítě atd.).</w:t>
            </w:r>
          </w:p>
          <w:p w14:paraId="2D4D9C1A" w14:textId="52D948DA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10. Někteří zejmé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menší provozovatelé se vědomě nezabývají sledováním a vykazováním ztrát vody a vody nefakturované.</w:t>
            </w:r>
          </w:p>
          <w:p w14:paraId="156A5C9A" w14:textId="1C5290E6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11.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Nedostatky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databázích vybraných údajů majetkové a provozní evidence a 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databázi povolení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provozování neumožňují hloubkovou kontrolu úplnosti databází a správnosti údajů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nich uváděných.</w:t>
            </w:r>
          </w:p>
          <w:p w14:paraId="2C6F3A8A" w14:textId="1EF499B7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12.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Nezahrnování veškerých souvisejících ekonomicky oprávněných nákladů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plné výši d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kalkulace a Porovnání zamezuje informovanosti spotřebitele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skutečné výši nákladů spojených s poskytovanými službami a způsobuje snížení vypovídající schopností benchmarkingu.</w:t>
            </w:r>
          </w:p>
        </w:tc>
      </w:tr>
      <w:tr w:rsidR="005A127A" w:rsidRPr="005A127A" w14:paraId="5DFDA9EC" w14:textId="77777777" w:rsidTr="00FC764C">
        <w:trPr>
          <w:jc w:val="center"/>
        </w:trPr>
        <w:tc>
          <w:tcPr>
            <w:tcW w:w="5240" w:type="dxa"/>
            <w:shd w:val="clear" w:color="auto" w:fill="C4BC96"/>
          </w:tcPr>
          <w:p w14:paraId="37CFF449" w14:textId="77777777" w:rsidR="005A127A" w:rsidRPr="005A127A" w:rsidRDefault="005A127A" w:rsidP="00FC764C">
            <w:pPr>
              <w:spacing w:before="0" w:after="0"/>
              <w:rPr>
                <w:rFonts w:asciiTheme="majorHAnsi" w:hAnsiTheme="majorHAnsi" w:cstheme="majorHAnsi"/>
                <w:bCs/>
                <w:smallCaps/>
                <w:noProof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bCs/>
                <w:smallCaps/>
                <w:noProof/>
                <w:sz w:val="22"/>
                <w:szCs w:val="18"/>
              </w:rPr>
              <w:lastRenderedPageBreak/>
              <w:t>Příležitosti</w:t>
            </w:r>
          </w:p>
        </w:tc>
        <w:tc>
          <w:tcPr>
            <w:tcW w:w="5602" w:type="dxa"/>
            <w:shd w:val="clear" w:color="auto" w:fill="C4BC96"/>
          </w:tcPr>
          <w:p w14:paraId="3FDB5FF9" w14:textId="77777777" w:rsidR="005A127A" w:rsidRPr="005A127A" w:rsidRDefault="005A127A" w:rsidP="00FC764C">
            <w:pPr>
              <w:spacing w:before="0" w:after="60" w:line="276" w:lineRule="auto"/>
              <w:rPr>
                <w:rFonts w:asciiTheme="majorHAnsi" w:hAnsiTheme="majorHAnsi" w:cstheme="majorHAnsi"/>
                <w:b/>
                <w:smallCaps/>
                <w:noProof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mallCaps/>
                <w:noProof/>
                <w:sz w:val="22"/>
                <w:szCs w:val="18"/>
              </w:rPr>
              <w:t>Hrozby</w:t>
            </w:r>
          </w:p>
        </w:tc>
      </w:tr>
      <w:tr w:rsidR="005A127A" w:rsidRPr="005A127A" w14:paraId="4628EDA7" w14:textId="77777777" w:rsidTr="00FC764C">
        <w:trPr>
          <w:jc w:val="center"/>
        </w:trPr>
        <w:tc>
          <w:tcPr>
            <w:tcW w:w="5240" w:type="dxa"/>
            <w:shd w:val="clear" w:color="auto" w:fill="FFFFFF"/>
          </w:tcPr>
          <w:p w14:paraId="676CB419" w14:textId="3BC28D72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1.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Dosažení sociálně únosné samofinancovatelnosti infrastruktury (splnění EU směrnic, nastavení zodpovědnéh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financování sektoru s ohledem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nezatěžování dalších generací).</w:t>
            </w:r>
          </w:p>
          <w:p w14:paraId="50461C77" w14:textId="2747376B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2.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Zvýšení informovanosti všech zúčastněných stran sektoru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jejich právech a povinnostech.</w:t>
            </w:r>
          </w:p>
          <w:p w14:paraId="2CBEE4F6" w14:textId="2C847CAB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3.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Zavedení pomocných nástrojů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úpravu vztahu mezi vlastníky a provozovateli VIM, zejmé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doporučené obsahové náležitosti servisní smlouvy a smlouvy s odborným zástupcem.</w:t>
            </w:r>
          </w:p>
          <w:p w14:paraId="32628224" w14:textId="534EECD5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4.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Dosažení cenové úrovně, která by zabezpečila c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nejvyšší stupeň samofinancovatelnosti a pokud možn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nepřekročila sociálně únosnou cenu.</w:t>
            </w:r>
          </w:p>
          <w:p w14:paraId="08277194" w14:textId="7A458B4E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5.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Větší možnost využívání úspor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rozsahu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případě snížení atomizace trhu, která by sebou nesla i zvýšení odborné úrovně provozování VIM.</w:t>
            </w:r>
          </w:p>
          <w:p w14:paraId="6C3CEDB7" w14:textId="77777777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6.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Zvyšování kvality dat, spolupráce se subjekty. Zavedení přesné definice některých termínů např. obnova, oprava, porucha atd.</w:t>
            </w:r>
          </w:p>
          <w:p w14:paraId="78787319" w14:textId="2C0500C7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lastRenderedPageBreak/>
              <w:t>7.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Zvyšování informovanosti laické i odborné veřejnosti prostřednictvím internetu (online uvádění informací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rozsahu přílohy č. 4 návrhu směrnice Evropskéh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Parlamentu a Rady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jakosti vody určené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lidské spotřebě.</w:t>
            </w:r>
          </w:p>
          <w:p w14:paraId="3FE47C65" w14:textId="5D6F153C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b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8. Stanovení národníh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standardu kvality provozování.</w:t>
            </w:r>
          </w:p>
        </w:tc>
        <w:tc>
          <w:tcPr>
            <w:tcW w:w="5602" w:type="dxa"/>
            <w:shd w:val="clear" w:color="auto" w:fill="auto"/>
          </w:tcPr>
          <w:p w14:paraId="3B850157" w14:textId="0B083F94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lastRenderedPageBreak/>
              <w:t>1.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Zhoršující se vodní bilance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ČR a snižující se zásoby vody. </w:t>
            </w:r>
          </w:p>
          <w:p w14:paraId="7891277E" w14:textId="63F0BE08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2.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Neexistence smlu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v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provozně souvisejících vodovodů, které jsou povinností vlastníků VIM danou zákonem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vodovodech a kanalizacích č. 274/2001 Sb.</w:t>
            </w:r>
          </w:p>
          <w:p w14:paraId="73A4F226" w14:textId="77777777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3.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>Nejednotné chápání termínů (obnova, oprava, porucha apod.) a nízká úroveň kvality stávajících dat.</w:t>
            </w:r>
          </w:p>
          <w:p w14:paraId="19EA92DE" w14:textId="7FC85FBD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4. Ustanovení §6 odst. 6 zák. č. 274/2001 Sb., umožňující získání povolení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provozování be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živnostenskéh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oprávnění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obce, organizační složky státu neb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sdružením vlastníků vodovodů a kanalizací, které jsou právnickými osobami, pokud neprovozují vodovod neb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kanalizaci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účelem dosažení zisku, znemožňuje využití kalkulačníh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zisku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pro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generování prostředků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obnovu. Uvedené ustanovení je vlastníky různě chápán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a vlastnickým subjektům komplikuje dosažení samofinancovatelnosti VIM (záměr regulátora).</w:t>
            </w:r>
          </w:p>
          <w:p w14:paraId="57111A40" w14:textId="356553B8" w:rsidR="005A127A" w:rsidRPr="005A127A" w:rsidRDefault="005A127A" w:rsidP="005A127A">
            <w:pPr>
              <w:pStyle w:val="Odstavecseseznamem"/>
              <w:spacing w:before="0" w:after="60" w:line="276" w:lineRule="auto"/>
              <w:ind w:left="313" w:hanging="313"/>
              <w:rPr>
                <w:rFonts w:asciiTheme="majorHAnsi" w:hAnsiTheme="majorHAnsi" w:cstheme="majorHAnsi"/>
                <w:sz w:val="22"/>
                <w:szCs w:val="18"/>
              </w:rPr>
            </w:pP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6.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ab/>
              <w:t xml:space="preserve">Příliš dlouhá doba potřebná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dosažení samofinancovatelnosti může vést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k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opětovnému tlaku 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lastRenderedPageBreak/>
              <w:t xml:space="preserve">sektoru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dotace (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na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obnovu) neb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</w:t>
            </w:r>
            <w:r w:rsidR="00BD5FF3">
              <w:rPr>
                <w:rFonts w:asciiTheme="majorHAnsi" w:hAnsiTheme="majorHAnsi" w:cstheme="majorHAnsi"/>
                <w:sz w:val="22"/>
                <w:szCs w:val="18"/>
              </w:rPr>
              <w:t xml:space="preserve"> ke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skokovým nárůstům cen vodnéh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 xml:space="preserve">a stočného, které mohou být 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za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sociální únosností. Tent</w:t>
            </w:r>
            <w:r w:rsidR="00962A95">
              <w:rPr>
                <w:rFonts w:asciiTheme="majorHAnsi" w:hAnsiTheme="majorHAnsi" w:cstheme="majorHAnsi"/>
                <w:sz w:val="22"/>
                <w:szCs w:val="18"/>
              </w:rPr>
              <w:t>o </w:t>
            </w:r>
            <w:r w:rsidRPr="005A127A">
              <w:rPr>
                <w:rFonts w:asciiTheme="majorHAnsi" w:hAnsiTheme="majorHAnsi" w:cstheme="majorHAnsi"/>
                <w:sz w:val="22"/>
                <w:szCs w:val="18"/>
              </w:rPr>
              <w:t>postup může znamenat významné ekonomické zatížení budoucích generací, případně snížení kvality služeb.</w:t>
            </w:r>
          </w:p>
        </w:tc>
      </w:tr>
    </w:tbl>
    <w:p w14:paraId="2B3208CB" w14:textId="77777777" w:rsidR="005A127A" w:rsidRPr="00C62639" w:rsidRDefault="005A127A" w:rsidP="005A127A">
      <w:pPr>
        <w:rPr>
          <w:rFonts w:asciiTheme="minorHAnsi" w:hAnsiTheme="minorHAnsi"/>
          <w:noProof/>
        </w:rPr>
      </w:pPr>
    </w:p>
    <w:p w14:paraId="39882784" w14:textId="075DEF29" w:rsidR="005A127A" w:rsidRPr="00C62639" w:rsidRDefault="005A127A" w:rsidP="005A127A">
      <w:pPr>
        <w:pStyle w:val="Nadpis3"/>
        <w:rPr>
          <w:noProof/>
        </w:rPr>
      </w:pPr>
      <w:r w:rsidRPr="00C62639">
        <w:rPr>
          <w:noProof/>
        </w:rPr>
        <w:t xml:space="preserve"> </w:t>
      </w:r>
      <w:bookmarkStart w:id="109" w:name="_Toc474143441"/>
      <w:bookmarkStart w:id="110" w:name="_Toc495564971"/>
      <w:bookmarkStart w:id="111" w:name="_Toc963503"/>
      <w:bookmarkStart w:id="112" w:name="_Toc34210418"/>
      <w:r w:rsidRPr="00C62639">
        <w:rPr>
          <w:noProof/>
        </w:rPr>
        <w:t>Závěr, zhodnocení a návrh dalšíh</w:t>
      </w:r>
      <w:r w:rsidR="00962A95">
        <w:rPr>
          <w:noProof/>
        </w:rPr>
        <w:t>o </w:t>
      </w:r>
      <w:r w:rsidRPr="00C62639">
        <w:rPr>
          <w:noProof/>
        </w:rPr>
        <w:t>postupu</w:t>
      </w:r>
      <w:bookmarkEnd w:id="109"/>
      <w:bookmarkEnd w:id="110"/>
      <w:bookmarkEnd w:id="111"/>
      <w:bookmarkEnd w:id="112"/>
    </w:p>
    <w:p w14:paraId="3760CFA4" w14:textId="7CDBA068" w:rsidR="005A127A" w:rsidRPr="000C19A9" w:rsidRDefault="005A127A" w:rsidP="005A127A">
      <w:pPr>
        <w:pStyle w:val="normlntextvodstavcch"/>
        <w:rPr>
          <w:i/>
        </w:rPr>
      </w:pPr>
      <w:r w:rsidRPr="000C19A9">
        <w:rPr>
          <w:i/>
        </w:rPr>
        <w:t>Výsledky provedené analýzy SWOT a</w:t>
      </w:r>
      <w:r>
        <w:rPr>
          <w:i/>
        </w:rPr>
        <w:t> </w:t>
      </w:r>
      <w:r w:rsidRPr="000C19A9">
        <w:rPr>
          <w:i/>
        </w:rPr>
        <w:t xml:space="preserve">výstupy </w:t>
      </w:r>
      <w:r w:rsidR="00962A95">
        <w:rPr>
          <w:i/>
        </w:rPr>
        <w:t>z </w:t>
      </w:r>
      <w:r w:rsidRPr="000C19A9">
        <w:rPr>
          <w:i/>
        </w:rPr>
        <w:t>benchmarkingu potvrdily a</w:t>
      </w:r>
      <w:r>
        <w:rPr>
          <w:i/>
        </w:rPr>
        <w:t> </w:t>
      </w:r>
      <w:r w:rsidRPr="000C19A9">
        <w:rPr>
          <w:i/>
        </w:rPr>
        <w:t xml:space="preserve">upřesnily závěry, které byly uvedeny </w:t>
      </w:r>
      <w:r w:rsidR="00962A95">
        <w:rPr>
          <w:i/>
        </w:rPr>
        <w:t>ve </w:t>
      </w:r>
      <w:r w:rsidRPr="000C19A9">
        <w:rPr>
          <w:i/>
        </w:rPr>
        <w:t xml:space="preserve">zprávách </w:t>
      </w:r>
      <w:r w:rsidR="00962A95">
        <w:rPr>
          <w:i/>
        </w:rPr>
        <w:t>z </w:t>
      </w:r>
      <w:r w:rsidRPr="000C19A9">
        <w:rPr>
          <w:i/>
        </w:rPr>
        <w:t xml:space="preserve">benchmarkingu provozovatelských subjektů </w:t>
      </w:r>
      <w:r w:rsidR="00962A95">
        <w:rPr>
          <w:i/>
        </w:rPr>
        <w:t>za </w:t>
      </w:r>
      <w:r w:rsidRPr="000C19A9">
        <w:rPr>
          <w:i/>
        </w:rPr>
        <w:t>předchozí tři roky.</w:t>
      </w:r>
    </w:p>
    <w:p w14:paraId="180A9482" w14:textId="552D4B23" w:rsidR="005A127A" w:rsidRPr="000C19A9" w:rsidRDefault="005A127A" w:rsidP="005A127A">
      <w:pPr>
        <w:pStyle w:val="normlntextvodstavcch"/>
        <w:rPr>
          <w:i/>
        </w:rPr>
      </w:pPr>
      <w:r w:rsidRPr="000C19A9">
        <w:rPr>
          <w:i/>
        </w:rPr>
        <w:t>Analý</w:t>
      </w:r>
      <w:r w:rsidR="00962A95">
        <w:rPr>
          <w:i/>
        </w:rPr>
        <w:t>za </w:t>
      </w:r>
      <w:r w:rsidRPr="000C19A9">
        <w:rPr>
          <w:i/>
        </w:rPr>
        <w:t>byla zaměře</w:t>
      </w:r>
      <w:r w:rsidR="00962A95">
        <w:rPr>
          <w:i/>
        </w:rPr>
        <w:t>na na </w:t>
      </w:r>
      <w:r w:rsidRPr="000C19A9">
        <w:rPr>
          <w:i/>
        </w:rPr>
        <w:t>stanovené záměry regulace (zejmé</w:t>
      </w:r>
      <w:r w:rsidR="00962A95">
        <w:rPr>
          <w:i/>
        </w:rPr>
        <w:t>na </w:t>
      </w:r>
      <w:r w:rsidRPr="000C19A9">
        <w:rPr>
          <w:i/>
        </w:rPr>
        <w:t xml:space="preserve">zabezpečení rovnováhy mezi cenou </w:t>
      </w:r>
      <w:r w:rsidR="00962A95">
        <w:rPr>
          <w:i/>
        </w:rPr>
        <w:t>za </w:t>
      </w:r>
      <w:r w:rsidRPr="000C19A9">
        <w:rPr>
          <w:i/>
        </w:rPr>
        <w:t>služby a</w:t>
      </w:r>
      <w:r>
        <w:rPr>
          <w:i/>
        </w:rPr>
        <w:t> </w:t>
      </w:r>
      <w:r w:rsidRPr="000C19A9">
        <w:rPr>
          <w:i/>
        </w:rPr>
        <w:t>náklady</w:t>
      </w:r>
      <w:r>
        <w:rPr>
          <w:i/>
        </w:rPr>
        <w:t xml:space="preserve"> </w:t>
      </w:r>
      <w:r w:rsidR="00962A95">
        <w:rPr>
          <w:i/>
        </w:rPr>
        <w:t>na </w:t>
      </w:r>
      <w:r w:rsidRPr="000C19A9">
        <w:rPr>
          <w:i/>
        </w:rPr>
        <w:t>poskytování služeb, zajištění dostatečn</w:t>
      </w:r>
      <w:r>
        <w:rPr>
          <w:i/>
        </w:rPr>
        <w:t>é</w:t>
      </w:r>
      <w:r w:rsidRPr="000C19A9">
        <w:rPr>
          <w:i/>
        </w:rPr>
        <w:t xml:space="preserve"> kvality služeb a</w:t>
      </w:r>
      <w:r>
        <w:rPr>
          <w:i/>
        </w:rPr>
        <w:t> </w:t>
      </w:r>
      <w:r w:rsidRPr="000C19A9">
        <w:rPr>
          <w:i/>
        </w:rPr>
        <w:t>ochrany životníh</w:t>
      </w:r>
      <w:r w:rsidR="00962A95">
        <w:rPr>
          <w:i/>
        </w:rPr>
        <w:t>o </w:t>
      </w:r>
      <w:r w:rsidRPr="000C19A9">
        <w:rPr>
          <w:i/>
        </w:rPr>
        <w:t>prostředí). Její výsledky potvrdily závěry a</w:t>
      </w:r>
      <w:r>
        <w:rPr>
          <w:i/>
        </w:rPr>
        <w:t> </w:t>
      </w:r>
      <w:r w:rsidRPr="000C19A9">
        <w:rPr>
          <w:i/>
        </w:rPr>
        <w:t xml:space="preserve">doporučení předchozích projektů důležité </w:t>
      </w:r>
      <w:r w:rsidR="00962A95">
        <w:rPr>
          <w:i/>
        </w:rPr>
        <w:t>pro </w:t>
      </w:r>
      <w:r w:rsidRPr="000C19A9">
        <w:rPr>
          <w:i/>
        </w:rPr>
        <w:t>fungování sektoru vodovodů a</w:t>
      </w:r>
      <w:r>
        <w:rPr>
          <w:i/>
        </w:rPr>
        <w:t> </w:t>
      </w:r>
      <w:r w:rsidRPr="000C19A9">
        <w:rPr>
          <w:i/>
        </w:rPr>
        <w:t>kanalizací. Podle těcht</w:t>
      </w:r>
      <w:r w:rsidR="00962A95">
        <w:rPr>
          <w:i/>
        </w:rPr>
        <w:t>o </w:t>
      </w:r>
      <w:r w:rsidRPr="000C19A9">
        <w:rPr>
          <w:i/>
        </w:rPr>
        <w:t xml:space="preserve">závěrů je </w:t>
      </w:r>
      <w:r>
        <w:rPr>
          <w:i/>
        </w:rPr>
        <w:t>nezbytné</w:t>
      </w:r>
      <w:r w:rsidRPr="000C19A9">
        <w:rPr>
          <w:i/>
        </w:rPr>
        <w:t xml:space="preserve"> se nadále zabývat následujícími oblastmi: dosažení c</w:t>
      </w:r>
      <w:r w:rsidR="00962A95">
        <w:rPr>
          <w:i/>
        </w:rPr>
        <w:t>o </w:t>
      </w:r>
      <w:r w:rsidRPr="000C19A9">
        <w:rPr>
          <w:i/>
        </w:rPr>
        <w:t>nejvyššíh</w:t>
      </w:r>
      <w:r w:rsidR="00962A95">
        <w:rPr>
          <w:i/>
        </w:rPr>
        <w:t>o </w:t>
      </w:r>
      <w:r w:rsidRPr="000C19A9">
        <w:rPr>
          <w:i/>
        </w:rPr>
        <w:t>stupně samofinancování vlastnictví a</w:t>
      </w:r>
      <w:r>
        <w:rPr>
          <w:i/>
        </w:rPr>
        <w:t> </w:t>
      </w:r>
      <w:r w:rsidRPr="000C19A9">
        <w:rPr>
          <w:i/>
        </w:rPr>
        <w:t>provozování VIM (</w:t>
      </w:r>
      <w:r w:rsidR="00962A95">
        <w:rPr>
          <w:i/>
        </w:rPr>
        <w:t>ve </w:t>
      </w:r>
      <w:r w:rsidRPr="000C19A9">
        <w:rPr>
          <w:i/>
        </w:rPr>
        <w:t xml:space="preserve">vztahu </w:t>
      </w:r>
      <w:r w:rsidR="00962A95">
        <w:rPr>
          <w:i/>
        </w:rPr>
        <w:t>k </w:t>
      </w:r>
      <w:r w:rsidRPr="000C19A9">
        <w:rPr>
          <w:i/>
        </w:rPr>
        <w:t>sociální únosnosti ceny), cenotvorba, kondice provozovanéh</w:t>
      </w:r>
      <w:r w:rsidR="00962A95">
        <w:rPr>
          <w:i/>
        </w:rPr>
        <w:t>o </w:t>
      </w:r>
      <w:r w:rsidRPr="000C19A9">
        <w:rPr>
          <w:i/>
        </w:rPr>
        <w:t xml:space="preserve">VIM (systematická péče </w:t>
      </w:r>
      <w:r w:rsidR="00962A95">
        <w:rPr>
          <w:i/>
        </w:rPr>
        <w:t>o </w:t>
      </w:r>
      <w:r w:rsidRPr="000C19A9">
        <w:rPr>
          <w:i/>
        </w:rPr>
        <w:t>VIM) a</w:t>
      </w:r>
      <w:r>
        <w:rPr>
          <w:i/>
        </w:rPr>
        <w:t> </w:t>
      </w:r>
      <w:r w:rsidRPr="000C19A9">
        <w:rPr>
          <w:i/>
        </w:rPr>
        <w:t>snižování negativních vlivů</w:t>
      </w:r>
      <w:r>
        <w:rPr>
          <w:i/>
        </w:rPr>
        <w:t xml:space="preserve"> </w:t>
      </w:r>
      <w:r w:rsidR="00962A95">
        <w:rPr>
          <w:i/>
        </w:rPr>
        <w:t>na </w:t>
      </w:r>
      <w:r w:rsidRPr="000C19A9">
        <w:rPr>
          <w:i/>
        </w:rPr>
        <w:t>životní prostředí.</w:t>
      </w:r>
    </w:p>
    <w:p w14:paraId="68EFEF1B" w14:textId="78FAB51E" w:rsidR="005A127A" w:rsidRPr="000C19A9" w:rsidRDefault="00962A95" w:rsidP="005A127A">
      <w:pPr>
        <w:pStyle w:val="normlntextvodstavcch"/>
        <w:rPr>
          <w:i/>
        </w:rPr>
      </w:pPr>
      <w:r>
        <w:rPr>
          <w:i/>
        </w:rPr>
        <w:t>O </w:t>
      </w:r>
      <w:r w:rsidR="005A127A" w:rsidRPr="000C19A9">
        <w:rPr>
          <w:i/>
        </w:rPr>
        <w:t>stupni samofinancování vlastnictví a</w:t>
      </w:r>
      <w:r w:rsidR="005A127A">
        <w:rPr>
          <w:i/>
        </w:rPr>
        <w:t> </w:t>
      </w:r>
      <w:r w:rsidR="005A127A" w:rsidRPr="000C19A9">
        <w:rPr>
          <w:i/>
        </w:rPr>
        <w:t>provozování VIM vypovídá dosažená hodnota komplexníh</w:t>
      </w:r>
      <w:r>
        <w:rPr>
          <w:i/>
        </w:rPr>
        <w:t>o </w:t>
      </w:r>
      <w:r w:rsidR="005A127A" w:rsidRPr="000C19A9">
        <w:rPr>
          <w:i/>
        </w:rPr>
        <w:t>ukazatele OKF. Pokud je jeh</w:t>
      </w:r>
      <w:r>
        <w:rPr>
          <w:i/>
        </w:rPr>
        <w:t>o </w:t>
      </w:r>
      <w:r w:rsidR="005A127A" w:rsidRPr="000C19A9">
        <w:rPr>
          <w:i/>
        </w:rPr>
        <w:t>hodnota rov</w:t>
      </w:r>
      <w:r>
        <w:rPr>
          <w:i/>
        </w:rPr>
        <w:t>na </w:t>
      </w:r>
      <w:r w:rsidR="005A127A" w:rsidRPr="000C19A9">
        <w:rPr>
          <w:i/>
        </w:rPr>
        <w:t>neb</w:t>
      </w:r>
      <w:r>
        <w:rPr>
          <w:i/>
        </w:rPr>
        <w:t>o </w:t>
      </w:r>
      <w:r w:rsidR="005A127A" w:rsidRPr="000C19A9">
        <w:rPr>
          <w:i/>
        </w:rPr>
        <w:t xml:space="preserve">je vyšší </w:t>
      </w:r>
      <w:r>
        <w:rPr>
          <w:i/>
        </w:rPr>
        <w:t>než </w:t>
      </w:r>
      <w:r w:rsidR="005A127A" w:rsidRPr="000C19A9">
        <w:rPr>
          <w:i/>
        </w:rPr>
        <w:t>1, je možné konstatovat, že</w:t>
      </w:r>
      <w:r w:rsidR="005A127A">
        <w:rPr>
          <w:i/>
        </w:rPr>
        <w:t xml:space="preserve"> </w:t>
      </w:r>
      <w:r>
        <w:rPr>
          <w:i/>
        </w:rPr>
        <w:t>v </w:t>
      </w:r>
      <w:r w:rsidR="005A127A">
        <w:rPr>
          <w:i/>
        </w:rPr>
        <w:t>daném roce je</w:t>
      </w:r>
      <w:r w:rsidR="005A127A" w:rsidRPr="000C19A9">
        <w:rPr>
          <w:i/>
        </w:rPr>
        <w:t xml:space="preserve"> </w:t>
      </w:r>
      <w:r>
        <w:rPr>
          <w:i/>
        </w:rPr>
        <w:t>z </w:t>
      </w:r>
      <w:r w:rsidR="005A127A" w:rsidRPr="000C19A9">
        <w:rPr>
          <w:i/>
        </w:rPr>
        <w:t>vodnéh</w:t>
      </w:r>
      <w:r>
        <w:rPr>
          <w:i/>
        </w:rPr>
        <w:t>o </w:t>
      </w:r>
      <w:r w:rsidR="005A127A" w:rsidRPr="000C19A9">
        <w:rPr>
          <w:i/>
        </w:rPr>
        <w:t>a</w:t>
      </w:r>
      <w:r w:rsidR="005A127A">
        <w:rPr>
          <w:i/>
        </w:rPr>
        <w:t> </w:t>
      </w:r>
      <w:r w:rsidR="005A127A" w:rsidRPr="000C19A9">
        <w:rPr>
          <w:i/>
        </w:rPr>
        <w:t>stočnéh</w:t>
      </w:r>
      <w:r>
        <w:rPr>
          <w:i/>
        </w:rPr>
        <w:t>o </w:t>
      </w:r>
      <w:r w:rsidR="005A127A">
        <w:rPr>
          <w:i/>
        </w:rPr>
        <w:t>zabezpečen</w:t>
      </w:r>
      <w:r>
        <w:rPr>
          <w:i/>
        </w:rPr>
        <w:t>o </w:t>
      </w:r>
      <w:r w:rsidR="005A127A" w:rsidRPr="000C19A9">
        <w:rPr>
          <w:i/>
        </w:rPr>
        <w:t>pokrytí souvisejících nákladů a</w:t>
      </w:r>
      <w:r w:rsidR="005A127A">
        <w:rPr>
          <w:i/>
        </w:rPr>
        <w:t> </w:t>
      </w:r>
      <w:r w:rsidR="005A127A" w:rsidRPr="000C19A9">
        <w:rPr>
          <w:i/>
        </w:rPr>
        <w:t>minimální teoretické výše prostředků obnovy VIM. Možnost dosažení hodnoty OKF vyšší neb</w:t>
      </w:r>
      <w:r>
        <w:rPr>
          <w:i/>
        </w:rPr>
        <w:t>o </w:t>
      </w:r>
      <w:r w:rsidR="005A127A" w:rsidRPr="000C19A9">
        <w:rPr>
          <w:i/>
        </w:rPr>
        <w:t>rovné 1</w:t>
      </w:r>
      <w:r w:rsidR="005A127A">
        <w:rPr>
          <w:i/>
        </w:rPr>
        <w:t> </w:t>
      </w:r>
      <w:r w:rsidR="005A127A" w:rsidRPr="000C19A9">
        <w:rPr>
          <w:i/>
        </w:rPr>
        <w:t>je ovlivně</w:t>
      </w:r>
      <w:r>
        <w:rPr>
          <w:i/>
        </w:rPr>
        <w:t>na </w:t>
      </w:r>
      <w:r w:rsidR="005A127A" w:rsidRPr="000C19A9">
        <w:rPr>
          <w:i/>
        </w:rPr>
        <w:t xml:space="preserve">stupněm atomizace trhu, tendencí vlastníků </w:t>
      </w:r>
      <w:r>
        <w:rPr>
          <w:i/>
        </w:rPr>
        <w:t>k </w:t>
      </w:r>
      <w:r w:rsidR="005A127A" w:rsidRPr="000C19A9">
        <w:rPr>
          <w:i/>
        </w:rPr>
        <w:t>dotování ceny, vysokými jednotkovými ÚVN překračujícími úroveň sociálně únosné ceny. Podle výsledků analý</w:t>
      </w:r>
      <w:r>
        <w:rPr>
          <w:i/>
        </w:rPr>
        <w:t>z </w:t>
      </w:r>
      <w:r w:rsidR="005A127A" w:rsidRPr="000C19A9">
        <w:rPr>
          <w:i/>
        </w:rPr>
        <w:t xml:space="preserve">byla hodnota OKF nižší </w:t>
      </w:r>
      <w:r>
        <w:rPr>
          <w:i/>
        </w:rPr>
        <w:t>než </w:t>
      </w:r>
      <w:r w:rsidR="005A127A" w:rsidRPr="000C19A9">
        <w:rPr>
          <w:i/>
        </w:rPr>
        <w:t>1</w:t>
      </w:r>
      <w:r w:rsidR="005A127A">
        <w:rPr>
          <w:i/>
        </w:rPr>
        <w:t> </w:t>
      </w:r>
      <w:r w:rsidR="005A127A" w:rsidRPr="000C19A9">
        <w:rPr>
          <w:i/>
        </w:rPr>
        <w:t>spočte</w:t>
      </w:r>
      <w:r>
        <w:rPr>
          <w:i/>
        </w:rPr>
        <w:t>na</w:t>
      </w:r>
      <w:r w:rsidR="00DE53F8">
        <w:rPr>
          <w:i/>
        </w:rPr>
        <w:t xml:space="preserve"> u </w:t>
      </w:r>
      <w:r w:rsidR="005A127A" w:rsidRPr="000C19A9">
        <w:rPr>
          <w:i/>
        </w:rPr>
        <w:t>Porovnání představujících 13% podíl trhu výroby a</w:t>
      </w:r>
      <w:r w:rsidR="005A127A">
        <w:rPr>
          <w:i/>
        </w:rPr>
        <w:t> </w:t>
      </w:r>
      <w:r w:rsidR="005A127A" w:rsidRPr="000C19A9">
        <w:rPr>
          <w:i/>
        </w:rPr>
        <w:t>dodávky pitné vody a</w:t>
      </w:r>
      <w:r w:rsidR="005A127A">
        <w:rPr>
          <w:i/>
        </w:rPr>
        <w:t> </w:t>
      </w:r>
      <w:r w:rsidR="005A127A" w:rsidRPr="000C19A9">
        <w:rPr>
          <w:i/>
        </w:rPr>
        <w:t>20% podíl trhu odvádění a</w:t>
      </w:r>
      <w:r w:rsidR="005A127A">
        <w:rPr>
          <w:i/>
        </w:rPr>
        <w:t> </w:t>
      </w:r>
      <w:r w:rsidR="005A127A" w:rsidRPr="000C19A9">
        <w:rPr>
          <w:i/>
        </w:rPr>
        <w:t>čištění odpadních a</w:t>
      </w:r>
      <w:r w:rsidR="005A127A">
        <w:rPr>
          <w:i/>
        </w:rPr>
        <w:t> </w:t>
      </w:r>
      <w:r w:rsidR="005A127A" w:rsidRPr="000C19A9">
        <w:rPr>
          <w:i/>
        </w:rPr>
        <w:t>srážkových vod (stanovenéh</w:t>
      </w:r>
      <w:r>
        <w:rPr>
          <w:i/>
        </w:rPr>
        <w:t>o </w:t>
      </w:r>
      <w:r w:rsidR="005A127A" w:rsidRPr="000C19A9">
        <w:rPr>
          <w:i/>
        </w:rPr>
        <w:t xml:space="preserve">podle objemu fakturované vody). OKF menší </w:t>
      </w:r>
      <w:r>
        <w:rPr>
          <w:i/>
        </w:rPr>
        <w:t>než </w:t>
      </w:r>
      <w:r w:rsidR="005A127A" w:rsidRPr="000C19A9">
        <w:rPr>
          <w:i/>
        </w:rPr>
        <w:t>1</w:t>
      </w:r>
      <w:r w:rsidR="005A127A">
        <w:rPr>
          <w:i/>
        </w:rPr>
        <w:t> </w:t>
      </w:r>
      <w:r w:rsidR="005A127A" w:rsidRPr="000C19A9">
        <w:rPr>
          <w:i/>
        </w:rPr>
        <w:t>byl spočten</w:t>
      </w:r>
      <w:r w:rsidR="00DE53F8">
        <w:rPr>
          <w:i/>
        </w:rPr>
        <w:t xml:space="preserve"> u </w:t>
      </w:r>
      <w:r w:rsidR="005A127A" w:rsidRPr="000C19A9">
        <w:rPr>
          <w:i/>
        </w:rPr>
        <w:t>Porovnání pou</w:t>
      </w:r>
      <w:r>
        <w:rPr>
          <w:i/>
        </w:rPr>
        <w:t>ze ve </w:t>
      </w:r>
      <w:r w:rsidR="005A127A" w:rsidRPr="000C19A9">
        <w:rPr>
          <w:i/>
        </w:rPr>
        <w:t xml:space="preserve">skupinách provozovatelů, kteří poskytují služby méně </w:t>
      </w:r>
      <w:r>
        <w:rPr>
          <w:i/>
        </w:rPr>
        <w:t>než </w:t>
      </w:r>
      <w:r w:rsidR="005A127A" w:rsidRPr="000C19A9">
        <w:rPr>
          <w:i/>
        </w:rPr>
        <w:t>200</w:t>
      </w:r>
      <w:r w:rsidR="005A127A">
        <w:rPr>
          <w:i/>
        </w:rPr>
        <w:t> tis. </w:t>
      </w:r>
      <w:r w:rsidR="005A127A" w:rsidRPr="000C19A9">
        <w:rPr>
          <w:i/>
        </w:rPr>
        <w:t xml:space="preserve">zásobených, resp. připojených obyvatel. Jedná se </w:t>
      </w:r>
      <w:r>
        <w:rPr>
          <w:i/>
        </w:rPr>
        <w:t>o </w:t>
      </w:r>
      <w:r w:rsidR="005A127A" w:rsidRPr="000C19A9">
        <w:rPr>
          <w:i/>
        </w:rPr>
        <w:t xml:space="preserve">více </w:t>
      </w:r>
      <w:r>
        <w:rPr>
          <w:i/>
        </w:rPr>
        <w:t>než </w:t>
      </w:r>
      <w:r w:rsidR="005A127A" w:rsidRPr="000C19A9">
        <w:rPr>
          <w:i/>
        </w:rPr>
        <w:t>80</w:t>
      </w:r>
      <w:r w:rsidR="005A127A">
        <w:rPr>
          <w:i/>
        </w:rPr>
        <w:t> </w:t>
      </w:r>
      <w:r w:rsidR="005A127A" w:rsidRPr="000C19A9">
        <w:rPr>
          <w:i/>
        </w:rPr>
        <w:t xml:space="preserve">% počtu všech analyzovaných Porovnání. Regulátor by se měl </w:t>
      </w:r>
      <w:r>
        <w:rPr>
          <w:i/>
        </w:rPr>
        <w:t>v </w:t>
      </w:r>
      <w:r w:rsidR="005A127A" w:rsidRPr="000C19A9">
        <w:rPr>
          <w:i/>
        </w:rPr>
        <w:t xml:space="preserve">zájmu plnění dlouhodobých záměrů </w:t>
      </w:r>
      <w:r>
        <w:rPr>
          <w:i/>
        </w:rPr>
        <w:t>v </w:t>
      </w:r>
      <w:r w:rsidR="005A127A" w:rsidRPr="000C19A9">
        <w:rPr>
          <w:i/>
        </w:rPr>
        <w:t>konečném důsledku zabývat řešením atomizace trhu a</w:t>
      </w:r>
      <w:r w:rsidR="005A127A">
        <w:rPr>
          <w:i/>
        </w:rPr>
        <w:t> </w:t>
      </w:r>
      <w:r w:rsidR="005A127A" w:rsidRPr="000C19A9">
        <w:rPr>
          <w:i/>
        </w:rPr>
        <w:t xml:space="preserve">problematikou nalezení odpovídající (požadované) hodnoty </w:t>
      </w:r>
      <w:r w:rsidR="005A127A">
        <w:rPr>
          <w:i/>
        </w:rPr>
        <w:t>OKF</w:t>
      </w:r>
      <w:r w:rsidR="005A127A" w:rsidRPr="000C19A9">
        <w:rPr>
          <w:i/>
        </w:rPr>
        <w:t>, a</w:t>
      </w:r>
      <w:r w:rsidR="005A127A">
        <w:rPr>
          <w:i/>
        </w:rPr>
        <w:t> </w:t>
      </w:r>
      <w:r w:rsidR="005A127A" w:rsidRPr="000C19A9">
        <w:rPr>
          <w:i/>
        </w:rPr>
        <w:t>t</w:t>
      </w:r>
      <w:r>
        <w:rPr>
          <w:i/>
        </w:rPr>
        <w:t>o </w:t>
      </w:r>
      <w:r w:rsidR="005A127A" w:rsidRPr="000C19A9">
        <w:rPr>
          <w:i/>
        </w:rPr>
        <w:t>s</w:t>
      </w:r>
      <w:r w:rsidR="005A127A">
        <w:rPr>
          <w:i/>
        </w:rPr>
        <w:t> </w:t>
      </w:r>
      <w:r w:rsidR="005A127A" w:rsidRPr="000C19A9">
        <w:rPr>
          <w:i/>
        </w:rPr>
        <w:t xml:space="preserve">přihlédnutím </w:t>
      </w:r>
      <w:r>
        <w:rPr>
          <w:i/>
        </w:rPr>
        <w:t>k </w:t>
      </w:r>
      <w:r w:rsidR="005A127A" w:rsidRPr="000C19A9">
        <w:rPr>
          <w:i/>
        </w:rPr>
        <w:t xml:space="preserve">potřebné výši prostředků obnovy, zachování sociální únosnosti stanovené ceny </w:t>
      </w:r>
      <w:r>
        <w:rPr>
          <w:i/>
        </w:rPr>
        <w:t>pro </w:t>
      </w:r>
      <w:r w:rsidR="005A127A" w:rsidRPr="000C19A9">
        <w:rPr>
          <w:i/>
        </w:rPr>
        <w:t>vodné a</w:t>
      </w:r>
      <w:r w:rsidR="005A127A">
        <w:rPr>
          <w:i/>
        </w:rPr>
        <w:t> </w:t>
      </w:r>
      <w:r w:rsidR="005A127A" w:rsidRPr="000C19A9">
        <w:rPr>
          <w:i/>
        </w:rPr>
        <w:t>stočné a</w:t>
      </w:r>
      <w:r w:rsidR="005A127A">
        <w:rPr>
          <w:i/>
        </w:rPr>
        <w:t> </w:t>
      </w:r>
      <w:r w:rsidR="005A127A" w:rsidRPr="000C19A9">
        <w:rPr>
          <w:i/>
        </w:rPr>
        <w:t xml:space="preserve">také </w:t>
      </w:r>
      <w:r>
        <w:rPr>
          <w:i/>
        </w:rPr>
        <w:t>k </w:t>
      </w:r>
      <w:r w:rsidR="005A127A" w:rsidRPr="000C19A9">
        <w:rPr>
          <w:i/>
        </w:rPr>
        <w:t xml:space="preserve">odpovídající hodnotě podílu zisku </w:t>
      </w:r>
      <w:r>
        <w:rPr>
          <w:i/>
        </w:rPr>
        <w:t>k </w:t>
      </w:r>
      <w:r w:rsidR="005A127A" w:rsidRPr="000C19A9">
        <w:rPr>
          <w:i/>
        </w:rPr>
        <w:t>rozdělení</w:t>
      </w:r>
      <w:r w:rsidR="005A127A">
        <w:rPr>
          <w:i/>
        </w:rPr>
        <w:t xml:space="preserve"> </w:t>
      </w:r>
      <w:r>
        <w:rPr>
          <w:i/>
        </w:rPr>
        <w:t>na </w:t>
      </w:r>
      <w:r w:rsidR="005A127A" w:rsidRPr="000C19A9">
        <w:rPr>
          <w:i/>
        </w:rPr>
        <w:t xml:space="preserve">úplných vlastních nákladech. Základním předpokladem </w:t>
      </w:r>
      <w:r>
        <w:rPr>
          <w:i/>
        </w:rPr>
        <w:t>pro </w:t>
      </w:r>
      <w:r w:rsidR="005A127A" w:rsidRPr="000C19A9">
        <w:rPr>
          <w:i/>
        </w:rPr>
        <w:t>efektivní rozhodování regulátora a</w:t>
      </w:r>
      <w:r w:rsidR="005A127A">
        <w:rPr>
          <w:i/>
        </w:rPr>
        <w:t> </w:t>
      </w:r>
      <w:r w:rsidR="005A127A" w:rsidRPr="000C19A9">
        <w:rPr>
          <w:i/>
        </w:rPr>
        <w:t>přijetí účinných opatření je vykazování veškerý</w:t>
      </w:r>
      <w:r w:rsidR="005A127A">
        <w:rPr>
          <w:i/>
        </w:rPr>
        <w:t>ch</w:t>
      </w:r>
      <w:r w:rsidR="005A127A" w:rsidRPr="000C19A9">
        <w:rPr>
          <w:i/>
        </w:rPr>
        <w:t xml:space="preserve"> souvisejících ekonomicky oprávněných nákladů </w:t>
      </w:r>
      <w:r>
        <w:rPr>
          <w:i/>
        </w:rPr>
        <w:t>v </w:t>
      </w:r>
      <w:r w:rsidR="005A127A" w:rsidRPr="000C19A9">
        <w:rPr>
          <w:i/>
        </w:rPr>
        <w:t xml:space="preserve">plné výši </w:t>
      </w:r>
      <w:r>
        <w:rPr>
          <w:i/>
        </w:rPr>
        <w:t>v </w:t>
      </w:r>
      <w:r w:rsidR="005A127A" w:rsidRPr="000C19A9">
        <w:rPr>
          <w:i/>
        </w:rPr>
        <w:t>příslušných hlášeních zasílaných</w:t>
      </w:r>
      <w:r w:rsidR="005A127A">
        <w:rPr>
          <w:i/>
        </w:rPr>
        <w:t xml:space="preserve"> </w:t>
      </w:r>
      <w:r>
        <w:rPr>
          <w:i/>
        </w:rPr>
        <w:t>na </w:t>
      </w:r>
      <w:r w:rsidR="005A127A" w:rsidRPr="000C19A9">
        <w:rPr>
          <w:i/>
        </w:rPr>
        <w:t xml:space="preserve">MZe. </w:t>
      </w:r>
    </w:p>
    <w:p w14:paraId="57B4BB45" w14:textId="1031AF2A" w:rsidR="005A127A" w:rsidRPr="000C19A9" w:rsidRDefault="005A127A" w:rsidP="005A127A">
      <w:pPr>
        <w:pStyle w:val="normlntextvodstavcch"/>
        <w:rPr>
          <w:i/>
        </w:rPr>
      </w:pPr>
      <w:r>
        <w:rPr>
          <w:i/>
        </w:rPr>
        <w:t>Vysoký stupeň</w:t>
      </w:r>
      <w:r w:rsidRPr="000C19A9">
        <w:rPr>
          <w:i/>
        </w:rPr>
        <w:t xml:space="preserve"> atomizace trhu, který sebou nese čast</w:t>
      </w:r>
      <w:r w:rsidR="00962A95">
        <w:rPr>
          <w:i/>
        </w:rPr>
        <w:t>o </w:t>
      </w:r>
      <w:r w:rsidRPr="000C19A9">
        <w:rPr>
          <w:i/>
        </w:rPr>
        <w:t>i</w:t>
      </w:r>
      <w:r>
        <w:rPr>
          <w:i/>
        </w:rPr>
        <w:t> </w:t>
      </w:r>
      <w:r w:rsidRPr="000C19A9">
        <w:rPr>
          <w:i/>
        </w:rPr>
        <w:t>nízkou profesionální úroveň zabezpečování provozovatelských služeb, se projevuje i</w:t>
      </w:r>
      <w:r>
        <w:rPr>
          <w:i/>
        </w:rPr>
        <w:t> </w:t>
      </w:r>
      <w:r w:rsidRPr="000C19A9">
        <w:rPr>
          <w:i/>
        </w:rPr>
        <w:t>nedostatečnou úrovní procesu snižování hodnoty nefakturované vody a</w:t>
      </w:r>
      <w:r>
        <w:rPr>
          <w:i/>
        </w:rPr>
        <w:t> </w:t>
      </w:r>
      <w:r w:rsidRPr="000C19A9">
        <w:rPr>
          <w:i/>
        </w:rPr>
        <w:t xml:space="preserve">ztrát vody. </w:t>
      </w:r>
      <w:r w:rsidR="00962A95">
        <w:rPr>
          <w:i/>
        </w:rPr>
        <w:t>O </w:t>
      </w:r>
      <w:r w:rsidRPr="000C19A9">
        <w:rPr>
          <w:i/>
        </w:rPr>
        <w:t>tét</w:t>
      </w:r>
      <w:r w:rsidR="00962A95">
        <w:rPr>
          <w:i/>
        </w:rPr>
        <w:t>o </w:t>
      </w:r>
      <w:r w:rsidRPr="000C19A9">
        <w:rPr>
          <w:i/>
        </w:rPr>
        <w:t>skutečnosti vypovídá fakt, že</w:t>
      </w:r>
      <w:r w:rsidR="00DE53F8">
        <w:rPr>
          <w:i/>
        </w:rPr>
        <w:t xml:space="preserve"> u </w:t>
      </w:r>
      <w:r w:rsidRPr="000C19A9">
        <w:rPr>
          <w:i/>
        </w:rPr>
        <w:t>368</w:t>
      </w:r>
      <w:r>
        <w:rPr>
          <w:i/>
        </w:rPr>
        <w:t> </w:t>
      </w:r>
      <w:r w:rsidRPr="000C19A9">
        <w:rPr>
          <w:i/>
        </w:rPr>
        <w:t xml:space="preserve">Porovnání nebyly </w:t>
      </w:r>
      <w:r w:rsidR="00962A95">
        <w:rPr>
          <w:i/>
        </w:rPr>
        <w:t>v </w:t>
      </w:r>
      <w:r w:rsidRPr="000C19A9">
        <w:rPr>
          <w:i/>
        </w:rPr>
        <w:t>souvisejících VÚPE vykázány ztráty pitné vody. Regulátor by se měl tout</w:t>
      </w:r>
      <w:r w:rsidR="00962A95">
        <w:rPr>
          <w:i/>
        </w:rPr>
        <w:t>o </w:t>
      </w:r>
      <w:r w:rsidRPr="000C19A9">
        <w:rPr>
          <w:i/>
        </w:rPr>
        <w:t>problematikou cíleně zabývat. Řízení výše nefakturované vody a</w:t>
      </w:r>
      <w:r>
        <w:rPr>
          <w:i/>
        </w:rPr>
        <w:t> </w:t>
      </w:r>
      <w:r w:rsidRPr="000C19A9">
        <w:rPr>
          <w:i/>
        </w:rPr>
        <w:t>ztrát je významným nástrojem zlepšování kvality poskytovaných služeb s</w:t>
      </w:r>
      <w:r>
        <w:rPr>
          <w:i/>
        </w:rPr>
        <w:t> </w:t>
      </w:r>
      <w:r w:rsidRPr="000C19A9">
        <w:rPr>
          <w:i/>
        </w:rPr>
        <w:t>přímým vlivem</w:t>
      </w:r>
      <w:r>
        <w:rPr>
          <w:i/>
        </w:rPr>
        <w:t xml:space="preserve"> </w:t>
      </w:r>
      <w:r w:rsidR="00962A95">
        <w:rPr>
          <w:i/>
        </w:rPr>
        <w:t>na </w:t>
      </w:r>
      <w:r w:rsidRPr="000C19A9">
        <w:rPr>
          <w:i/>
        </w:rPr>
        <w:t>sta</w:t>
      </w:r>
      <w:r w:rsidR="00962A95">
        <w:rPr>
          <w:i/>
        </w:rPr>
        <w:t>v </w:t>
      </w:r>
      <w:r w:rsidRPr="000C19A9">
        <w:rPr>
          <w:i/>
        </w:rPr>
        <w:t>VIM. Snižování hodnoty nefakturované vody a</w:t>
      </w:r>
      <w:r>
        <w:rPr>
          <w:i/>
        </w:rPr>
        <w:t> </w:t>
      </w:r>
      <w:r w:rsidRPr="000C19A9">
        <w:rPr>
          <w:i/>
        </w:rPr>
        <w:t>ztrát vody vede</w:t>
      </w:r>
      <w:r w:rsidR="00BD5FF3">
        <w:rPr>
          <w:i/>
        </w:rPr>
        <w:t xml:space="preserve"> ke </w:t>
      </w:r>
      <w:r w:rsidRPr="000C19A9">
        <w:rPr>
          <w:i/>
        </w:rPr>
        <w:t xml:space="preserve">snižování zátěže vodních zdrojů </w:t>
      </w:r>
      <w:r w:rsidRPr="000C19A9">
        <w:rPr>
          <w:i/>
        </w:rPr>
        <w:lastRenderedPageBreak/>
        <w:t>(zejmé</w:t>
      </w:r>
      <w:r w:rsidR="00962A95">
        <w:rPr>
          <w:i/>
        </w:rPr>
        <w:t>na v </w:t>
      </w:r>
      <w:r w:rsidRPr="000C19A9">
        <w:rPr>
          <w:i/>
        </w:rPr>
        <w:t>období sucha),</w:t>
      </w:r>
      <w:r w:rsidR="00BD5FF3">
        <w:rPr>
          <w:i/>
        </w:rPr>
        <w:t xml:space="preserve"> ke </w:t>
      </w:r>
      <w:r w:rsidRPr="000C19A9">
        <w:rPr>
          <w:i/>
        </w:rPr>
        <w:t>zlepšování služeb a</w:t>
      </w:r>
      <w:r>
        <w:rPr>
          <w:i/>
        </w:rPr>
        <w:t> </w:t>
      </w:r>
      <w:r w:rsidR="00962A95">
        <w:rPr>
          <w:i/>
        </w:rPr>
        <w:t>k </w:t>
      </w:r>
      <w:r w:rsidRPr="000C19A9">
        <w:rPr>
          <w:i/>
        </w:rPr>
        <w:t xml:space="preserve">systematické péči </w:t>
      </w:r>
      <w:r w:rsidR="00962A95">
        <w:rPr>
          <w:i/>
        </w:rPr>
        <w:t>o </w:t>
      </w:r>
      <w:r w:rsidRPr="000C19A9">
        <w:rPr>
          <w:i/>
        </w:rPr>
        <w:t>VIM a</w:t>
      </w:r>
      <w:r>
        <w:rPr>
          <w:i/>
        </w:rPr>
        <w:t> </w:t>
      </w:r>
      <w:r w:rsidRPr="000C19A9">
        <w:rPr>
          <w:i/>
        </w:rPr>
        <w:t>tím i</w:t>
      </w:r>
      <w:r>
        <w:rPr>
          <w:i/>
        </w:rPr>
        <w:t> </w:t>
      </w:r>
      <w:r w:rsidR="00962A95">
        <w:rPr>
          <w:i/>
        </w:rPr>
        <w:t>k </w:t>
      </w:r>
      <w:r w:rsidRPr="000C19A9">
        <w:rPr>
          <w:i/>
        </w:rPr>
        <w:t>prodloužení její životnosti. Druhou stránkou tot</w:t>
      </w:r>
      <w:r w:rsidR="00962A95">
        <w:rPr>
          <w:i/>
        </w:rPr>
        <w:t>o </w:t>
      </w:r>
      <w:r w:rsidRPr="000C19A9">
        <w:rPr>
          <w:i/>
        </w:rPr>
        <w:t>procesu je jeh</w:t>
      </w:r>
      <w:r w:rsidR="00962A95">
        <w:rPr>
          <w:i/>
        </w:rPr>
        <w:t>o </w:t>
      </w:r>
      <w:r w:rsidRPr="000C19A9">
        <w:rPr>
          <w:i/>
        </w:rPr>
        <w:t>ekonomická náročnost. Náklady</w:t>
      </w:r>
      <w:r>
        <w:rPr>
          <w:i/>
        </w:rPr>
        <w:t xml:space="preserve"> </w:t>
      </w:r>
      <w:r w:rsidR="00962A95">
        <w:rPr>
          <w:i/>
        </w:rPr>
        <w:t>na </w:t>
      </w:r>
      <w:r w:rsidRPr="000C19A9">
        <w:rPr>
          <w:i/>
        </w:rPr>
        <w:t>odebranou vodu se sice snižují, ale čast</w:t>
      </w:r>
      <w:r w:rsidR="00962A95">
        <w:rPr>
          <w:i/>
        </w:rPr>
        <w:t>o za </w:t>
      </w:r>
      <w:r w:rsidRPr="000C19A9">
        <w:rPr>
          <w:i/>
        </w:rPr>
        <w:t>cenu vyvolaných investičních výdajů neb</w:t>
      </w:r>
      <w:r w:rsidR="00962A95">
        <w:rPr>
          <w:i/>
        </w:rPr>
        <w:t>o </w:t>
      </w:r>
      <w:r w:rsidRPr="000C19A9">
        <w:rPr>
          <w:i/>
        </w:rPr>
        <w:t>nákladů</w:t>
      </w:r>
      <w:r>
        <w:rPr>
          <w:i/>
        </w:rPr>
        <w:t xml:space="preserve"> </w:t>
      </w:r>
      <w:r w:rsidR="00962A95">
        <w:rPr>
          <w:i/>
        </w:rPr>
        <w:t>na </w:t>
      </w:r>
      <w:r w:rsidRPr="000C19A9">
        <w:rPr>
          <w:i/>
        </w:rPr>
        <w:t>opravy a</w:t>
      </w:r>
      <w:r>
        <w:rPr>
          <w:i/>
        </w:rPr>
        <w:t> </w:t>
      </w:r>
      <w:r w:rsidRPr="000C19A9">
        <w:rPr>
          <w:i/>
        </w:rPr>
        <w:t>údržbu VIM. Prot</w:t>
      </w:r>
      <w:r w:rsidR="00962A95">
        <w:rPr>
          <w:i/>
        </w:rPr>
        <w:t>o </w:t>
      </w:r>
      <w:r w:rsidRPr="000C19A9">
        <w:rPr>
          <w:i/>
        </w:rPr>
        <w:t>by se regulace měla zabývat možností stanovení hraničníh</w:t>
      </w:r>
      <w:r w:rsidR="00962A95">
        <w:rPr>
          <w:i/>
        </w:rPr>
        <w:t>o </w:t>
      </w:r>
      <w:r w:rsidRPr="000C19A9">
        <w:rPr>
          <w:i/>
        </w:rPr>
        <w:t>množství nefakturované pitné vody, případně jejích ztrát, které již signalizuje neuspokojivý sta</w:t>
      </w:r>
      <w:r w:rsidR="00962A95">
        <w:rPr>
          <w:i/>
        </w:rPr>
        <w:t>v </w:t>
      </w:r>
      <w:r w:rsidRPr="000C19A9">
        <w:rPr>
          <w:i/>
        </w:rPr>
        <w:t>VIM. Tímt</w:t>
      </w:r>
      <w:r w:rsidR="00962A95">
        <w:rPr>
          <w:i/>
        </w:rPr>
        <w:t>o </w:t>
      </w:r>
      <w:r w:rsidRPr="000C19A9">
        <w:rPr>
          <w:i/>
        </w:rPr>
        <w:t>způsobem by regulátor vytvořil tla</w:t>
      </w:r>
      <w:r w:rsidR="00962A95">
        <w:rPr>
          <w:i/>
        </w:rPr>
        <w:t>k na </w:t>
      </w:r>
      <w:r w:rsidRPr="000C19A9">
        <w:rPr>
          <w:i/>
        </w:rPr>
        <w:t>realizaci pravidelné údržby a</w:t>
      </w:r>
      <w:r>
        <w:rPr>
          <w:i/>
        </w:rPr>
        <w:t> </w:t>
      </w:r>
      <w:r w:rsidRPr="000C19A9">
        <w:rPr>
          <w:i/>
        </w:rPr>
        <w:t>plánovaných opra</w:t>
      </w:r>
      <w:r w:rsidR="00962A95">
        <w:rPr>
          <w:i/>
        </w:rPr>
        <w:t>v </w:t>
      </w:r>
      <w:r w:rsidRPr="000C19A9">
        <w:rPr>
          <w:i/>
        </w:rPr>
        <w:t>provozovanéh</w:t>
      </w:r>
      <w:r w:rsidR="00962A95">
        <w:rPr>
          <w:i/>
        </w:rPr>
        <w:t>o </w:t>
      </w:r>
      <w:r w:rsidRPr="000C19A9">
        <w:rPr>
          <w:i/>
        </w:rPr>
        <w:t>VIM i</w:t>
      </w:r>
      <w:r w:rsidR="00DE53F8">
        <w:rPr>
          <w:i/>
        </w:rPr>
        <w:t xml:space="preserve"> u </w:t>
      </w:r>
      <w:r w:rsidRPr="000C19A9">
        <w:rPr>
          <w:i/>
        </w:rPr>
        <w:t>těch provozovatelů, kteří je dosud opomíjeli.</w:t>
      </w:r>
    </w:p>
    <w:p w14:paraId="0482A653" w14:textId="77777777" w:rsidR="000E44C0" w:rsidRDefault="005A127A" w:rsidP="005A127A">
      <w:pPr>
        <w:pStyle w:val="normlntextvodstavcch"/>
        <w:rPr>
          <w:i/>
        </w:rPr>
      </w:pPr>
      <w:r w:rsidRPr="000C19A9">
        <w:rPr>
          <w:i/>
        </w:rPr>
        <w:t xml:space="preserve">Dalším dlouhodobým předpokladem </w:t>
      </w:r>
      <w:r w:rsidR="00962A95">
        <w:rPr>
          <w:i/>
        </w:rPr>
        <w:t>pro </w:t>
      </w:r>
      <w:r w:rsidRPr="000C19A9">
        <w:rPr>
          <w:i/>
        </w:rPr>
        <w:t>zlepšování regulace sektoru je komunikace se zpracovateli jednotlivých hlášení s</w:t>
      </w:r>
      <w:r>
        <w:rPr>
          <w:i/>
        </w:rPr>
        <w:t> </w:t>
      </w:r>
      <w:r w:rsidRPr="000C19A9">
        <w:rPr>
          <w:i/>
        </w:rPr>
        <w:t xml:space="preserve">cílem vyjasnění obsahové náplně některých vykazovaných údajů. </w:t>
      </w:r>
      <w:r w:rsidR="00962A95">
        <w:rPr>
          <w:i/>
        </w:rPr>
        <w:t>Pro </w:t>
      </w:r>
      <w:r w:rsidRPr="000C19A9">
        <w:rPr>
          <w:i/>
        </w:rPr>
        <w:t>zabezpečení informovanosti odběratelů, vlastníků a</w:t>
      </w:r>
      <w:r>
        <w:rPr>
          <w:i/>
        </w:rPr>
        <w:t> </w:t>
      </w:r>
      <w:r w:rsidRPr="000C19A9">
        <w:rPr>
          <w:i/>
        </w:rPr>
        <w:t>provozovatelů bude nadále sloužit webová aplikace</w:t>
      </w:r>
      <w:r w:rsidR="00F115E4">
        <w:rPr>
          <w:i/>
        </w:rPr>
        <w:t>, která p</w:t>
      </w:r>
      <w:r w:rsidRPr="000C19A9">
        <w:rPr>
          <w:i/>
        </w:rPr>
        <w:t xml:space="preserve">oskytuje detailní informace </w:t>
      </w:r>
      <w:r w:rsidR="00962A95">
        <w:rPr>
          <w:i/>
        </w:rPr>
        <w:t>o </w:t>
      </w:r>
      <w:r w:rsidRPr="000C19A9">
        <w:rPr>
          <w:i/>
        </w:rPr>
        <w:t xml:space="preserve">nákladové struktuře ceny </w:t>
      </w:r>
      <w:r w:rsidR="00962A95">
        <w:rPr>
          <w:i/>
        </w:rPr>
        <w:t>pro </w:t>
      </w:r>
      <w:r w:rsidRPr="000C19A9">
        <w:rPr>
          <w:i/>
        </w:rPr>
        <w:t>vodné a</w:t>
      </w:r>
      <w:r>
        <w:rPr>
          <w:i/>
        </w:rPr>
        <w:t> </w:t>
      </w:r>
      <w:r w:rsidRPr="000C19A9">
        <w:rPr>
          <w:i/>
        </w:rPr>
        <w:t xml:space="preserve">stočné </w:t>
      </w:r>
      <w:r w:rsidR="00962A95">
        <w:rPr>
          <w:i/>
        </w:rPr>
        <w:t>z </w:t>
      </w:r>
      <w:r w:rsidRPr="000C19A9">
        <w:rPr>
          <w:i/>
        </w:rPr>
        <w:t>Porovnání zahrnutých d</w:t>
      </w:r>
      <w:r w:rsidR="00962A95">
        <w:rPr>
          <w:i/>
        </w:rPr>
        <w:t>o </w:t>
      </w:r>
      <w:r w:rsidRPr="000C19A9">
        <w:rPr>
          <w:i/>
        </w:rPr>
        <w:t>benchmarkingu a</w:t>
      </w:r>
      <w:r>
        <w:rPr>
          <w:i/>
        </w:rPr>
        <w:t> </w:t>
      </w:r>
      <w:r w:rsidRPr="000C19A9">
        <w:rPr>
          <w:i/>
        </w:rPr>
        <w:t>s</w:t>
      </w:r>
      <w:r>
        <w:rPr>
          <w:i/>
        </w:rPr>
        <w:t> </w:t>
      </w:r>
      <w:r w:rsidRPr="000C19A9">
        <w:rPr>
          <w:i/>
        </w:rPr>
        <w:t>nimi souvisejících VÚME a</w:t>
      </w:r>
      <w:r>
        <w:rPr>
          <w:i/>
        </w:rPr>
        <w:t> </w:t>
      </w:r>
      <w:r w:rsidRPr="000C19A9">
        <w:rPr>
          <w:i/>
        </w:rPr>
        <w:t>VÚPE. Snahou M</w:t>
      </w:r>
      <w:r w:rsidR="00962A95">
        <w:rPr>
          <w:i/>
        </w:rPr>
        <w:t>Ze </w:t>
      </w:r>
      <w:r w:rsidRPr="000C19A9">
        <w:rPr>
          <w:i/>
        </w:rPr>
        <w:t xml:space="preserve">je, aby </w:t>
      </w:r>
      <w:r w:rsidR="00962A95">
        <w:rPr>
          <w:i/>
        </w:rPr>
        <w:t>v </w:t>
      </w:r>
      <w:r w:rsidRPr="000C19A9">
        <w:rPr>
          <w:i/>
        </w:rPr>
        <w:t xml:space="preserve">budoucnu aplikace poskytovala další prostor </w:t>
      </w:r>
      <w:r w:rsidR="00962A95">
        <w:rPr>
          <w:i/>
        </w:rPr>
        <w:t>pro </w:t>
      </w:r>
      <w:r w:rsidRPr="000C19A9">
        <w:rPr>
          <w:i/>
        </w:rPr>
        <w:t xml:space="preserve">interaktivní zpřístupnění výsledků benchmarkingových projektů </w:t>
      </w:r>
      <w:r w:rsidR="00962A95">
        <w:rPr>
          <w:i/>
        </w:rPr>
        <w:t>pro </w:t>
      </w:r>
      <w:r w:rsidRPr="000C19A9">
        <w:rPr>
          <w:i/>
        </w:rPr>
        <w:t>potřeby vlastníků a</w:t>
      </w:r>
      <w:r>
        <w:rPr>
          <w:i/>
        </w:rPr>
        <w:t> provozovatelů.</w:t>
      </w:r>
    </w:p>
    <w:p w14:paraId="4B812573" w14:textId="63C12A5A" w:rsidR="005A127A" w:rsidRDefault="005A127A" w:rsidP="005A127A">
      <w:pPr>
        <w:pStyle w:val="normlntextvodstavcch"/>
        <w:rPr>
          <w:rFonts w:eastAsia="Times New Roman"/>
          <w:noProof/>
          <w:color w:val="365F91"/>
          <w:sz w:val="32"/>
          <w:szCs w:val="32"/>
        </w:rPr>
      </w:pPr>
      <w:r>
        <w:rPr>
          <w:noProof/>
        </w:rPr>
        <w:br w:type="page"/>
      </w:r>
    </w:p>
    <w:p w14:paraId="34868F62" w14:textId="77777777" w:rsidR="005A127A" w:rsidRDefault="005A127A" w:rsidP="005A127A">
      <w:pPr>
        <w:pStyle w:val="Nadpis1"/>
        <w:rPr>
          <w:rFonts w:asciiTheme="minorHAnsi" w:hAnsiTheme="minorHAnsi"/>
          <w:noProof/>
        </w:rPr>
      </w:pPr>
      <w:bookmarkStart w:id="113" w:name="_Toc963504"/>
      <w:bookmarkStart w:id="114" w:name="_Toc34210419"/>
      <w:r w:rsidRPr="00544989">
        <w:rPr>
          <w:rFonts w:asciiTheme="minorHAnsi" w:hAnsiTheme="minorHAnsi"/>
          <w:noProof/>
        </w:rPr>
        <w:lastRenderedPageBreak/>
        <w:t>Posouzení závěrů a jejich porovnání se záměry regulace</w:t>
      </w:r>
      <w:bookmarkEnd w:id="113"/>
      <w:bookmarkEnd w:id="114"/>
    </w:p>
    <w:p w14:paraId="50E74A23" w14:textId="330CFE1F" w:rsidR="0065291A" w:rsidRDefault="005B6369" w:rsidP="0056678A">
      <w:pPr>
        <w:pStyle w:val="NORMLN0"/>
      </w:pPr>
      <w:r>
        <w:t>I tomt</w:t>
      </w:r>
      <w:r w:rsidR="00962A95">
        <w:t>o </w:t>
      </w:r>
      <w:r>
        <w:t xml:space="preserve">roce dokazují výsledky provedených </w:t>
      </w:r>
      <w:r w:rsidR="009D2DA3">
        <w:t>analý</w:t>
      </w:r>
      <w:r w:rsidR="00962A95">
        <w:t>z </w:t>
      </w:r>
      <w:r w:rsidR="009D2DA3">
        <w:t>problémy</w:t>
      </w:r>
      <w:r>
        <w:t xml:space="preserve">, které byly identifikovány </w:t>
      </w:r>
      <w:r w:rsidR="00962A95">
        <w:t>v </w:t>
      </w:r>
      <w:r>
        <w:t xml:space="preserve">předchozích letech. I když </w:t>
      </w:r>
      <w:r w:rsidR="00F115E4">
        <w:t xml:space="preserve">průměrná </w:t>
      </w:r>
      <w:r>
        <w:t>statistick</w:t>
      </w:r>
      <w:r w:rsidR="00B2454D">
        <w:t>á</w:t>
      </w:r>
      <w:r>
        <w:t xml:space="preserve"> data </w:t>
      </w:r>
      <w:r w:rsidR="00F115E4">
        <w:t>umísťují</w:t>
      </w:r>
      <w:r>
        <w:t xml:space="preserve"> ČR </w:t>
      </w:r>
      <w:r w:rsidR="00962A95">
        <w:t>na </w:t>
      </w:r>
      <w:r>
        <w:t xml:space="preserve">přední příčky </w:t>
      </w:r>
      <w:r w:rsidR="00962A95">
        <w:t>v </w:t>
      </w:r>
      <w:r>
        <w:t>mezinárodním měřítku</w:t>
      </w:r>
      <w:r w:rsidR="00B2454D">
        <w:t xml:space="preserve"> c</w:t>
      </w:r>
      <w:r w:rsidR="00962A95">
        <w:t>o </w:t>
      </w:r>
      <w:r w:rsidR="00B2454D">
        <w:t>d</w:t>
      </w:r>
      <w:r w:rsidR="00962A95">
        <w:t>o </w:t>
      </w:r>
      <w:r>
        <w:t>kvalit</w:t>
      </w:r>
      <w:r w:rsidR="00B2454D">
        <w:t>y</w:t>
      </w:r>
      <w:r>
        <w:t xml:space="preserve"> dodávané vody, kvalit</w:t>
      </w:r>
      <w:r w:rsidR="00B2454D">
        <w:t>y</w:t>
      </w:r>
      <w:r w:rsidR="0065291A">
        <w:t xml:space="preserve"> čištění</w:t>
      </w:r>
      <w:r w:rsidR="00B2454D">
        <w:t>,</w:t>
      </w:r>
      <w:r w:rsidR="0065291A">
        <w:t xml:space="preserve"> </w:t>
      </w:r>
      <w:r w:rsidR="00B2454D">
        <w:t xml:space="preserve">nepřetržité </w:t>
      </w:r>
      <w:r w:rsidR="0065291A">
        <w:t>dostupnost</w:t>
      </w:r>
      <w:r w:rsidR="00B2454D">
        <w:t>i</w:t>
      </w:r>
      <w:r w:rsidR="0065291A">
        <w:t xml:space="preserve"> pitné vody</w:t>
      </w:r>
      <w:r w:rsidR="00B2454D">
        <w:t>,</w:t>
      </w:r>
      <w:r>
        <w:t xml:space="preserve"> napojenost</w:t>
      </w:r>
      <w:r w:rsidR="00B2454D">
        <w:t>i</w:t>
      </w:r>
      <w:r>
        <w:t xml:space="preserve"> obyvatel </w:t>
      </w:r>
      <w:r w:rsidR="00962A95">
        <w:t>na </w:t>
      </w:r>
      <w:r>
        <w:t xml:space="preserve">veřejný vodovod a veřejnou </w:t>
      </w:r>
      <w:r w:rsidR="00C82065">
        <w:t>kanalizaci</w:t>
      </w:r>
      <w:r>
        <w:t>, benchmarking realizovaný podle metodiky M</w:t>
      </w:r>
      <w:r w:rsidR="00962A95">
        <w:t>Ze </w:t>
      </w:r>
      <w:r w:rsidR="00C82065">
        <w:t xml:space="preserve">upozorňuje opakovaně </w:t>
      </w:r>
      <w:r w:rsidR="00962A95">
        <w:t>na </w:t>
      </w:r>
      <w:r w:rsidR="00C82065">
        <w:t xml:space="preserve">nedostatky, které </w:t>
      </w:r>
      <w:r w:rsidR="00B2454D">
        <w:t xml:space="preserve">se </w:t>
      </w:r>
      <w:r w:rsidR="00962A95">
        <w:t>v </w:t>
      </w:r>
      <w:r w:rsidR="00C82065">
        <w:t xml:space="preserve">případě jejich neřešení </w:t>
      </w:r>
      <w:r w:rsidR="00962A95">
        <w:t>v </w:t>
      </w:r>
      <w:r w:rsidR="00C82065">
        <w:t xml:space="preserve">dlouhodobém horizontu budou </w:t>
      </w:r>
      <w:r w:rsidR="0065291A">
        <w:t>stále častěji</w:t>
      </w:r>
      <w:r w:rsidR="00C82065">
        <w:t xml:space="preserve"> projevovat </w:t>
      </w:r>
      <w:r w:rsidR="00962A95">
        <w:t>na </w:t>
      </w:r>
      <w:r w:rsidR="00C82065">
        <w:t>klesající kvalitě služeb</w:t>
      </w:r>
      <w:r w:rsidR="00B2454D">
        <w:t>.</w:t>
      </w:r>
      <w:r w:rsidR="00C82065">
        <w:t xml:space="preserve"> </w:t>
      </w:r>
    </w:p>
    <w:p w14:paraId="5413F469" w14:textId="1C72C2A8" w:rsidR="006D47B0" w:rsidRDefault="0065291A" w:rsidP="0056678A">
      <w:pPr>
        <w:pStyle w:val="NORMLN0"/>
      </w:pPr>
      <w:r w:rsidRPr="0065291A">
        <w:t xml:space="preserve">Hlavním </w:t>
      </w:r>
      <w:r w:rsidR="00BD5FF3">
        <w:t>nedostatkem uspořádá</w:t>
      </w:r>
      <w:r>
        <w:t xml:space="preserve">ní trhu, který se průřezově projevuje </w:t>
      </w:r>
      <w:r w:rsidR="00962A95">
        <w:t>ve </w:t>
      </w:r>
      <w:r>
        <w:t xml:space="preserve">všech procesech </w:t>
      </w:r>
      <w:r w:rsidR="00D2516A">
        <w:t>souvisejících se sektorem Va</w:t>
      </w:r>
      <w:r w:rsidR="00962A95">
        <w:t>K </w:t>
      </w:r>
      <w:r>
        <w:t xml:space="preserve">a </w:t>
      </w:r>
      <w:r w:rsidR="00962A95">
        <w:t>při </w:t>
      </w:r>
      <w:r>
        <w:t>poskytování služeb občanům</w:t>
      </w:r>
      <w:r w:rsidR="006D47B0">
        <w:t>,</w:t>
      </w:r>
      <w:r>
        <w:t xml:space="preserve"> je </w:t>
      </w:r>
      <w:r>
        <w:rPr>
          <w:b/>
        </w:rPr>
        <w:t xml:space="preserve">vysoký stupeň atomizace trhu. </w:t>
      </w:r>
      <w:r>
        <w:t xml:space="preserve">Ten </w:t>
      </w:r>
      <w:r w:rsidR="00962A95">
        <w:t>v </w:t>
      </w:r>
      <w:r>
        <w:t xml:space="preserve">kombinaci s rozličnou úrovní péče </w:t>
      </w:r>
      <w:r w:rsidR="00962A95">
        <w:t>o </w:t>
      </w:r>
      <w:r w:rsidR="00D6432C">
        <w:t>VIM</w:t>
      </w:r>
      <w:r>
        <w:t xml:space="preserve"> a rozmanitostí vyskytujících se obchodních modelů l</w:t>
      </w:r>
      <w:r w:rsidR="00962A95">
        <w:t>ze z </w:t>
      </w:r>
      <w:r>
        <w:t xml:space="preserve">pohledu regulátora považovat </w:t>
      </w:r>
      <w:r w:rsidR="00962A95">
        <w:t>za </w:t>
      </w:r>
      <w:r>
        <w:t xml:space="preserve">největší </w:t>
      </w:r>
      <w:r w:rsidR="009B4D12">
        <w:t xml:space="preserve">slabou stránku </w:t>
      </w:r>
      <w:r>
        <w:t xml:space="preserve">sektoru. </w:t>
      </w:r>
      <w:r w:rsidR="00F115E4">
        <w:t>Ta</w:t>
      </w:r>
      <w:r w:rsidR="009B4D12">
        <w:t xml:space="preserve"> </w:t>
      </w:r>
      <w:r>
        <w:t xml:space="preserve">se bude </w:t>
      </w:r>
      <w:r w:rsidR="00962A95">
        <w:t>v </w:t>
      </w:r>
      <w:r>
        <w:t>blízké budoucnosti kombinovat s</w:t>
      </w:r>
      <w:r w:rsidR="009B4D12">
        <w:t xml:space="preserve"> narůstajícím vlivem </w:t>
      </w:r>
      <w:r w:rsidRPr="0056678A">
        <w:rPr>
          <w:b/>
        </w:rPr>
        <w:t>klimatických změn</w:t>
      </w:r>
      <w:r w:rsidR="006D47B0">
        <w:t>, což sebou přinese nutnost</w:t>
      </w:r>
      <w:r>
        <w:t xml:space="preserve"> změn</w:t>
      </w:r>
      <w:r w:rsidR="006D47B0">
        <w:t>y</w:t>
      </w:r>
      <w:r>
        <w:t xml:space="preserve"> chování všech účastníků trhu</w:t>
      </w:r>
      <w:r w:rsidR="006D47B0">
        <w:t xml:space="preserve"> a nutnost </w:t>
      </w:r>
      <w:r w:rsidR="00D6432C">
        <w:t>koordi</w:t>
      </w:r>
      <w:r w:rsidR="006D47B0">
        <w:t xml:space="preserve">nace mezioborových opatření </w:t>
      </w:r>
      <w:r w:rsidR="00962A95">
        <w:t>v </w:t>
      </w:r>
      <w:r w:rsidR="006D47B0">
        <w:t>zájmu dosažení pozitivníh</w:t>
      </w:r>
      <w:r w:rsidR="00962A95">
        <w:t>o </w:t>
      </w:r>
      <w:r w:rsidR="006D47B0">
        <w:t>synergickéh</w:t>
      </w:r>
      <w:r w:rsidR="00962A95">
        <w:t>o </w:t>
      </w:r>
      <w:r w:rsidR="006D47B0">
        <w:t xml:space="preserve">efektu </w:t>
      </w:r>
      <w:r w:rsidR="00962A95">
        <w:t>v </w:t>
      </w:r>
      <w:r w:rsidR="006D47B0">
        <w:t xml:space="preserve">boji </w:t>
      </w:r>
      <w:r w:rsidR="00496E59">
        <w:t xml:space="preserve">s klimatickými změnami a jejich dopady, </w:t>
      </w:r>
      <w:r w:rsidR="006D47B0">
        <w:t>zejmé</w:t>
      </w:r>
      <w:r w:rsidR="00962A95">
        <w:t>na </w:t>
      </w:r>
      <w:r w:rsidR="006D47B0">
        <w:t>se suchem.</w:t>
      </w:r>
      <w:r w:rsidR="00371EFB">
        <w:t xml:space="preserve"> </w:t>
      </w:r>
    </w:p>
    <w:p w14:paraId="7CE33154" w14:textId="4A7F1AAB" w:rsidR="00D61E1C" w:rsidRDefault="00D6432C" w:rsidP="0056678A">
      <w:pPr>
        <w:pStyle w:val="NORMLN0"/>
      </w:pPr>
      <w:r>
        <w:t xml:space="preserve">Nejvýznamnějším </w:t>
      </w:r>
      <w:r w:rsidR="009B4D12">
        <w:t xml:space="preserve">rizikem </w:t>
      </w:r>
      <w:r w:rsidR="00504569">
        <w:t xml:space="preserve">výše zmíněných </w:t>
      </w:r>
      <w:r w:rsidR="002C6ADF">
        <w:t>skutečností je</w:t>
      </w:r>
      <w:r w:rsidR="007D493B">
        <w:t xml:space="preserve"> limitace</w:t>
      </w:r>
      <w:r w:rsidR="00D2516A">
        <w:t xml:space="preserve"> výkonu sektoru</w:t>
      </w:r>
      <w:r w:rsidR="006E3901">
        <w:t>,</w:t>
      </w:r>
      <w:r w:rsidR="00D2516A">
        <w:t xml:space="preserve"> a t</w:t>
      </w:r>
      <w:r w:rsidR="00962A95">
        <w:t>o v </w:t>
      </w:r>
      <w:r w:rsidR="00D2516A">
        <w:t xml:space="preserve">úrovni kvality služeb (zastaralá </w:t>
      </w:r>
      <w:r>
        <w:t>VIM</w:t>
      </w:r>
      <w:r w:rsidR="006E3901">
        <w:t>,</w:t>
      </w:r>
      <w:r w:rsidR="006E3901" w:rsidRPr="006E3901">
        <w:t xml:space="preserve"> </w:t>
      </w:r>
      <w:r w:rsidR="006E3901">
        <w:t>snížení úrovně kvalitativních parametrů vody)</w:t>
      </w:r>
      <w:r w:rsidR="00D2516A">
        <w:t xml:space="preserve"> </w:t>
      </w:r>
      <w:r>
        <w:t>i</w:t>
      </w:r>
      <w:r w:rsidR="00D2516A">
        <w:t xml:space="preserve"> kvantity </w:t>
      </w:r>
      <w:r w:rsidR="006E3901">
        <w:t xml:space="preserve">služeb </w:t>
      </w:r>
      <w:r>
        <w:t>(nedostate</w:t>
      </w:r>
      <w:r w:rsidR="00962A95">
        <w:t>k </w:t>
      </w:r>
      <w:r w:rsidR="006E3901">
        <w:t xml:space="preserve">zdrojů pitné </w:t>
      </w:r>
      <w:r>
        <w:t>vody</w:t>
      </w:r>
      <w:r w:rsidR="006E3901">
        <w:t>)</w:t>
      </w:r>
      <w:r w:rsidR="00D2516A">
        <w:t xml:space="preserve">. </w:t>
      </w:r>
      <w:r w:rsidR="00962A95">
        <w:t>Z </w:t>
      </w:r>
      <w:r w:rsidR="00D2516A">
        <w:t>časovéh</w:t>
      </w:r>
      <w:r w:rsidR="00962A95">
        <w:t>o </w:t>
      </w:r>
      <w:r w:rsidR="00D2516A">
        <w:t xml:space="preserve">hlediska se </w:t>
      </w:r>
      <w:r w:rsidR="009B4D12">
        <w:t xml:space="preserve">bude </w:t>
      </w:r>
      <w:r w:rsidR="00D2516A">
        <w:t>vli</w:t>
      </w:r>
      <w:r w:rsidR="00962A95">
        <w:t>v </w:t>
      </w:r>
      <w:r w:rsidR="009B4D12">
        <w:t xml:space="preserve">atomizace trhu i klimatických změn </w:t>
      </w:r>
      <w:r w:rsidR="00D2516A">
        <w:t>nejdří</w:t>
      </w:r>
      <w:r w:rsidR="00962A95">
        <w:t>ve </w:t>
      </w:r>
      <w:r w:rsidR="00D2516A">
        <w:t xml:space="preserve">projevovat </w:t>
      </w:r>
      <w:r w:rsidR="00962A95">
        <w:t>v </w:t>
      </w:r>
      <w:r w:rsidR="00D2516A">
        <w:t>méně osídlených oblastech, tj.</w:t>
      </w:r>
      <w:r w:rsidR="00BD5FF3">
        <w:t> </w:t>
      </w:r>
      <w:r w:rsidR="00DE53F8">
        <w:t>u </w:t>
      </w:r>
      <w:r w:rsidR="00D2516A">
        <w:t>menších vlastníků infrastruktury. Důvodem není je</w:t>
      </w:r>
      <w:r>
        <w:t>n</w:t>
      </w:r>
      <w:r w:rsidR="00D2516A">
        <w:t xml:space="preserve"> </w:t>
      </w:r>
      <w:r w:rsidR="002C6ADF">
        <w:t xml:space="preserve">v těchto oblastech nízká napojenost obyvatel na veřejné vodovody a kanalizace a </w:t>
      </w:r>
      <w:r w:rsidR="00D2516A">
        <w:t xml:space="preserve">neustálá podkapitalizace </w:t>
      </w:r>
      <w:r>
        <w:t>VIM</w:t>
      </w:r>
      <w:r w:rsidR="00D2516A">
        <w:t xml:space="preserve">, ale i </w:t>
      </w:r>
      <w:r>
        <w:t xml:space="preserve">nízká odborná úroveň provozování VIM a péče </w:t>
      </w:r>
      <w:r w:rsidR="00962A95">
        <w:t>o </w:t>
      </w:r>
      <w:r>
        <w:t>ni.</w:t>
      </w:r>
    </w:p>
    <w:p w14:paraId="32E85FBF" w14:textId="7503F70F" w:rsidR="00D2516A" w:rsidRDefault="00D2516A" w:rsidP="00D6432C">
      <w:pPr>
        <w:ind w:firstLine="360"/>
      </w:pPr>
      <w:r>
        <w:t>Tent</w:t>
      </w:r>
      <w:r w:rsidR="00962A95">
        <w:t>o </w:t>
      </w:r>
      <w:r>
        <w:t>závěr potvrzují výsledky benchmarkingu vlastnických subjektů</w:t>
      </w:r>
      <w:r w:rsidR="009B4D12">
        <w:t xml:space="preserve"> a </w:t>
      </w:r>
      <w:r>
        <w:t xml:space="preserve">zjištění kontrol prováděných oddělením </w:t>
      </w:r>
      <w:r w:rsidR="006E3901">
        <w:t>Stížností, kontrol a regulace.</w:t>
      </w:r>
      <w:r w:rsidR="00BA716E">
        <w:t xml:space="preserve"> Tat</w:t>
      </w:r>
      <w:r w:rsidR="00962A95">
        <w:t>o </w:t>
      </w:r>
      <w:r w:rsidR="00BA716E">
        <w:t>zjištění jsou každý ro</w:t>
      </w:r>
      <w:r w:rsidR="00962A95">
        <w:t>k </w:t>
      </w:r>
      <w:r>
        <w:t>uved</w:t>
      </w:r>
      <w:r w:rsidR="00BA716E">
        <w:t>e</w:t>
      </w:r>
      <w:r w:rsidR="00962A95">
        <w:t>na ve </w:t>
      </w:r>
      <w:r w:rsidR="00E806E9">
        <w:t>z</w:t>
      </w:r>
      <w:r>
        <w:t xml:space="preserve">právě </w:t>
      </w:r>
      <w:r w:rsidR="00962A95">
        <w:t>o </w:t>
      </w:r>
      <w:r w:rsidR="00E806E9">
        <w:t>výkonu kontrolní činnosti</w:t>
      </w:r>
      <w:r>
        <w:t>.</w:t>
      </w:r>
      <w:r w:rsidR="00371EFB">
        <w:t xml:space="preserve"> </w:t>
      </w:r>
      <w:r w:rsidRPr="0049675C">
        <w:rPr>
          <w:b/>
        </w:rPr>
        <w:t>Nedostatečn</w:t>
      </w:r>
      <w:r w:rsidR="00BA716E">
        <w:rPr>
          <w:b/>
        </w:rPr>
        <w:t>á</w:t>
      </w:r>
      <w:r w:rsidRPr="0049675C">
        <w:rPr>
          <w:b/>
        </w:rPr>
        <w:t xml:space="preserve"> tvorb</w:t>
      </w:r>
      <w:r w:rsidR="00BA716E">
        <w:rPr>
          <w:b/>
        </w:rPr>
        <w:t>a</w:t>
      </w:r>
      <w:r w:rsidRPr="0049675C">
        <w:rPr>
          <w:b/>
        </w:rPr>
        <w:t xml:space="preserve"> prostředků </w:t>
      </w:r>
      <w:r w:rsidR="00962A95">
        <w:rPr>
          <w:b/>
        </w:rPr>
        <w:t>na </w:t>
      </w:r>
      <w:r w:rsidRPr="0049675C">
        <w:rPr>
          <w:b/>
        </w:rPr>
        <w:t>obnovu</w:t>
      </w:r>
      <w:r>
        <w:t xml:space="preserve"> </w:t>
      </w:r>
      <w:r w:rsidR="00BA716E">
        <w:t>byla posuzová</w:t>
      </w:r>
      <w:r w:rsidR="00962A95">
        <w:t>na ve </w:t>
      </w:r>
      <w:r w:rsidR="00BA716E">
        <w:t xml:space="preserve">všech dosavadních </w:t>
      </w:r>
      <w:r w:rsidR="00371EFB">
        <w:t>projektech Benchmarkingu vlastnických subjektů.</w:t>
      </w:r>
      <w:r w:rsidR="0049675C">
        <w:t xml:space="preserve"> </w:t>
      </w:r>
      <w:r w:rsidR="0049675C" w:rsidRPr="0049675C">
        <w:rPr>
          <w:b/>
        </w:rPr>
        <w:t xml:space="preserve">4 mld. Kč </w:t>
      </w:r>
      <w:r w:rsidR="0049675C">
        <w:t>– toli</w:t>
      </w:r>
      <w:r w:rsidR="00962A95">
        <w:t>k </w:t>
      </w:r>
      <w:r w:rsidR="00371EFB">
        <w:t xml:space="preserve">minimálních </w:t>
      </w:r>
      <w:r w:rsidR="0049675C">
        <w:t xml:space="preserve">prostředků </w:t>
      </w:r>
      <w:r w:rsidR="00962A95">
        <w:t>na </w:t>
      </w:r>
      <w:r w:rsidR="0049675C">
        <w:t xml:space="preserve">obnovu </w:t>
      </w:r>
      <w:r w:rsidR="0049675C" w:rsidRPr="00FD15E1">
        <w:rPr>
          <w:i/>
        </w:rPr>
        <w:t>nebyl</w:t>
      </w:r>
      <w:r w:rsidR="00962A95">
        <w:rPr>
          <w:i/>
        </w:rPr>
        <w:t>o </w:t>
      </w:r>
      <w:r w:rsidR="00371EFB" w:rsidRPr="00FD15E1">
        <w:rPr>
          <w:i/>
        </w:rPr>
        <w:t xml:space="preserve">vlastníky </w:t>
      </w:r>
      <w:r w:rsidR="00371EFB">
        <w:rPr>
          <w:i/>
        </w:rPr>
        <w:t xml:space="preserve">VIM </w:t>
      </w:r>
      <w:r w:rsidR="00962A95">
        <w:rPr>
          <w:i/>
        </w:rPr>
        <w:t>v </w:t>
      </w:r>
      <w:r w:rsidR="0049675C" w:rsidRPr="00FD15E1">
        <w:rPr>
          <w:i/>
        </w:rPr>
        <w:t>průběhu let 2016 až 2018 vytvořen</w:t>
      </w:r>
      <w:r w:rsidR="00962A95">
        <w:rPr>
          <w:i/>
        </w:rPr>
        <w:t>o ve </w:t>
      </w:r>
      <w:r w:rsidR="00371EFB">
        <w:rPr>
          <w:i/>
        </w:rPr>
        <w:t>vodném a stočném (vi</w:t>
      </w:r>
      <w:r w:rsidR="00962A95">
        <w:rPr>
          <w:i/>
        </w:rPr>
        <w:t>z </w:t>
      </w:r>
      <w:r w:rsidR="00371EFB">
        <w:rPr>
          <w:i/>
        </w:rPr>
        <w:t>níže uvedené tabulk</w:t>
      </w:r>
      <w:r w:rsidR="009B4D12">
        <w:rPr>
          <w:i/>
        </w:rPr>
        <w:t>y</w:t>
      </w:r>
      <w:r w:rsidR="00371EFB">
        <w:t>).</w:t>
      </w:r>
    </w:p>
    <w:p w14:paraId="17AE0286" w14:textId="77777777" w:rsidR="00D61E1C" w:rsidRDefault="00D61E1C" w:rsidP="00D2516A">
      <w:pPr>
        <w:ind w:firstLine="360"/>
      </w:pPr>
    </w:p>
    <w:p w14:paraId="09A383E2" w14:textId="77777777" w:rsidR="00FD15E1" w:rsidRDefault="00FD15E1" w:rsidP="00D2516A">
      <w:pPr>
        <w:ind w:firstLine="360"/>
      </w:pPr>
    </w:p>
    <w:tbl>
      <w:tblPr>
        <w:tblW w:w="6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024"/>
        <w:gridCol w:w="1024"/>
        <w:gridCol w:w="960"/>
      </w:tblGrid>
      <w:tr w:rsidR="00FD15E1" w:rsidRPr="00FD15E1" w14:paraId="7DB0D6E1" w14:textId="77777777" w:rsidTr="00D61E1C">
        <w:trPr>
          <w:trHeight w:val="600"/>
          <w:jc w:val="center"/>
        </w:trPr>
        <w:tc>
          <w:tcPr>
            <w:tcW w:w="326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6107273A" w14:textId="068F683E" w:rsidR="00FD15E1" w:rsidRPr="00FD15E1" w:rsidRDefault="00FD15E1" w:rsidP="00FD15E1">
            <w:pPr>
              <w:spacing w:before="0" w:after="0"/>
              <w:contextualSpacing w:val="0"/>
              <w:jc w:val="left"/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CHYBĚJÍCÍ</w:t>
            </w:r>
            <w:r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 xml:space="preserve"> PROSTŘEDKY OBNOVY </w:t>
            </w:r>
            <w:r w:rsidR="00962A95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V </w:t>
            </w:r>
            <w:r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 xml:space="preserve">MIL. KČ / </w:t>
            </w:r>
            <w:r w:rsidRPr="00FD15E1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ROK</w:t>
            </w:r>
          </w:p>
        </w:tc>
        <w:tc>
          <w:tcPr>
            <w:tcW w:w="102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6A78C9C3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2016</w:t>
            </w:r>
          </w:p>
        </w:tc>
        <w:tc>
          <w:tcPr>
            <w:tcW w:w="102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36E13B0C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2017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79A302D6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/>
                <w:bCs/>
                <w:color w:val="FFFFFF"/>
                <w:sz w:val="22"/>
                <w:lang w:eastAsia="cs-CZ"/>
              </w:rPr>
              <w:t>2018</w:t>
            </w:r>
          </w:p>
        </w:tc>
      </w:tr>
      <w:tr w:rsidR="00FD15E1" w:rsidRPr="00FD15E1" w14:paraId="7489CBF4" w14:textId="77777777" w:rsidTr="00D61E1C">
        <w:trPr>
          <w:trHeight w:val="300"/>
          <w:jc w:val="center"/>
        </w:trPr>
        <w:tc>
          <w:tcPr>
            <w:tcW w:w="32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bottom"/>
            <w:hideMark/>
          </w:tcPr>
          <w:p w14:paraId="043081C9" w14:textId="58A94D79" w:rsidR="00FD15E1" w:rsidRPr="00FD15E1" w:rsidRDefault="003F6F10" w:rsidP="00FD15E1">
            <w:pPr>
              <w:spacing w:before="0" w:after="0"/>
              <w:contextualSpacing w:val="0"/>
              <w:jc w:val="left"/>
              <w:rPr>
                <w:rFonts w:eastAsia="Times New Roman" w:cs="Calibri"/>
                <w:bCs/>
                <w:color w:val="833C0C"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color w:val="833C0C"/>
                <w:sz w:val="22"/>
                <w:lang w:eastAsia="cs-CZ"/>
              </w:rPr>
              <w:t>PITNÁ VODA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53EF9BDD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456,46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2A3B4EB2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460,21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E699" w:fill="FFE699"/>
            <w:noWrap/>
            <w:vAlign w:val="center"/>
            <w:hideMark/>
          </w:tcPr>
          <w:p w14:paraId="4046BB3C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532,36</w:t>
            </w:r>
          </w:p>
        </w:tc>
      </w:tr>
      <w:tr w:rsidR="00FD15E1" w:rsidRPr="00FD15E1" w14:paraId="6C3B6C77" w14:textId="77777777" w:rsidTr="00D61E1C">
        <w:trPr>
          <w:trHeight w:val="300"/>
          <w:jc w:val="center"/>
        </w:trPr>
        <w:tc>
          <w:tcPr>
            <w:tcW w:w="326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FFF2CC" w:fill="FFF2CC"/>
            <w:noWrap/>
            <w:vAlign w:val="bottom"/>
            <w:hideMark/>
          </w:tcPr>
          <w:p w14:paraId="656243B4" w14:textId="17E61A88" w:rsidR="00FD15E1" w:rsidRPr="00FD15E1" w:rsidRDefault="003F6F10" w:rsidP="00FD15E1">
            <w:pPr>
              <w:spacing w:before="0" w:after="0"/>
              <w:contextualSpacing w:val="0"/>
              <w:jc w:val="left"/>
              <w:rPr>
                <w:rFonts w:eastAsia="Times New Roman" w:cs="Calibri"/>
                <w:bCs/>
                <w:color w:val="833C0C"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color w:val="833C0C"/>
                <w:sz w:val="22"/>
                <w:lang w:eastAsia="cs-CZ"/>
              </w:rPr>
              <w:t>ODPADNÍ VODA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5CC382C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758,85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693930E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808,21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FFF2CC" w:fill="FFF2CC"/>
            <w:noWrap/>
            <w:vAlign w:val="center"/>
            <w:hideMark/>
          </w:tcPr>
          <w:p w14:paraId="667D33DC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1 045,56</w:t>
            </w:r>
          </w:p>
        </w:tc>
      </w:tr>
      <w:tr w:rsidR="00FD15E1" w:rsidRPr="00FD15E1" w14:paraId="61616221" w14:textId="77777777" w:rsidTr="00852A84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bottom"/>
            <w:hideMark/>
          </w:tcPr>
          <w:p w14:paraId="3EBD0080" w14:textId="01E8D5AF" w:rsidR="00FD15E1" w:rsidRPr="00FD15E1" w:rsidRDefault="00FD15E1" w:rsidP="00FD15E1">
            <w:pPr>
              <w:spacing w:before="0" w:after="0"/>
              <w:contextualSpacing w:val="0"/>
              <w:jc w:val="left"/>
              <w:rPr>
                <w:rFonts w:eastAsia="Times New Roman" w:cs="Calibri"/>
                <w:bCs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Cs/>
                <w:color w:val="833C0C"/>
                <w:sz w:val="22"/>
                <w:lang w:eastAsia="cs-CZ"/>
              </w:rPr>
              <w:t>CELKEM/RO</w:t>
            </w:r>
            <w:r w:rsidR="00962A95">
              <w:rPr>
                <w:rFonts w:eastAsia="Times New Roman" w:cs="Calibri"/>
                <w:bCs/>
                <w:color w:val="833C0C"/>
                <w:sz w:val="22"/>
                <w:lang w:eastAsia="cs-CZ"/>
              </w:rPr>
              <w:t>K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73C8FE4C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1 215,31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noWrap/>
            <w:vAlign w:val="center"/>
            <w:hideMark/>
          </w:tcPr>
          <w:p w14:paraId="00D0949C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1 268,42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FFE699" w:fill="FFE699"/>
            <w:noWrap/>
            <w:vAlign w:val="center"/>
            <w:hideMark/>
          </w:tcPr>
          <w:p w14:paraId="5CE1E6D5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color w:val="833C0C"/>
                <w:sz w:val="22"/>
                <w:lang w:eastAsia="cs-CZ"/>
              </w:rPr>
              <w:t>1 577,92</w:t>
            </w:r>
          </w:p>
        </w:tc>
      </w:tr>
      <w:tr w:rsidR="00FD15E1" w:rsidRPr="00FD15E1" w14:paraId="71884393" w14:textId="77777777" w:rsidTr="00852A84">
        <w:trPr>
          <w:trHeight w:val="300"/>
          <w:jc w:val="center"/>
        </w:trPr>
        <w:tc>
          <w:tcPr>
            <w:tcW w:w="32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FF2CC" w:fill="FFF2CC"/>
            <w:noWrap/>
            <w:vAlign w:val="bottom"/>
            <w:hideMark/>
          </w:tcPr>
          <w:p w14:paraId="6FFE6EBE" w14:textId="77777777" w:rsidR="00FD15E1" w:rsidRPr="00FD15E1" w:rsidRDefault="00FD15E1" w:rsidP="00FD15E1">
            <w:pPr>
              <w:spacing w:before="0" w:after="0"/>
              <w:contextualSpacing w:val="0"/>
              <w:jc w:val="left"/>
              <w:rPr>
                <w:rFonts w:eastAsia="Times New Roman" w:cs="Calibri"/>
                <w:b/>
                <w:bCs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/>
                <w:bCs/>
                <w:color w:val="833C0C"/>
                <w:sz w:val="22"/>
                <w:lang w:eastAsia="cs-CZ"/>
              </w:rPr>
              <w:t>CELKEM 2016 - 2018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noWrap/>
            <w:vAlign w:val="center"/>
            <w:hideMark/>
          </w:tcPr>
          <w:p w14:paraId="0EEB584D" w14:textId="77777777" w:rsidR="00FD15E1" w:rsidRPr="00FD15E1" w:rsidRDefault="00FD15E1" w:rsidP="00FD15E1">
            <w:pPr>
              <w:spacing w:before="0" w:after="0"/>
              <w:contextualSpacing w:val="0"/>
              <w:jc w:val="left"/>
              <w:rPr>
                <w:rFonts w:eastAsia="Times New Roman" w:cs="Calibri"/>
                <w:b/>
                <w:bCs/>
                <w:color w:val="833C0C"/>
                <w:sz w:val="22"/>
                <w:lang w:eastAsia="cs-CZ"/>
              </w:rPr>
            </w:pP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5A73D63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BEB00BE" w14:textId="77777777" w:rsidR="00FD15E1" w:rsidRPr="00FD15E1" w:rsidRDefault="00FD15E1" w:rsidP="00FD15E1">
            <w:pPr>
              <w:spacing w:before="0" w:after="0"/>
              <w:contextualSpacing w:val="0"/>
              <w:jc w:val="center"/>
              <w:rPr>
                <w:rFonts w:eastAsia="Times New Roman" w:cs="Calibri"/>
                <w:b/>
                <w:bCs/>
                <w:color w:val="833C0C"/>
                <w:sz w:val="22"/>
                <w:lang w:eastAsia="cs-CZ"/>
              </w:rPr>
            </w:pPr>
            <w:r w:rsidRPr="00FD15E1">
              <w:rPr>
                <w:rFonts w:eastAsia="Times New Roman" w:cs="Calibri"/>
                <w:b/>
                <w:bCs/>
                <w:color w:val="833C0C"/>
                <w:sz w:val="22"/>
                <w:lang w:eastAsia="cs-CZ"/>
              </w:rPr>
              <w:t>4 061,65</w:t>
            </w:r>
          </w:p>
        </w:tc>
      </w:tr>
    </w:tbl>
    <w:p w14:paraId="13955458" w14:textId="77777777" w:rsidR="00D61E1C" w:rsidRDefault="00D61E1C" w:rsidP="00D2516A">
      <w:pPr>
        <w:ind w:firstLine="360"/>
      </w:pPr>
    </w:p>
    <w:p w14:paraId="62D163D9" w14:textId="77777777" w:rsidR="00D61E1C" w:rsidRDefault="00D61E1C">
      <w:pPr>
        <w:spacing w:before="0" w:after="160" w:line="259" w:lineRule="auto"/>
        <w:contextualSpacing w:val="0"/>
        <w:jc w:val="left"/>
      </w:pPr>
      <w:r>
        <w:br w:type="page"/>
      </w:r>
    </w:p>
    <w:p w14:paraId="15F0584C" w14:textId="77777777" w:rsidR="00FD15E1" w:rsidRDefault="00FD15E1" w:rsidP="00D2516A">
      <w:pPr>
        <w:ind w:firstLine="360"/>
      </w:pPr>
    </w:p>
    <w:tbl>
      <w:tblPr>
        <w:tblpPr w:leftFromText="141" w:rightFromText="141" w:vertAnchor="text" w:horzAnchor="margin" w:tblpXSpec="center" w:tblpY="133"/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4"/>
        <w:gridCol w:w="850"/>
        <w:gridCol w:w="850"/>
        <w:gridCol w:w="850"/>
        <w:gridCol w:w="1386"/>
      </w:tblGrid>
      <w:tr w:rsidR="00D61E1C" w:rsidRPr="00D61E1C" w14:paraId="7C196B72" w14:textId="77777777" w:rsidTr="001C0012">
        <w:trPr>
          <w:trHeight w:val="297"/>
        </w:trPr>
        <w:tc>
          <w:tcPr>
            <w:tcW w:w="32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407814A1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>NEDOSTATEČNÁ OBNOVA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59BC4718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>2016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FFC000" w:fill="FFC000"/>
            <w:vAlign w:val="center"/>
            <w:hideMark/>
          </w:tcPr>
          <w:p w14:paraId="27003F0F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>2017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12" w:space="0" w:color="FFFFFF"/>
              <w:right w:val="double" w:sz="4" w:space="0" w:color="auto"/>
            </w:tcBorders>
            <w:shd w:val="clear" w:color="FFC000" w:fill="FFC000"/>
            <w:vAlign w:val="center"/>
            <w:hideMark/>
          </w:tcPr>
          <w:p w14:paraId="4F7FE609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>2018</w:t>
            </w:r>
          </w:p>
        </w:tc>
        <w:tc>
          <w:tcPr>
            <w:tcW w:w="1386" w:type="dxa"/>
            <w:tcBorders>
              <w:top w:val="nil"/>
              <w:left w:val="double" w:sz="4" w:space="0" w:color="auto"/>
              <w:bottom w:val="single" w:sz="12" w:space="0" w:color="FFFFFF"/>
              <w:right w:val="nil"/>
            </w:tcBorders>
            <w:shd w:val="clear" w:color="FFC000" w:fill="FFC000"/>
            <w:vAlign w:val="center"/>
            <w:hideMark/>
          </w:tcPr>
          <w:p w14:paraId="78A8BAF6" w14:textId="090FF0C4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 xml:space="preserve">PRŮMĚR </w:t>
            </w:r>
            <w:r w:rsidR="00962A9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>ZA </w:t>
            </w:r>
            <w:r w:rsidRPr="00D61E1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lang w:eastAsia="cs-CZ"/>
              </w:rPr>
              <w:t>2016 - 2018</w:t>
            </w:r>
          </w:p>
        </w:tc>
      </w:tr>
      <w:tr w:rsidR="00D61E1C" w:rsidRPr="00D61E1C" w14:paraId="4A8DD678" w14:textId="77777777" w:rsidTr="001C0012">
        <w:trPr>
          <w:trHeight w:val="156"/>
        </w:trPr>
        <w:tc>
          <w:tcPr>
            <w:tcW w:w="329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63BECD2" w14:textId="517E1DEF" w:rsidR="00D61E1C" w:rsidRPr="00D61E1C" w:rsidRDefault="003F6F10" w:rsidP="00D61E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  <w:t>PITNÁ VODA</w:t>
            </w:r>
            <w:r w:rsidR="00D61E1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  <w:t xml:space="preserve"> </w:t>
            </w:r>
            <w:r w:rsidR="00D61E1C">
              <w:rPr>
                <w:rFonts w:ascii="Calibri Light" w:eastAsia="Times New Roman" w:hAnsi="Calibri Light" w:cs="Calibri Light"/>
                <w:b/>
                <w:color w:val="002060"/>
                <w:sz w:val="20"/>
                <w:lang w:eastAsia="cs-CZ"/>
              </w:rPr>
              <w:t>(</w:t>
            </w:r>
            <w:r w:rsidR="00962A95">
              <w:rPr>
                <w:rFonts w:ascii="Calibri Light" w:eastAsia="Times New Roman" w:hAnsi="Calibri Light" w:cs="Calibri Light"/>
                <w:b/>
                <w:color w:val="002060"/>
                <w:sz w:val="20"/>
                <w:lang w:eastAsia="cs-CZ"/>
              </w:rPr>
              <w:t>V </w:t>
            </w:r>
            <w:r w:rsidR="00D61E1C">
              <w:rPr>
                <w:rFonts w:ascii="Calibri Light" w:eastAsia="Times New Roman" w:hAnsi="Calibri Light" w:cs="Calibri Light"/>
                <w:b/>
                <w:color w:val="002060"/>
                <w:sz w:val="20"/>
                <w:lang w:eastAsia="cs-CZ"/>
              </w:rPr>
              <w:t>MIL. M</w:t>
            </w:r>
            <w:r w:rsidR="00D61E1C" w:rsidRPr="00D61E1C">
              <w:rPr>
                <w:rFonts w:ascii="Calibri Light" w:eastAsia="Times New Roman" w:hAnsi="Calibri Light" w:cs="Calibri Light"/>
                <w:b/>
                <w:color w:val="002060"/>
                <w:sz w:val="20"/>
                <w:vertAlign w:val="superscript"/>
                <w:lang w:eastAsia="cs-CZ"/>
              </w:rPr>
              <w:t>3</w:t>
            </w:r>
            <w:r w:rsidR="00D61E1C">
              <w:rPr>
                <w:rFonts w:ascii="Calibri Light" w:eastAsia="Times New Roman" w:hAnsi="Calibri Light" w:cs="Calibri Light"/>
                <w:b/>
                <w:color w:val="002060"/>
                <w:sz w:val="20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3F93098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55,16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9CA1E3F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52,98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FFE699" w:fill="FFE699"/>
            <w:vAlign w:val="center"/>
            <w:hideMark/>
          </w:tcPr>
          <w:p w14:paraId="19F72770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115,68</w:t>
            </w:r>
          </w:p>
        </w:tc>
        <w:tc>
          <w:tcPr>
            <w:tcW w:w="1386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39B0B147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  <w:t>74,61</w:t>
            </w:r>
          </w:p>
        </w:tc>
      </w:tr>
      <w:tr w:rsidR="00D61E1C" w:rsidRPr="00D61E1C" w14:paraId="59D4DE66" w14:textId="77777777" w:rsidTr="001C0012">
        <w:trPr>
          <w:trHeight w:val="173"/>
        </w:trPr>
        <w:tc>
          <w:tcPr>
            <w:tcW w:w="329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E69A617" w14:textId="5571EBBD" w:rsidR="00D61E1C" w:rsidRPr="00D61E1C" w:rsidRDefault="00D61E1C" w:rsidP="00D61E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206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2060"/>
                <w:sz w:val="20"/>
                <w:lang w:eastAsia="cs-CZ"/>
              </w:rPr>
              <w:t xml:space="preserve">PODÍL </w:t>
            </w:r>
            <w:r w:rsidR="00962A95">
              <w:rPr>
                <w:rFonts w:ascii="Calibri Light" w:eastAsia="Times New Roman" w:hAnsi="Calibri Light" w:cs="Calibri Light"/>
                <w:color w:val="002060"/>
                <w:sz w:val="20"/>
                <w:lang w:eastAsia="cs-CZ"/>
              </w:rPr>
              <w:t>NA </w:t>
            </w:r>
            <w:r w:rsidRPr="00D61E1C">
              <w:rPr>
                <w:rFonts w:ascii="Calibri Light" w:eastAsia="Times New Roman" w:hAnsi="Calibri Light" w:cs="Calibri Light"/>
                <w:color w:val="002060"/>
                <w:sz w:val="20"/>
                <w:lang w:eastAsia="cs-CZ"/>
              </w:rPr>
              <w:t>TRHU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6159ACA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12,34%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5E040CD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11,48%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FFF2CC" w:fill="FFF2CC"/>
            <w:vAlign w:val="center"/>
            <w:hideMark/>
          </w:tcPr>
          <w:p w14:paraId="7722D767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24,24%</w:t>
            </w:r>
          </w:p>
        </w:tc>
        <w:tc>
          <w:tcPr>
            <w:tcW w:w="1386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0EAE8FF2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  <w:t>16,02%</w:t>
            </w:r>
          </w:p>
        </w:tc>
      </w:tr>
      <w:tr w:rsidR="00D61E1C" w:rsidRPr="00D61E1C" w14:paraId="790B134B" w14:textId="77777777" w:rsidTr="001C0012">
        <w:trPr>
          <w:trHeight w:val="315"/>
        </w:trPr>
        <w:tc>
          <w:tcPr>
            <w:tcW w:w="329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5664E4B1" w14:textId="530F1BD5" w:rsidR="00D61E1C" w:rsidRPr="00D61E1C" w:rsidRDefault="00D61E1C" w:rsidP="00D61E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00206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2060"/>
                <w:sz w:val="20"/>
                <w:lang w:eastAsia="cs-CZ"/>
              </w:rPr>
              <w:t>ČETNOST VÝSKYTU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77A63AE1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1 229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3F2DCF1C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1 313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double" w:sz="4" w:space="0" w:color="auto"/>
            </w:tcBorders>
            <w:shd w:val="clear" w:color="FFE699" w:fill="FFE699"/>
            <w:vAlign w:val="center"/>
            <w:hideMark/>
          </w:tcPr>
          <w:p w14:paraId="5B6F4B4C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000000"/>
                <w:sz w:val="20"/>
                <w:lang w:eastAsia="cs-CZ"/>
              </w:rPr>
              <w:t>1 564</w:t>
            </w:r>
          </w:p>
        </w:tc>
        <w:tc>
          <w:tcPr>
            <w:tcW w:w="1386" w:type="dxa"/>
            <w:tcBorders>
              <w:top w:val="single" w:sz="4" w:space="0" w:color="FFFFFF"/>
              <w:left w:val="double" w:sz="4" w:space="0" w:color="auto"/>
              <w:bottom w:val="double" w:sz="6" w:space="0" w:color="auto"/>
              <w:right w:val="nil"/>
            </w:tcBorders>
            <w:shd w:val="clear" w:color="FFE699" w:fill="FFE699"/>
            <w:vAlign w:val="center"/>
            <w:hideMark/>
          </w:tcPr>
          <w:p w14:paraId="57A8928D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lang w:eastAsia="cs-CZ"/>
              </w:rPr>
              <w:t>1 369</w:t>
            </w:r>
          </w:p>
        </w:tc>
      </w:tr>
      <w:tr w:rsidR="00D61E1C" w:rsidRPr="00D61E1C" w14:paraId="0946F817" w14:textId="77777777" w:rsidTr="001C0012">
        <w:trPr>
          <w:trHeight w:val="225"/>
        </w:trPr>
        <w:tc>
          <w:tcPr>
            <w:tcW w:w="329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8F02FEA" w14:textId="7035CA26" w:rsidR="00D61E1C" w:rsidRPr="00D61E1C" w:rsidRDefault="003F6F10" w:rsidP="00D61E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833C0B" w:themeColor="accent2" w:themeShade="80"/>
                <w:sz w:val="20"/>
                <w:lang w:eastAsia="cs-CZ"/>
              </w:rPr>
              <w:t>ODPADNÍ VODA</w:t>
            </w:r>
            <w:r w:rsidR="00D61E1C" w:rsidRPr="00D61E1C">
              <w:rPr>
                <w:rFonts w:ascii="Calibri Light" w:eastAsia="Times New Roman" w:hAnsi="Calibri Light" w:cs="Calibri Light"/>
                <w:b/>
                <w:bCs/>
                <w:color w:val="833C0B" w:themeColor="accent2" w:themeShade="80"/>
                <w:sz w:val="20"/>
                <w:lang w:eastAsia="cs-CZ"/>
              </w:rPr>
              <w:t xml:space="preserve"> </w:t>
            </w:r>
            <w:r w:rsidR="00D61E1C" w:rsidRPr="00D61E1C">
              <w:rPr>
                <w:rFonts w:ascii="Calibri Light" w:eastAsia="Times New Roman" w:hAnsi="Calibri Light" w:cs="Calibri Light"/>
                <w:b/>
                <w:color w:val="833C0B" w:themeColor="accent2" w:themeShade="80"/>
                <w:sz w:val="20"/>
                <w:lang w:eastAsia="cs-CZ"/>
              </w:rPr>
              <w:t>(</w:t>
            </w:r>
            <w:r w:rsidR="00962A95">
              <w:rPr>
                <w:rFonts w:ascii="Calibri Light" w:eastAsia="Times New Roman" w:hAnsi="Calibri Light" w:cs="Calibri Light"/>
                <w:b/>
                <w:color w:val="833C0B" w:themeColor="accent2" w:themeShade="80"/>
                <w:sz w:val="20"/>
                <w:lang w:eastAsia="cs-CZ"/>
              </w:rPr>
              <w:t>V </w:t>
            </w:r>
            <w:r w:rsidR="00D61E1C" w:rsidRPr="00D61E1C">
              <w:rPr>
                <w:rFonts w:ascii="Calibri Light" w:eastAsia="Times New Roman" w:hAnsi="Calibri Light" w:cs="Calibri Light"/>
                <w:b/>
                <w:color w:val="833C0B" w:themeColor="accent2" w:themeShade="80"/>
                <w:sz w:val="20"/>
                <w:lang w:eastAsia="cs-CZ"/>
              </w:rPr>
              <w:t>MIL. M</w:t>
            </w:r>
            <w:r w:rsidR="00D61E1C" w:rsidRPr="00D61E1C">
              <w:rPr>
                <w:rFonts w:ascii="Calibri Light" w:eastAsia="Times New Roman" w:hAnsi="Calibri Light" w:cs="Calibri Light"/>
                <w:b/>
                <w:color w:val="833C0B" w:themeColor="accent2" w:themeShade="80"/>
                <w:sz w:val="20"/>
                <w:vertAlign w:val="superscript"/>
                <w:lang w:eastAsia="cs-CZ"/>
              </w:rPr>
              <w:t>3</w:t>
            </w:r>
            <w:r w:rsidR="00D61E1C" w:rsidRPr="00D61E1C">
              <w:rPr>
                <w:rFonts w:ascii="Calibri Light" w:eastAsia="Times New Roman" w:hAnsi="Calibri Light" w:cs="Calibri Light"/>
                <w:b/>
                <w:color w:val="833C0B" w:themeColor="accent2" w:themeShade="80"/>
                <w:sz w:val="20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16AEDA9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74,51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2E2C5B71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69,65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FFF2CC" w:fill="FFF2CC"/>
            <w:vAlign w:val="center"/>
            <w:hideMark/>
          </w:tcPr>
          <w:p w14:paraId="76BCB904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127</w:t>
            </w:r>
          </w:p>
        </w:tc>
        <w:tc>
          <w:tcPr>
            <w:tcW w:w="1386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4112CCC8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  <w:t>90,39</w:t>
            </w:r>
          </w:p>
        </w:tc>
      </w:tr>
      <w:tr w:rsidR="00D61E1C" w:rsidRPr="00D61E1C" w14:paraId="0C8B219A" w14:textId="77777777" w:rsidTr="001C0012">
        <w:trPr>
          <w:trHeight w:val="204"/>
        </w:trPr>
        <w:tc>
          <w:tcPr>
            <w:tcW w:w="329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2A83F42" w14:textId="1B9EBE66" w:rsidR="00D61E1C" w:rsidRPr="00D61E1C" w:rsidRDefault="00D61E1C" w:rsidP="00D61E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 xml:space="preserve">PODÍL </w:t>
            </w:r>
            <w:r w:rsidR="00962A95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NA </w:t>
            </w: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TRHU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0B8F8399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16,10%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E699" w:fill="FFE699"/>
            <w:vAlign w:val="center"/>
            <w:hideMark/>
          </w:tcPr>
          <w:p w14:paraId="1BB8360A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13,94%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FFE699" w:fill="FFE699"/>
            <w:vAlign w:val="center"/>
            <w:hideMark/>
          </w:tcPr>
          <w:p w14:paraId="04FDE39C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24,65%</w:t>
            </w:r>
          </w:p>
        </w:tc>
        <w:tc>
          <w:tcPr>
            <w:tcW w:w="1386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nil"/>
            </w:tcBorders>
            <w:shd w:val="clear" w:color="FFE699" w:fill="FFE699"/>
            <w:vAlign w:val="center"/>
            <w:hideMark/>
          </w:tcPr>
          <w:p w14:paraId="1B1194EE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  <w:t>18,23%</w:t>
            </w:r>
          </w:p>
        </w:tc>
      </w:tr>
      <w:tr w:rsidR="00D61E1C" w:rsidRPr="00D61E1C" w14:paraId="4701F405" w14:textId="77777777" w:rsidTr="001C0012">
        <w:trPr>
          <w:trHeight w:val="301"/>
        </w:trPr>
        <w:tc>
          <w:tcPr>
            <w:tcW w:w="329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5094D671" w14:textId="77777777" w:rsidR="00D61E1C" w:rsidRPr="00D61E1C" w:rsidRDefault="00D61E1C" w:rsidP="00D61E1C">
            <w:pPr>
              <w:spacing w:before="0" w:after="0"/>
              <w:contextualSpacing w:val="0"/>
              <w:jc w:val="left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ČETNOST VÝSKYTU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78F385CD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1 603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FF2CC" w:fill="FFF2CC"/>
            <w:vAlign w:val="center"/>
            <w:hideMark/>
          </w:tcPr>
          <w:p w14:paraId="3160FC6A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1 716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double" w:sz="4" w:space="0" w:color="auto"/>
            </w:tcBorders>
            <w:shd w:val="clear" w:color="FFF2CC" w:fill="FFF2CC"/>
            <w:vAlign w:val="center"/>
            <w:hideMark/>
          </w:tcPr>
          <w:p w14:paraId="70C03A8F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color w:val="833C0C"/>
                <w:sz w:val="20"/>
                <w:lang w:eastAsia="cs-CZ"/>
              </w:rPr>
              <w:t>2 136</w:t>
            </w:r>
          </w:p>
        </w:tc>
        <w:tc>
          <w:tcPr>
            <w:tcW w:w="1386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nil"/>
            </w:tcBorders>
            <w:shd w:val="clear" w:color="FFF2CC" w:fill="FFF2CC"/>
            <w:vAlign w:val="center"/>
            <w:hideMark/>
          </w:tcPr>
          <w:p w14:paraId="199367CD" w14:textId="77777777" w:rsidR="00D61E1C" w:rsidRPr="00D61E1C" w:rsidRDefault="00D61E1C" w:rsidP="00D61E1C">
            <w:pPr>
              <w:spacing w:before="0" w:after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</w:pPr>
            <w:r w:rsidRPr="00D61E1C">
              <w:rPr>
                <w:rFonts w:ascii="Calibri Light" w:eastAsia="Times New Roman" w:hAnsi="Calibri Light" w:cs="Calibri Light"/>
                <w:b/>
                <w:bCs/>
                <w:color w:val="833C0C"/>
                <w:sz w:val="20"/>
                <w:lang w:eastAsia="cs-CZ"/>
              </w:rPr>
              <w:t>1 818</w:t>
            </w:r>
          </w:p>
        </w:tc>
      </w:tr>
    </w:tbl>
    <w:p w14:paraId="30FB47C6" w14:textId="77777777" w:rsidR="00FD15E1" w:rsidRPr="00FD15E1" w:rsidRDefault="00FD15E1" w:rsidP="00D2516A">
      <w:pPr>
        <w:ind w:firstLine="360"/>
      </w:pPr>
    </w:p>
    <w:p w14:paraId="32FD363F" w14:textId="77777777" w:rsidR="00D2516A" w:rsidRDefault="00D2516A" w:rsidP="0065291A">
      <w:pPr>
        <w:ind w:firstLine="360"/>
      </w:pPr>
    </w:p>
    <w:p w14:paraId="3716D505" w14:textId="77777777" w:rsidR="00D2516A" w:rsidRDefault="00D2516A" w:rsidP="0065291A">
      <w:pPr>
        <w:ind w:firstLine="360"/>
      </w:pPr>
    </w:p>
    <w:p w14:paraId="01F6FB42" w14:textId="77777777" w:rsidR="00D2516A" w:rsidRDefault="00D2516A" w:rsidP="0065291A">
      <w:pPr>
        <w:ind w:firstLine="360"/>
      </w:pPr>
    </w:p>
    <w:p w14:paraId="7B11CFAA" w14:textId="77777777" w:rsidR="00FD15E1" w:rsidRDefault="00FD15E1" w:rsidP="0065291A">
      <w:pPr>
        <w:ind w:firstLine="360"/>
      </w:pPr>
    </w:p>
    <w:p w14:paraId="7558B1E8" w14:textId="77777777" w:rsidR="00FD15E1" w:rsidRDefault="00FD15E1" w:rsidP="0065291A">
      <w:pPr>
        <w:ind w:firstLine="360"/>
      </w:pPr>
    </w:p>
    <w:p w14:paraId="66ADF981" w14:textId="77777777" w:rsidR="00FD15E1" w:rsidRDefault="00FD15E1" w:rsidP="0065291A">
      <w:pPr>
        <w:ind w:firstLine="360"/>
      </w:pPr>
    </w:p>
    <w:p w14:paraId="3B49BD2E" w14:textId="77777777" w:rsidR="00FD15E1" w:rsidRDefault="00FD15E1" w:rsidP="0065291A">
      <w:pPr>
        <w:ind w:firstLine="360"/>
      </w:pPr>
    </w:p>
    <w:p w14:paraId="16EB5618" w14:textId="77777777" w:rsidR="00D61E1C" w:rsidRDefault="00D61E1C" w:rsidP="0065291A">
      <w:pPr>
        <w:ind w:firstLine="360"/>
      </w:pPr>
    </w:p>
    <w:p w14:paraId="24DBC2F0" w14:textId="2DC25F6C" w:rsidR="00E06227" w:rsidRDefault="00F64C3C" w:rsidP="00E7360D">
      <w:pPr>
        <w:pStyle w:val="NORMLN0"/>
      </w:pPr>
      <w:r>
        <w:t>Jak vyplývá z uvedených údajů v předchozí tabulce, nárůst výše chybějících prostředků</w:t>
      </w:r>
      <w:r w:rsidR="00554C15">
        <w:t xml:space="preserve"> na obnovu </w:t>
      </w:r>
      <w:r>
        <w:t xml:space="preserve">byl způsoben zejména nárůstem počtu analyzovaných </w:t>
      </w:r>
      <w:r w:rsidR="00554C15">
        <w:t>P</w:t>
      </w:r>
      <w:r>
        <w:t>orovnání v období 2016 až 2018 o 1</w:t>
      </w:r>
      <w:r w:rsidR="00554C15">
        <w:t> </w:t>
      </w:r>
      <w:r>
        <w:t>035</w:t>
      </w:r>
      <w:r w:rsidR="00554C15">
        <w:t>,</w:t>
      </w:r>
      <w:r>
        <w:t xml:space="preserve"> zejména ve IV. a V. vlastnické skupině (641  a 325 Porovnání)</w:t>
      </w:r>
      <w:r w:rsidR="00E06227">
        <w:t xml:space="preserve">. </w:t>
      </w:r>
      <w:r w:rsidR="00554C15">
        <w:t xml:space="preserve"> </w:t>
      </w:r>
      <w:r w:rsidR="00E06227">
        <w:t>Z hlediska hodnoty infrastrukturního majetku</w:t>
      </w:r>
      <w:r w:rsidR="00C44F32">
        <w:t xml:space="preserve"> (</w:t>
      </w:r>
      <w:r w:rsidR="00554C15">
        <w:t xml:space="preserve">na které přímo závisí i hodnota chybějících prostředků obnovy; </w:t>
      </w:r>
      <w:r w:rsidR="00C44F32">
        <w:t>nárůst o 64,29 mld. Kč; z toho pro pitnou vodu 16,88 mld. Kč a pro odpadní vodu 47,41 mld. Kč</w:t>
      </w:r>
      <w:r w:rsidR="00554C15">
        <w:t>)</w:t>
      </w:r>
      <w:r w:rsidR="00E06227">
        <w:t xml:space="preserve"> měl významný vliv na nárůst hodnoty uvedeného ukazatele zvýšen</w:t>
      </w:r>
      <w:r w:rsidR="00C44F32">
        <w:t>ý</w:t>
      </w:r>
      <w:r w:rsidR="00E06227">
        <w:t xml:space="preserve"> poč</w:t>
      </w:r>
      <w:r w:rsidR="00C44F32">
        <w:t>e</w:t>
      </w:r>
      <w:r w:rsidR="00E06227">
        <w:t xml:space="preserve">t </w:t>
      </w:r>
      <w:r w:rsidR="00C44F32">
        <w:t>P</w:t>
      </w:r>
      <w:r w:rsidR="00E06227">
        <w:t>orovnání s cenou pro odpadní vodu, ve druhé a čtvrté vlastnické skupině (nárůst hodnoty VIM</w:t>
      </w:r>
      <w:r w:rsidR="00554C15">
        <w:t xml:space="preserve"> </w:t>
      </w:r>
      <w:r w:rsidR="00E06227">
        <w:t xml:space="preserve">o </w:t>
      </w:r>
      <w:r w:rsidR="00C44F32">
        <w:t>20,48</w:t>
      </w:r>
      <w:r w:rsidR="00E06227">
        <w:t xml:space="preserve"> </w:t>
      </w:r>
      <w:r w:rsidR="00C44F32">
        <w:t>mld</w:t>
      </w:r>
      <w:r w:rsidR="00E06227">
        <w:t xml:space="preserve">. Kč a </w:t>
      </w:r>
      <w:r w:rsidR="00C44F32">
        <w:t>13,55</w:t>
      </w:r>
      <w:r w:rsidR="00E06227">
        <w:t xml:space="preserve"> </w:t>
      </w:r>
      <w:r w:rsidR="00C44F32">
        <w:t>mld</w:t>
      </w:r>
      <w:r w:rsidR="00E06227">
        <w:t xml:space="preserve">. Kč).  </w:t>
      </w:r>
      <w:r w:rsidR="00C44F32">
        <w:t xml:space="preserve">V následující tabulce je uveden vývoj hodnoty infrastrukturního majetku </w:t>
      </w:r>
      <w:r w:rsidR="00934385">
        <w:t xml:space="preserve">vodovodů a kanalizací </w:t>
      </w:r>
      <w:r w:rsidR="00C44F32">
        <w:t>analyzovaného v jednotlivých letech, včetně vyjádření rozdílů jeho nárůstu mezi roky 2016 až 2018.</w:t>
      </w:r>
    </w:p>
    <w:p w14:paraId="5FD5439A" w14:textId="1510A17E" w:rsidR="00C44F32" w:rsidRDefault="00C44F32" w:rsidP="00E7360D">
      <w:pPr>
        <w:pStyle w:val="NORMLN0"/>
      </w:pPr>
    </w:p>
    <w:tbl>
      <w:tblPr>
        <w:tblStyle w:val="Tmavtabulkasmkou5zvraznn41"/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1938"/>
        <w:gridCol w:w="915"/>
        <w:gridCol w:w="688"/>
        <w:gridCol w:w="690"/>
        <w:gridCol w:w="1151"/>
        <w:gridCol w:w="1542"/>
        <w:gridCol w:w="1103"/>
        <w:gridCol w:w="1350"/>
      </w:tblGrid>
      <w:tr w:rsidR="001F20AC" w:rsidRPr="001F20AC" w14:paraId="6620DAB8" w14:textId="77777777" w:rsidTr="001F2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tcBorders>
              <w:right w:val="single" w:sz="4" w:space="0" w:color="FFFFFF"/>
            </w:tcBorders>
            <w:vAlign w:val="center"/>
            <w:hideMark/>
          </w:tcPr>
          <w:p w14:paraId="109E4774" w14:textId="4FB51309" w:rsidR="00C44F32" w:rsidRPr="001F20AC" w:rsidRDefault="00C44F32" w:rsidP="001F20AC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sz w:val="16"/>
              </w:rPr>
              <w:t>HODNOTA INFRASTRUKTURNÍHO MAJEKTU PODLE VUME ANALYZOVÁNA V LETECH 2016 - 2018 V MLD. KČ</w:t>
            </w:r>
          </w:p>
        </w:tc>
        <w:tc>
          <w:tcPr>
            <w:tcW w:w="488" w:type="pct"/>
            <w:tcBorders>
              <w:left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27D9A6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sz w:val="16"/>
              </w:rPr>
              <w:t>2016</w:t>
            </w:r>
          </w:p>
        </w:tc>
        <w:tc>
          <w:tcPr>
            <w:tcW w:w="367" w:type="pct"/>
            <w:tcBorders>
              <w:left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D58B19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sz w:val="16"/>
              </w:rPr>
              <w:t>2017</w:t>
            </w:r>
          </w:p>
        </w:tc>
        <w:tc>
          <w:tcPr>
            <w:tcW w:w="368" w:type="pct"/>
            <w:tcBorders>
              <w:left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461718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sz w:val="16"/>
              </w:rPr>
              <w:t>2018</w:t>
            </w:r>
          </w:p>
        </w:tc>
        <w:tc>
          <w:tcPr>
            <w:tcW w:w="614" w:type="pct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14:paraId="04F0EBD5" w14:textId="5F2E4725" w:rsidR="00C44F32" w:rsidRPr="001F20AC" w:rsidRDefault="001F20AC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bCs w:val="0"/>
                <w:sz w:val="16"/>
              </w:rPr>
              <w:t>ROZDÍL V HODNOTĚ MAJETKU MEZI ROKY 2016 - 2018</w:t>
            </w:r>
          </w:p>
        </w:tc>
        <w:tc>
          <w:tcPr>
            <w:tcW w:w="822" w:type="pct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14:paraId="29940473" w14:textId="164B4BA5" w:rsidR="00C44F32" w:rsidRPr="001F20AC" w:rsidRDefault="001F20AC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bCs w:val="0"/>
                <w:sz w:val="16"/>
              </w:rPr>
              <w:t xml:space="preserve">NÁRŮST POČTU ANALYZOVANÝCH POROVNÁNÍ </w:t>
            </w:r>
            <w:r w:rsidR="00934385">
              <w:rPr>
                <w:rFonts w:asciiTheme="majorHAnsi" w:eastAsia="Times New Roman" w:hAnsiTheme="majorHAnsi" w:cstheme="majorHAnsi"/>
                <w:b w:val="0"/>
                <w:bCs w:val="0"/>
                <w:sz w:val="16"/>
              </w:rPr>
              <w:br/>
            </w:r>
            <w:r w:rsidRPr="001F20AC">
              <w:rPr>
                <w:rFonts w:asciiTheme="majorHAnsi" w:eastAsia="Times New Roman" w:hAnsiTheme="majorHAnsi" w:cstheme="majorHAnsi"/>
                <w:b w:val="0"/>
                <w:bCs w:val="0"/>
                <w:sz w:val="16"/>
              </w:rPr>
              <w:t>2016 - 2018</w:t>
            </w:r>
          </w:p>
        </w:tc>
        <w:tc>
          <w:tcPr>
            <w:tcW w:w="588" w:type="pct"/>
            <w:tcBorders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14:paraId="2E7B80DA" w14:textId="55F9FD80" w:rsidR="00C44F32" w:rsidRPr="001F20AC" w:rsidRDefault="001F20AC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bCs w:val="0"/>
                <w:sz w:val="16"/>
              </w:rPr>
              <w:t>NÁRŮST HODNOTY MAJETKU 2016 - 2018</w:t>
            </w:r>
          </w:p>
        </w:tc>
        <w:tc>
          <w:tcPr>
            <w:tcW w:w="720" w:type="pct"/>
            <w:tcBorders>
              <w:left w:val="single" w:sz="4" w:space="0" w:color="FFFFFF"/>
            </w:tcBorders>
            <w:vAlign w:val="center"/>
            <w:hideMark/>
          </w:tcPr>
          <w:p w14:paraId="530AF333" w14:textId="69147205" w:rsidR="00C44F32" w:rsidRPr="001F20AC" w:rsidRDefault="001F20AC" w:rsidP="001F20AC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bCs w:val="0"/>
                <w:sz w:val="16"/>
              </w:rPr>
              <w:t>PODÍL NÁRŮSTU HODNOTY VIM V JEDNOTLIVÝCH SKUPINÁCH VLASTNÍKŮ</w:t>
            </w:r>
          </w:p>
        </w:tc>
      </w:tr>
      <w:tr w:rsidR="001F20AC" w:rsidRPr="001F20AC" w14:paraId="5C8B2711" w14:textId="77777777" w:rsidTr="001F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1573B3F7" w14:textId="7EEEA656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  <w:t>I.SKUPINA(&gt;10 000MIL.KČ)</w:t>
            </w:r>
          </w:p>
        </w:tc>
        <w:tc>
          <w:tcPr>
            <w:tcW w:w="488" w:type="pct"/>
            <w:noWrap/>
            <w:hideMark/>
          </w:tcPr>
          <w:p w14:paraId="12CBCC85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279,45</w:t>
            </w:r>
          </w:p>
        </w:tc>
        <w:tc>
          <w:tcPr>
            <w:tcW w:w="367" w:type="pct"/>
            <w:noWrap/>
            <w:hideMark/>
          </w:tcPr>
          <w:p w14:paraId="2F71D03A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288,04</w:t>
            </w:r>
          </w:p>
        </w:tc>
        <w:tc>
          <w:tcPr>
            <w:tcW w:w="368" w:type="pct"/>
            <w:noWrap/>
            <w:hideMark/>
          </w:tcPr>
          <w:p w14:paraId="3C4E069B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288,15</w:t>
            </w:r>
          </w:p>
        </w:tc>
        <w:tc>
          <w:tcPr>
            <w:tcW w:w="614" w:type="pct"/>
            <w:noWrap/>
            <w:hideMark/>
          </w:tcPr>
          <w:p w14:paraId="1860315E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8,70</w:t>
            </w:r>
          </w:p>
        </w:tc>
        <w:tc>
          <w:tcPr>
            <w:tcW w:w="822" w:type="pct"/>
            <w:noWrap/>
            <w:hideMark/>
          </w:tcPr>
          <w:p w14:paraId="3D529A72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0</w:t>
            </w:r>
          </w:p>
        </w:tc>
        <w:tc>
          <w:tcPr>
            <w:tcW w:w="588" w:type="pct"/>
            <w:noWrap/>
            <w:hideMark/>
          </w:tcPr>
          <w:p w14:paraId="24FBE334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3,11%</w:t>
            </w:r>
          </w:p>
        </w:tc>
        <w:tc>
          <w:tcPr>
            <w:tcW w:w="720" w:type="pct"/>
            <w:noWrap/>
            <w:hideMark/>
          </w:tcPr>
          <w:p w14:paraId="6E4808EC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13,53%</w:t>
            </w:r>
          </w:p>
        </w:tc>
      </w:tr>
      <w:tr w:rsidR="001F20AC" w:rsidRPr="001F20AC" w14:paraId="5795CCCB" w14:textId="77777777" w:rsidTr="001F20AC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61668F37" w14:textId="7E3CDEB5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  <w:t>II.SKUPINA(&gt;1 000MIL.KČ)</w:t>
            </w:r>
          </w:p>
        </w:tc>
        <w:tc>
          <w:tcPr>
            <w:tcW w:w="488" w:type="pct"/>
            <w:noWrap/>
            <w:hideMark/>
          </w:tcPr>
          <w:p w14:paraId="36911B3B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266,87</w:t>
            </w:r>
          </w:p>
        </w:tc>
        <w:tc>
          <w:tcPr>
            <w:tcW w:w="367" w:type="pct"/>
            <w:noWrap/>
            <w:hideMark/>
          </w:tcPr>
          <w:p w14:paraId="77CE6FA3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288,61</w:t>
            </w:r>
          </w:p>
        </w:tc>
        <w:tc>
          <w:tcPr>
            <w:tcW w:w="368" w:type="pct"/>
            <w:noWrap/>
            <w:hideMark/>
          </w:tcPr>
          <w:p w14:paraId="459DABD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290,24</w:t>
            </w:r>
          </w:p>
        </w:tc>
        <w:tc>
          <w:tcPr>
            <w:tcW w:w="614" w:type="pct"/>
            <w:noWrap/>
            <w:hideMark/>
          </w:tcPr>
          <w:p w14:paraId="4CD51E1B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23,37</w:t>
            </w:r>
          </w:p>
        </w:tc>
        <w:tc>
          <w:tcPr>
            <w:tcW w:w="822" w:type="pct"/>
            <w:noWrap/>
            <w:hideMark/>
          </w:tcPr>
          <w:p w14:paraId="26F0DFF4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10</w:t>
            </w:r>
          </w:p>
        </w:tc>
        <w:tc>
          <w:tcPr>
            <w:tcW w:w="588" w:type="pct"/>
            <w:noWrap/>
            <w:hideMark/>
          </w:tcPr>
          <w:p w14:paraId="01CC6DEF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8,76%</w:t>
            </w:r>
          </w:p>
        </w:tc>
        <w:tc>
          <w:tcPr>
            <w:tcW w:w="720" w:type="pct"/>
            <w:noWrap/>
            <w:hideMark/>
          </w:tcPr>
          <w:p w14:paraId="1AA21895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36,35%</w:t>
            </w:r>
          </w:p>
        </w:tc>
      </w:tr>
      <w:tr w:rsidR="001F20AC" w:rsidRPr="001F20AC" w14:paraId="75D455DE" w14:textId="77777777" w:rsidTr="001F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28DE6F39" w14:textId="0C78D908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  <w:t>III.SKUPINA(&gt;100MIL.KČ)</w:t>
            </w:r>
          </w:p>
        </w:tc>
        <w:tc>
          <w:tcPr>
            <w:tcW w:w="488" w:type="pct"/>
            <w:noWrap/>
            <w:hideMark/>
          </w:tcPr>
          <w:p w14:paraId="785DB1A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104,27</w:t>
            </w:r>
          </w:p>
        </w:tc>
        <w:tc>
          <w:tcPr>
            <w:tcW w:w="367" w:type="pct"/>
            <w:noWrap/>
            <w:hideMark/>
          </w:tcPr>
          <w:p w14:paraId="3D7431C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113,86</w:t>
            </w:r>
          </w:p>
        </w:tc>
        <w:tc>
          <w:tcPr>
            <w:tcW w:w="368" w:type="pct"/>
            <w:noWrap/>
            <w:hideMark/>
          </w:tcPr>
          <w:p w14:paraId="2DA55882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114,53</w:t>
            </w:r>
          </w:p>
        </w:tc>
        <w:tc>
          <w:tcPr>
            <w:tcW w:w="614" w:type="pct"/>
            <w:noWrap/>
            <w:hideMark/>
          </w:tcPr>
          <w:p w14:paraId="3B41513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10,25</w:t>
            </w:r>
          </w:p>
        </w:tc>
        <w:tc>
          <w:tcPr>
            <w:tcW w:w="822" w:type="pct"/>
            <w:noWrap/>
            <w:hideMark/>
          </w:tcPr>
          <w:p w14:paraId="53D46FBC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49</w:t>
            </w:r>
          </w:p>
        </w:tc>
        <w:tc>
          <w:tcPr>
            <w:tcW w:w="588" w:type="pct"/>
            <w:noWrap/>
            <w:hideMark/>
          </w:tcPr>
          <w:p w14:paraId="17CF5C36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9,83%</w:t>
            </w:r>
          </w:p>
        </w:tc>
        <w:tc>
          <w:tcPr>
            <w:tcW w:w="720" w:type="pct"/>
            <w:noWrap/>
            <w:hideMark/>
          </w:tcPr>
          <w:p w14:paraId="09114017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15,95%</w:t>
            </w:r>
          </w:p>
        </w:tc>
      </w:tr>
      <w:tr w:rsidR="001F20AC" w:rsidRPr="001F20AC" w14:paraId="4D01A56D" w14:textId="77777777" w:rsidTr="001F20AC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6DEF2998" w14:textId="69AB4D0A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  <w:t>IV.SKUPINA(&gt;10MIL.KČ)</w:t>
            </w:r>
          </w:p>
        </w:tc>
        <w:tc>
          <w:tcPr>
            <w:tcW w:w="488" w:type="pct"/>
            <w:noWrap/>
            <w:hideMark/>
          </w:tcPr>
          <w:p w14:paraId="0B1BA77B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71,52</w:t>
            </w:r>
          </w:p>
        </w:tc>
        <w:tc>
          <w:tcPr>
            <w:tcW w:w="367" w:type="pct"/>
            <w:noWrap/>
            <w:hideMark/>
          </w:tcPr>
          <w:p w14:paraId="3EF4C584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78,25</w:t>
            </w:r>
          </w:p>
        </w:tc>
        <w:tc>
          <w:tcPr>
            <w:tcW w:w="368" w:type="pct"/>
            <w:noWrap/>
            <w:hideMark/>
          </w:tcPr>
          <w:p w14:paraId="4F4A3CC2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91,68</w:t>
            </w:r>
          </w:p>
        </w:tc>
        <w:tc>
          <w:tcPr>
            <w:tcW w:w="614" w:type="pct"/>
            <w:noWrap/>
            <w:hideMark/>
          </w:tcPr>
          <w:p w14:paraId="6E09B637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20,16</w:t>
            </w:r>
          </w:p>
        </w:tc>
        <w:tc>
          <w:tcPr>
            <w:tcW w:w="822" w:type="pct"/>
            <w:noWrap/>
            <w:hideMark/>
          </w:tcPr>
          <w:p w14:paraId="05A050B9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641</w:t>
            </w:r>
          </w:p>
        </w:tc>
        <w:tc>
          <w:tcPr>
            <w:tcW w:w="588" w:type="pct"/>
            <w:noWrap/>
            <w:hideMark/>
          </w:tcPr>
          <w:p w14:paraId="72457CAE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28,18%</w:t>
            </w:r>
          </w:p>
        </w:tc>
        <w:tc>
          <w:tcPr>
            <w:tcW w:w="720" w:type="pct"/>
            <w:noWrap/>
            <w:hideMark/>
          </w:tcPr>
          <w:p w14:paraId="6ECD173E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31,35%</w:t>
            </w:r>
          </w:p>
        </w:tc>
      </w:tr>
      <w:tr w:rsidR="001F20AC" w:rsidRPr="001F20AC" w14:paraId="1FBE6465" w14:textId="77777777" w:rsidTr="001F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533422D5" w14:textId="74A14995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  <w:t>V.SKUPINA(&gt;1MIL.KČ)</w:t>
            </w:r>
          </w:p>
        </w:tc>
        <w:tc>
          <w:tcPr>
            <w:tcW w:w="488" w:type="pct"/>
            <w:noWrap/>
            <w:hideMark/>
          </w:tcPr>
          <w:p w14:paraId="12293639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4,63</w:t>
            </w:r>
          </w:p>
        </w:tc>
        <w:tc>
          <w:tcPr>
            <w:tcW w:w="367" w:type="pct"/>
            <w:noWrap/>
            <w:hideMark/>
          </w:tcPr>
          <w:p w14:paraId="5211F15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5,04</w:t>
            </w:r>
          </w:p>
        </w:tc>
        <w:tc>
          <w:tcPr>
            <w:tcW w:w="368" w:type="pct"/>
            <w:noWrap/>
            <w:hideMark/>
          </w:tcPr>
          <w:p w14:paraId="15636447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6,43</w:t>
            </w:r>
          </w:p>
        </w:tc>
        <w:tc>
          <w:tcPr>
            <w:tcW w:w="614" w:type="pct"/>
            <w:noWrap/>
            <w:hideMark/>
          </w:tcPr>
          <w:p w14:paraId="210AC5F2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1,81</w:t>
            </w:r>
          </w:p>
        </w:tc>
        <w:tc>
          <w:tcPr>
            <w:tcW w:w="822" w:type="pct"/>
            <w:noWrap/>
            <w:hideMark/>
          </w:tcPr>
          <w:p w14:paraId="355899B3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325</w:t>
            </w:r>
          </w:p>
        </w:tc>
        <w:tc>
          <w:tcPr>
            <w:tcW w:w="588" w:type="pct"/>
            <w:noWrap/>
            <w:hideMark/>
          </w:tcPr>
          <w:p w14:paraId="230D3821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39,03%</w:t>
            </w:r>
          </w:p>
        </w:tc>
        <w:tc>
          <w:tcPr>
            <w:tcW w:w="720" w:type="pct"/>
            <w:noWrap/>
            <w:hideMark/>
          </w:tcPr>
          <w:p w14:paraId="4D2F0422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2,81%</w:t>
            </w:r>
          </w:p>
        </w:tc>
      </w:tr>
      <w:tr w:rsidR="001F20AC" w:rsidRPr="001F20AC" w14:paraId="59F04EC3" w14:textId="77777777" w:rsidTr="001F20AC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661E3A93" w14:textId="4E22CF56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 w:val="0"/>
                <w:color w:val="FFFFFF" w:themeColor="background1"/>
                <w:sz w:val="16"/>
              </w:rPr>
              <w:t>VI.SKUPINA(&lt;1MIL.KČ)</w:t>
            </w:r>
          </w:p>
        </w:tc>
        <w:tc>
          <w:tcPr>
            <w:tcW w:w="488" w:type="pct"/>
            <w:noWrap/>
            <w:hideMark/>
          </w:tcPr>
          <w:p w14:paraId="30BA08F9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0,02</w:t>
            </w:r>
          </w:p>
        </w:tc>
        <w:tc>
          <w:tcPr>
            <w:tcW w:w="367" w:type="pct"/>
            <w:noWrap/>
            <w:hideMark/>
          </w:tcPr>
          <w:p w14:paraId="6BF6FDB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0,02</w:t>
            </w:r>
          </w:p>
        </w:tc>
        <w:tc>
          <w:tcPr>
            <w:tcW w:w="368" w:type="pct"/>
            <w:noWrap/>
            <w:hideMark/>
          </w:tcPr>
          <w:p w14:paraId="7D6F42D8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0,03</w:t>
            </w:r>
          </w:p>
        </w:tc>
        <w:tc>
          <w:tcPr>
            <w:tcW w:w="614" w:type="pct"/>
            <w:noWrap/>
            <w:hideMark/>
          </w:tcPr>
          <w:p w14:paraId="306446B1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0,01</w:t>
            </w:r>
          </w:p>
        </w:tc>
        <w:tc>
          <w:tcPr>
            <w:tcW w:w="822" w:type="pct"/>
            <w:noWrap/>
            <w:hideMark/>
          </w:tcPr>
          <w:p w14:paraId="11F8AF46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10</w:t>
            </w:r>
          </w:p>
        </w:tc>
        <w:tc>
          <w:tcPr>
            <w:tcW w:w="588" w:type="pct"/>
            <w:noWrap/>
            <w:hideMark/>
          </w:tcPr>
          <w:p w14:paraId="0C68C209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27,98%</w:t>
            </w:r>
          </w:p>
        </w:tc>
        <w:tc>
          <w:tcPr>
            <w:tcW w:w="720" w:type="pct"/>
            <w:noWrap/>
            <w:hideMark/>
          </w:tcPr>
          <w:p w14:paraId="29E8903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color w:val="000000"/>
                <w:sz w:val="16"/>
              </w:rPr>
              <w:t>0,01%</w:t>
            </w:r>
          </w:p>
        </w:tc>
      </w:tr>
      <w:tr w:rsidR="001F20AC" w:rsidRPr="001F20AC" w14:paraId="59276E2B" w14:textId="77777777" w:rsidTr="001F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noWrap/>
            <w:hideMark/>
          </w:tcPr>
          <w:p w14:paraId="730A7A0F" w14:textId="455F679E" w:rsidR="00C44F32" w:rsidRPr="001F20AC" w:rsidRDefault="001F20AC" w:rsidP="00C44F32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FFFFFF" w:themeColor="background1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16"/>
              </w:rPr>
              <w:t>CELKOVÝ SOUČET</w:t>
            </w:r>
          </w:p>
        </w:tc>
        <w:tc>
          <w:tcPr>
            <w:tcW w:w="488" w:type="pct"/>
            <w:noWrap/>
            <w:hideMark/>
          </w:tcPr>
          <w:p w14:paraId="73F98EE0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  <w:t>726,76</w:t>
            </w:r>
          </w:p>
        </w:tc>
        <w:tc>
          <w:tcPr>
            <w:tcW w:w="367" w:type="pct"/>
            <w:noWrap/>
            <w:hideMark/>
          </w:tcPr>
          <w:p w14:paraId="47EB2A46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  <w:t>773,83</w:t>
            </w:r>
          </w:p>
        </w:tc>
        <w:tc>
          <w:tcPr>
            <w:tcW w:w="368" w:type="pct"/>
            <w:noWrap/>
            <w:hideMark/>
          </w:tcPr>
          <w:p w14:paraId="23C1A5DC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  <w:t>791,05</w:t>
            </w:r>
          </w:p>
        </w:tc>
        <w:tc>
          <w:tcPr>
            <w:tcW w:w="614" w:type="pct"/>
            <w:noWrap/>
            <w:hideMark/>
          </w:tcPr>
          <w:p w14:paraId="5704A803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  <w:t>64,29</w:t>
            </w:r>
          </w:p>
        </w:tc>
        <w:tc>
          <w:tcPr>
            <w:tcW w:w="822" w:type="pct"/>
            <w:noWrap/>
            <w:hideMark/>
          </w:tcPr>
          <w:p w14:paraId="68AE52AE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  <w:t>1 035</w:t>
            </w:r>
          </w:p>
        </w:tc>
        <w:tc>
          <w:tcPr>
            <w:tcW w:w="588" w:type="pct"/>
            <w:noWrap/>
            <w:hideMark/>
          </w:tcPr>
          <w:p w14:paraId="02A6C404" w14:textId="6BF011A3" w:rsidR="00C44F32" w:rsidRPr="001F20AC" w:rsidRDefault="001F20AC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  <w:r w:rsidRPr="001F20A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  <w:t>8,85%</w:t>
            </w:r>
          </w:p>
        </w:tc>
        <w:tc>
          <w:tcPr>
            <w:tcW w:w="720" w:type="pct"/>
            <w:noWrap/>
            <w:hideMark/>
          </w:tcPr>
          <w:p w14:paraId="52BA8905" w14:textId="77777777" w:rsidR="00C44F32" w:rsidRPr="001F20AC" w:rsidRDefault="00C44F32" w:rsidP="001F20AC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</w:rPr>
            </w:pPr>
          </w:p>
        </w:tc>
      </w:tr>
    </w:tbl>
    <w:p w14:paraId="3A1018D8" w14:textId="77777777" w:rsidR="00C44F32" w:rsidRDefault="00C44F32" w:rsidP="00E7360D">
      <w:pPr>
        <w:pStyle w:val="NORMLN0"/>
      </w:pPr>
    </w:p>
    <w:p w14:paraId="45C15565" w14:textId="425EA618" w:rsidR="008B0566" w:rsidRDefault="00962A95" w:rsidP="00E7360D">
      <w:pPr>
        <w:pStyle w:val="NORMLN0"/>
      </w:pPr>
      <w:r>
        <w:t>V </w:t>
      </w:r>
      <w:r w:rsidR="008B0566">
        <w:t>mnoh</w:t>
      </w:r>
      <w:r w:rsidR="009B4D12">
        <w:t>a</w:t>
      </w:r>
      <w:r w:rsidR="008B0566">
        <w:t xml:space="preserve"> případech se objevuje m</w:t>
      </w:r>
      <w:r w:rsidR="00371EFB">
        <w:t>y</w:t>
      </w:r>
      <w:r w:rsidR="008B0566">
        <w:t xml:space="preserve">lný názor, že péče </w:t>
      </w:r>
      <w:r>
        <w:t>o </w:t>
      </w:r>
      <w:r w:rsidR="00371EFB">
        <w:t>VIM</w:t>
      </w:r>
      <w:r w:rsidR="008B0566">
        <w:t xml:space="preserve"> je totéž, c</w:t>
      </w:r>
      <w:r>
        <w:t>o </w:t>
      </w:r>
      <w:r w:rsidR="008B0566">
        <w:t>j</w:t>
      </w:r>
      <w:r w:rsidR="00B1451A">
        <w:t>ejí</w:t>
      </w:r>
      <w:r w:rsidR="008B0566">
        <w:t xml:space="preserve"> provozování. Není tomu tak, i když obě aktivity spolu úzce souvisejí. Vlastníci majetku jsou plně odpovědn</w:t>
      </w:r>
      <w:r w:rsidR="00B1451A">
        <w:t>í</w:t>
      </w:r>
      <w:r w:rsidR="008B0566">
        <w:t xml:space="preserve"> </w:t>
      </w:r>
      <w:r>
        <w:t>za </w:t>
      </w:r>
      <w:r w:rsidR="008B0566">
        <w:t>jeh</w:t>
      </w:r>
      <w:r>
        <w:t>o </w:t>
      </w:r>
      <w:r w:rsidR="008B0566">
        <w:t>fyzický sta</w:t>
      </w:r>
      <w:r>
        <w:t>v </w:t>
      </w:r>
      <w:r w:rsidR="00B1451A">
        <w:t xml:space="preserve">a </w:t>
      </w:r>
      <w:r>
        <w:t>za </w:t>
      </w:r>
      <w:r w:rsidR="00B1451A">
        <w:t xml:space="preserve">vytváření rezervy finančních prostředků </w:t>
      </w:r>
      <w:r>
        <w:t>na </w:t>
      </w:r>
      <w:r w:rsidR="00B1451A">
        <w:t>jeh</w:t>
      </w:r>
      <w:r>
        <w:t>o </w:t>
      </w:r>
      <w:r w:rsidR="00B1451A">
        <w:t>obnovu</w:t>
      </w:r>
      <w:r w:rsidR="008B0566">
        <w:t xml:space="preserve">. </w:t>
      </w:r>
      <w:r>
        <w:t>V </w:t>
      </w:r>
      <w:r w:rsidR="008B0566">
        <w:t>případě, že vlastní</w:t>
      </w:r>
      <w:r>
        <w:t>k </w:t>
      </w:r>
      <w:r w:rsidR="008B0566">
        <w:t xml:space="preserve">smluvně převede část péče </w:t>
      </w:r>
      <w:r>
        <w:t>o </w:t>
      </w:r>
      <w:r w:rsidR="008B0566">
        <w:t>majete</w:t>
      </w:r>
      <w:r>
        <w:t>k na </w:t>
      </w:r>
      <w:r w:rsidR="008B0566">
        <w:t>provozovatele, je jeh</w:t>
      </w:r>
      <w:r>
        <w:t>o </w:t>
      </w:r>
      <w:r w:rsidR="008B0566">
        <w:t>povinností důkladně kontrolovat, zda je péče řádně realizována. Ja</w:t>
      </w:r>
      <w:r>
        <w:t>k </w:t>
      </w:r>
      <w:r w:rsidR="008B0566">
        <w:t>ukazují výsledky analý</w:t>
      </w:r>
      <w:r>
        <w:t>z </w:t>
      </w:r>
      <w:r w:rsidR="008B0566">
        <w:t>a zjištění kontrol provedených M</w:t>
      </w:r>
      <w:r>
        <w:t>Ze</w:t>
      </w:r>
      <w:r w:rsidR="002C6ADF">
        <w:t>,</w:t>
      </w:r>
      <w:r>
        <w:t> </w:t>
      </w:r>
      <w:r w:rsidR="00136C26">
        <w:t>zejmé</w:t>
      </w:r>
      <w:r>
        <w:t>na</w:t>
      </w:r>
      <w:r w:rsidR="00DE53F8">
        <w:t xml:space="preserve"> u </w:t>
      </w:r>
      <w:r w:rsidR="00136C26">
        <w:t xml:space="preserve">menších </w:t>
      </w:r>
      <w:r w:rsidR="00852A84">
        <w:t>vlastní</w:t>
      </w:r>
      <w:r w:rsidR="00136C26">
        <w:t>ků se vyskytují nedostatky, které souvisejí s</w:t>
      </w:r>
      <w:r w:rsidR="000210EA">
        <w:t> </w:t>
      </w:r>
      <w:r w:rsidR="00136C26">
        <w:t>efektivní</w:t>
      </w:r>
      <w:r w:rsidR="000210EA">
        <w:t xml:space="preserve"> péč</w:t>
      </w:r>
      <w:r w:rsidR="009B4D12">
        <w:t>í</w:t>
      </w:r>
      <w:r w:rsidR="000210EA">
        <w:t xml:space="preserve"> </w:t>
      </w:r>
      <w:r>
        <w:t>o </w:t>
      </w:r>
      <w:r w:rsidR="000210EA">
        <w:t xml:space="preserve">majetek. </w:t>
      </w:r>
      <w:r w:rsidR="00B1451A" w:rsidRPr="00E7360D">
        <w:rPr>
          <w:i/>
        </w:rPr>
        <w:t>Nevykazování počtu poruch</w:t>
      </w:r>
      <w:r w:rsidR="00B1451A">
        <w:rPr>
          <w:i/>
        </w:rPr>
        <w:t xml:space="preserve"> (popř.</w:t>
      </w:r>
      <w:r w:rsidR="00B1451A" w:rsidRPr="00B1451A">
        <w:rPr>
          <w:i/>
        </w:rPr>
        <w:t xml:space="preserve"> vysoká poruchovost</w:t>
      </w:r>
      <w:r w:rsidR="00B1451A">
        <w:rPr>
          <w:i/>
        </w:rPr>
        <w:t>),</w:t>
      </w:r>
      <w:r w:rsidR="00B1451A" w:rsidRPr="00E7360D">
        <w:rPr>
          <w:i/>
        </w:rPr>
        <w:t xml:space="preserve"> nesledování</w:t>
      </w:r>
      <w:r w:rsidR="00B1451A" w:rsidRPr="00B1451A">
        <w:rPr>
          <w:i/>
        </w:rPr>
        <w:t xml:space="preserve"> ztrát pitné vody </w:t>
      </w:r>
      <w:r w:rsidR="000210EA" w:rsidRPr="00B1451A">
        <w:rPr>
          <w:i/>
        </w:rPr>
        <w:t>a nedostatečná</w:t>
      </w:r>
      <w:r w:rsidR="000210EA" w:rsidRPr="000210EA">
        <w:rPr>
          <w:i/>
        </w:rPr>
        <w:t xml:space="preserve"> tvorba prostředků </w:t>
      </w:r>
      <w:r>
        <w:rPr>
          <w:i/>
        </w:rPr>
        <w:t>na </w:t>
      </w:r>
      <w:r w:rsidR="000210EA" w:rsidRPr="000210EA">
        <w:rPr>
          <w:i/>
        </w:rPr>
        <w:t xml:space="preserve">obnovu nasvědčují tomu, že </w:t>
      </w:r>
      <w:r w:rsidR="002B4066">
        <w:rPr>
          <w:i/>
        </w:rPr>
        <w:t xml:space="preserve">menší </w:t>
      </w:r>
      <w:r w:rsidR="000210EA" w:rsidRPr="000210EA">
        <w:rPr>
          <w:i/>
        </w:rPr>
        <w:t xml:space="preserve">vlastníci nepostupují </w:t>
      </w:r>
      <w:r>
        <w:rPr>
          <w:i/>
        </w:rPr>
        <w:t>při </w:t>
      </w:r>
      <w:r w:rsidR="000210EA">
        <w:rPr>
          <w:i/>
        </w:rPr>
        <w:t xml:space="preserve">péči </w:t>
      </w:r>
      <w:r>
        <w:rPr>
          <w:i/>
        </w:rPr>
        <w:t>o </w:t>
      </w:r>
      <w:r w:rsidR="000210EA">
        <w:rPr>
          <w:i/>
        </w:rPr>
        <w:t>majete</w:t>
      </w:r>
      <w:r>
        <w:rPr>
          <w:i/>
        </w:rPr>
        <w:t>k </w:t>
      </w:r>
      <w:r w:rsidR="000210EA">
        <w:rPr>
          <w:i/>
        </w:rPr>
        <w:t>systematicky</w:t>
      </w:r>
      <w:r w:rsidR="00691111">
        <w:rPr>
          <w:i/>
        </w:rPr>
        <w:t>.</w:t>
      </w:r>
      <w:r w:rsidR="000210EA">
        <w:rPr>
          <w:i/>
        </w:rPr>
        <w:t xml:space="preserve"> </w:t>
      </w:r>
      <w:r w:rsidR="002B4066">
        <w:rPr>
          <w:i/>
        </w:rPr>
        <w:t xml:space="preserve"> </w:t>
      </w:r>
      <w:r w:rsidR="00EF3A2C">
        <w:rPr>
          <w:i/>
        </w:rPr>
        <w:t>Je vša</w:t>
      </w:r>
      <w:r>
        <w:rPr>
          <w:i/>
        </w:rPr>
        <w:t>k </w:t>
      </w:r>
      <w:r w:rsidR="00EF3A2C">
        <w:rPr>
          <w:i/>
        </w:rPr>
        <w:t xml:space="preserve">nutné poznamenat, že </w:t>
      </w:r>
      <w:r>
        <w:rPr>
          <w:i/>
        </w:rPr>
        <w:t>v </w:t>
      </w:r>
      <w:r w:rsidR="002B4066">
        <w:rPr>
          <w:i/>
        </w:rPr>
        <w:t>důsledku</w:t>
      </w:r>
      <w:r w:rsidR="000210EA">
        <w:rPr>
          <w:i/>
        </w:rPr>
        <w:t xml:space="preserve"> vysok</w:t>
      </w:r>
      <w:r w:rsidR="002B4066">
        <w:rPr>
          <w:i/>
        </w:rPr>
        <w:t>éh</w:t>
      </w:r>
      <w:r>
        <w:rPr>
          <w:i/>
        </w:rPr>
        <w:t>o </w:t>
      </w:r>
      <w:r w:rsidR="000210EA">
        <w:rPr>
          <w:i/>
        </w:rPr>
        <w:t>stup</w:t>
      </w:r>
      <w:r w:rsidR="00691111">
        <w:rPr>
          <w:i/>
        </w:rPr>
        <w:t>ně</w:t>
      </w:r>
      <w:r w:rsidR="000210EA">
        <w:rPr>
          <w:i/>
        </w:rPr>
        <w:t xml:space="preserve"> atomizace </w:t>
      </w:r>
      <w:r w:rsidR="00B1451A">
        <w:rPr>
          <w:i/>
        </w:rPr>
        <w:t>čast</w:t>
      </w:r>
      <w:r>
        <w:rPr>
          <w:i/>
        </w:rPr>
        <w:t>o </w:t>
      </w:r>
      <w:r w:rsidR="002B4066">
        <w:rPr>
          <w:i/>
        </w:rPr>
        <w:t xml:space="preserve">nemají možnost potřebnou obnovu </w:t>
      </w:r>
      <w:r w:rsidR="00B1451A">
        <w:rPr>
          <w:i/>
        </w:rPr>
        <w:t xml:space="preserve">VIM </w:t>
      </w:r>
      <w:r>
        <w:rPr>
          <w:i/>
        </w:rPr>
        <w:t>z </w:t>
      </w:r>
      <w:r w:rsidR="00B1451A">
        <w:rPr>
          <w:i/>
        </w:rPr>
        <w:t>vodnéh</w:t>
      </w:r>
      <w:r>
        <w:rPr>
          <w:i/>
        </w:rPr>
        <w:t>o </w:t>
      </w:r>
      <w:r w:rsidR="00B1451A">
        <w:rPr>
          <w:i/>
        </w:rPr>
        <w:t>a stočnéh</w:t>
      </w:r>
      <w:r>
        <w:rPr>
          <w:i/>
        </w:rPr>
        <w:t>o </w:t>
      </w:r>
      <w:r w:rsidR="002B4066">
        <w:rPr>
          <w:i/>
        </w:rPr>
        <w:t>financovat.</w:t>
      </w:r>
      <w:r w:rsidR="00371EFB">
        <w:rPr>
          <w:i/>
        </w:rPr>
        <w:t xml:space="preserve"> </w:t>
      </w:r>
      <w:r w:rsidR="000210EA">
        <w:t xml:space="preserve"> </w:t>
      </w:r>
    </w:p>
    <w:p w14:paraId="24F5E759" w14:textId="77777777" w:rsidR="002B4066" w:rsidRDefault="002B4066" w:rsidP="00E7360D">
      <w:pPr>
        <w:pStyle w:val="NORMLN0"/>
      </w:pPr>
    </w:p>
    <w:p w14:paraId="26982394" w14:textId="259C1BDB" w:rsidR="00496E59" w:rsidRDefault="00882E1B" w:rsidP="00E7360D">
      <w:pPr>
        <w:pStyle w:val="NORMLN0"/>
      </w:pPr>
      <w:r>
        <w:t>Atomizace trhu má vli</w:t>
      </w:r>
      <w:r w:rsidR="00962A95">
        <w:t>v </w:t>
      </w:r>
      <w:r>
        <w:t xml:space="preserve">i </w:t>
      </w:r>
      <w:r w:rsidR="00962A95">
        <w:t>na </w:t>
      </w:r>
      <w:r>
        <w:t xml:space="preserve">rozdílnou úroveň provozování. Podle výsledků </w:t>
      </w:r>
      <w:r w:rsidR="00940E1B">
        <w:t>analý</w:t>
      </w:r>
      <w:r w:rsidR="00962A95">
        <w:t>z </w:t>
      </w:r>
      <w:r w:rsidR="00940E1B">
        <w:t>provozovatelských subjektů</w:t>
      </w:r>
      <w:r>
        <w:t xml:space="preserve"> </w:t>
      </w:r>
      <w:r w:rsidR="00EF3A2C">
        <w:t xml:space="preserve">a zjištění kontrol </w:t>
      </w:r>
      <w:r>
        <w:t>l</w:t>
      </w:r>
      <w:r w:rsidR="00962A95">
        <w:t>ze </w:t>
      </w:r>
      <w:r>
        <w:t xml:space="preserve">konstatovat, že provozování </w:t>
      </w:r>
      <w:r>
        <w:lastRenderedPageBreak/>
        <w:t xml:space="preserve">specializovaným subjektem vykazuje výrazně jinou úroveň </w:t>
      </w:r>
      <w:r w:rsidR="00962A95">
        <w:t>v </w:t>
      </w:r>
      <w:r>
        <w:t xml:space="preserve">porovnání se subjekty, </w:t>
      </w:r>
      <w:r w:rsidR="00962A95">
        <w:t>pro </w:t>
      </w:r>
      <w:r>
        <w:t>které není provozování VIM stěžejní činností</w:t>
      </w:r>
      <w:r w:rsidR="00691111">
        <w:t>. Čast</w:t>
      </w:r>
      <w:r w:rsidR="00962A95">
        <w:t>o </w:t>
      </w:r>
      <w:r w:rsidR="00691111">
        <w:t>jsou t</w:t>
      </w:r>
      <w:r w:rsidR="00962A95">
        <w:t>o </w:t>
      </w:r>
      <w:r w:rsidR="00691111">
        <w:t xml:space="preserve">subjekty </w:t>
      </w:r>
      <w:r w:rsidR="00496E59">
        <w:t>provozující</w:t>
      </w:r>
      <w:r w:rsidR="00691111">
        <w:t xml:space="preserve"> VIM </w:t>
      </w:r>
      <w:r>
        <w:t>s omezenými zdroji (finančními</w:t>
      </w:r>
      <w:r w:rsidR="00691111">
        <w:t xml:space="preserve"> a</w:t>
      </w:r>
      <w:r>
        <w:t xml:space="preserve"> personálními</w:t>
      </w:r>
      <w:r w:rsidR="00691111">
        <w:t xml:space="preserve">) </w:t>
      </w:r>
      <w:r>
        <w:t xml:space="preserve"> a </w:t>
      </w:r>
      <w:r w:rsidR="00691111">
        <w:t>s nízkou</w:t>
      </w:r>
      <w:r>
        <w:t xml:space="preserve"> znalostní bází. Velikost provozovanéh</w:t>
      </w:r>
      <w:r w:rsidR="00962A95">
        <w:t>o </w:t>
      </w:r>
      <w:r>
        <w:t>majetku</w:t>
      </w:r>
      <w:r w:rsidR="00496E59">
        <w:t xml:space="preserve"> a zejmé</w:t>
      </w:r>
      <w:r w:rsidR="00962A95">
        <w:t>na </w:t>
      </w:r>
      <w:r w:rsidR="00691111">
        <w:t>vel</w:t>
      </w:r>
      <w:r w:rsidR="00496E59">
        <w:t>i</w:t>
      </w:r>
      <w:r w:rsidR="00691111">
        <w:t>kost obsluhovanéh</w:t>
      </w:r>
      <w:r w:rsidR="00962A95">
        <w:t>o </w:t>
      </w:r>
      <w:r w:rsidR="00691111">
        <w:t>trhu</w:t>
      </w:r>
      <w:r w:rsidR="00496E59">
        <w:t xml:space="preserve"> jsou určujícími faktory </w:t>
      </w:r>
      <w:r>
        <w:t>finanční výkonnost</w:t>
      </w:r>
      <w:r w:rsidR="00496E59">
        <w:t>i VIM, jejíž úroveň předznamenává mo</w:t>
      </w:r>
      <w:r>
        <w:t>žnost</w:t>
      </w:r>
      <w:r w:rsidR="00496E59">
        <w:t>i</w:t>
      </w:r>
      <w:r>
        <w:t xml:space="preserve"> přístupu provozovatele </w:t>
      </w:r>
      <w:r w:rsidR="00962A95">
        <w:t>k </w:t>
      </w:r>
      <w:r>
        <w:t xml:space="preserve">novým </w:t>
      </w:r>
      <w:r w:rsidR="00496E59">
        <w:t xml:space="preserve">technologiím a </w:t>
      </w:r>
      <w:r w:rsidR="00962A95">
        <w:t>k </w:t>
      </w:r>
      <w:r>
        <w:t xml:space="preserve">zavádění </w:t>
      </w:r>
      <w:r w:rsidR="00940E1B">
        <w:t xml:space="preserve">inovací </w:t>
      </w:r>
      <w:r w:rsidR="00496E59">
        <w:t>d</w:t>
      </w:r>
      <w:r w:rsidR="00962A95">
        <w:t>o </w:t>
      </w:r>
      <w:r w:rsidR="00940E1B">
        <w:t>provozních procesů</w:t>
      </w:r>
      <w:r>
        <w:t>.</w:t>
      </w:r>
      <w:r w:rsidR="00371EFB">
        <w:t xml:space="preserve"> </w:t>
      </w:r>
      <w:r w:rsidR="00940E1B">
        <w:t>Kvalita procesů přím</w:t>
      </w:r>
      <w:r w:rsidR="00962A95">
        <w:t>o </w:t>
      </w:r>
      <w:r w:rsidR="00940E1B">
        <w:t xml:space="preserve">ovlivňuje kvalitu poskytovaných produktů – dodávky pitné vody a odvádění a čištění odpadní vody. </w:t>
      </w:r>
    </w:p>
    <w:p w14:paraId="4E08BE44" w14:textId="77777777" w:rsidR="00496E59" w:rsidRDefault="00496E59" w:rsidP="00E7360D">
      <w:pPr>
        <w:pStyle w:val="NORMLN0"/>
      </w:pPr>
    </w:p>
    <w:p w14:paraId="3DED1455" w14:textId="45EDC3E1" w:rsidR="00E664BD" w:rsidRDefault="00962A95" w:rsidP="00E7360D">
      <w:pPr>
        <w:pStyle w:val="NORMLN0"/>
      </w:pPr>
      <w:r>
        <w:t>V </w:t>
      </w:r>
      <w:r w:rsidR="00940E1B" w:rsidRPr="00B3472A">
        <w:t>rámci analý</w:t>
      </w:r>
      <w:r>
        <w:t>z </w:t>
      </w:r>
      <w:r w:rsidR="007D493B" w:rsidRPr="0027331C">
        <w:t>provozovatelských subjektů</w:t>
      </w:r>
      <w:r w:rsidR="00940E1B" w:rsidRPr="0056678A">
        <w:t xml:space="preserve"> se regulátor zaměřil </w:t>
      </w:r>
      <w:r>
        <w:t>na </w:t>
      </w:r>
      <w:r w:rsidR="00940E1B" w:rsidRPr="0056678A">
        <w:t>sledování</w:t>
      </w:r>
      <w:r w:rsidR="007D493B">
        <w:t xml:space="preserve"> výše</w:t>
      </w:r>
      <w:r w:rsidR="00940E1B" w:rsidRPr="00B3472A">
        <w:t xml:space="preserve"> operačníh</w:t>
      </w:r>
      <w:r>
        <w:t>o </w:t>
      </w:r>
      <w:r w:rsidR="00940E1B" w:rsidRPr="00B3472A">
        <w:t xml:space="preserve">koeficientu, ztrát </w:t>
      </w:r>
      <w:r w:rsidR="007D493B">
        <w:t xml:space="preserve">pitné vody </w:t>
      </w:r>
      <w:r w:rsidR="00940E1B" w:rsidRPr="00B3472A">
        <w:t>a nef</w:t>
      </w:r>
      <w:r w:rsidR="00940E1B" w:rsidRPr="0027331C">
        <w:t>akturované vody.</w:t>
      </w:r>
      <w:r w:rsidR="00371EFB" w:rsidRPr="0056678A">
        <w:t xml:space="preserve"> </w:t>
      </w:r>
      <w:r w:rsidR="00E664BD" w:rsidRPr="0056678A">
        <w:t xml:space="preserve">Podle průměrných hodnot některých ukazatelů </w:t>
      </w:r>
      <w:r w:rsidR="007D493B">
        <w:t>(vi</w:t>
      </w:r>
      <w:r>
        <w:t>z </w:t>
      </w:r>
      <w:r w:rsidR="007D493B">
        <w:t>kapitola 3)</w:t>
      </w:r>
      <w:r w:rsidR="00E664BD" w:rsidRPr="0056678A">
        <w:t xml:space="preserve"> jsou největší </w:t>
      </w:r>
      <w:r w:rsidR="007D493B">
        <w:t xml:space="preserve">meziroční </w:t>
      </w:r>
      <w:r w:rsidR="00E664BD" w:rsidRPr="00B3472A">
        <w:t xml:space="preserve">změny </w:t>
      </w:r>
      <w:r>
        <w:t>v </w:t>
      </w:r>
      <w:r w:rsidR="00E664BD" w:rsidRPr="00B3472A">
        <w:t>podílu kalkulačníh</w:t>
      </w:r>
      <w:r>
        <w:t>o </w:t>
      </w:r>
      <w:r w:rsidR="00E664BD" w:rsidRPr="00B3472A">
        <w:t xml:space="preserve">zisku </w:t>
      </w:r>
      <w:r>
        <w:t>na </w:t>
      </w:r>
      <w:r w:rsidR="00E664BD" w:rsidRPr="00B3472A">
        <w:t>vodném a stočném. Ostatní ukazatele jsou více méně stabilní.</w:t>
      </w:r>
      <w:r w:rsidR="00496E59" w:rsidRPr="0056678A">
        <w:t xml:space="preserve"> </w:t>
      </w:r>
      <w:r w:rsidR="00E664BD" w:rsidRPr="0056678A">
        <w:t>Podle průměrných hodnot ukazatele OKF</w:t>
      </w:r>
      <w:r w:rsidR="00DE53F8">
        <w:t xml:space="preserve"> u </w:t>
      </w:r>
      <w:r w:rsidR="00E664BD" w:rsidRPr="0056678A">
        <w:t>P</w:t>
      </w:r>
      <w:r w:rsidR="009536D7" w:rsidRPr="0056678A">
        <w:t xml:space="preserve">orovnání </w:t>
      </w:r>
      <w:r w:rsidR="00E664BD" w:rsidRPr="004F3B86">
        <w:t xml:space="preserve">splňujících stanovená kritéria by měl regulátor trvat </w:t>
      </w:r>
      <w:r>
        <w:t>na </w:t>
      </w:r>
      <w:r w:rsidR="009536D7" w:rsidRPr="005B05ED">
        <w:t xml:space="preserve">nastavení ceny </w:t>
      </w:r>
      <w:r>
        <w:t>pro </w:t>
      </w:r>
      <w:r w:rsidR="009536D7" w:rsidRPr="005B05ED">
        <w:t>vodné a stočné</w:t>
      </w:r>
      <w:r w:rsidR="007D493B">
        <w:t xml:space="preserve"> tak, aby byl dosažen OKF</w:t>
      </w:r>
      <w:r w:rsidR="009536D7" w:rsidRPr="00B3472A">
        <w:t xml:space="preserve"> </w:t>
      </w:r>
      <w:r>
        <w:t>ve </w:t>
      </w:r>
      <w:r w:rsidR="009536D7" w:rsidRPr="00B3472A">
        <w:t xml:space="preserve">výši 1,08 </w:t>
      </w:r>
      <w:r>
        <w:t>pro </w:t>
      </w:r>
      <w:r w:rsidR="009536D7" w:rsidRPr="00B3472A">
        <w:t xml:space="preserve">vodovod a 1,10 </w:t>
      </w:r>
      <w:r>
        <w:t>pro </w:t>
      </w:r>
      <w:r w:rsidR="009536D7" w:rsidRPr="00B3472A">
        <w:t>kanalizaci</w:t>
      </w:r>
      <w:r w:rsidR="007D493B">
        <w:t xml:space="preserve"> tam</w:t>
      </w:r>
      <w:r w:rsidR="009536D7" w:rsidRPr="0027331C">
        <w:t>, kde t</w:t>
      </w:r>
      <w:r>
        <w:t>o </w:t>
      </w:r>
      <w:r w:rsidR="009536D7" w:rsidRPr="0027331C">
        <w:t xml:space="preserve">bude </w:t>
      </w:r>
      <w:r>
        <w:t>pro </w:t>
      </w:r>
      <w:r w:rsidR="007D493B">
        <w:t xml:space="preserve">konečné </w:t>
      </w:r>
      <w:r w:rsidR="009536D7" w:rsidRPr="00B3472A">
        <w:t xml:space="preserve">odběratele sociálně </w:t>
      </w:r>
      <w:r w:rsidR="009536D7" w:rsidRPr="0027331C">
        <w:t>únosné (komplikace způsobená zejmé</w:t>
      </w:r>
      <w:r>
        <w:t>na </w:t>
      </w:r>
      <w:r w:rsidR="009536D7" w:rsidRPr="0027331C">
        <w:t xml:space="preserve">vysokým stupněm atomizace). </w:t>
      </w:r>
      <w:r w:rsidR="00252351">
        <w:t xml:space="preserve"> </w:t>
      </w:r>
    </w:p>
    <w:p w14:paraId="23A43BA4" w14:textId="0FF56275" w:rsidR="00252351" w:rsidRDefault="00252351" w:rsidP="00252351">
      <w:pPr>
        <w:pStyle w:val="NORMLN0"/>
      </w:pPr>
      <w:r>
        <w:t>Negativní vli</w:t>
      </w:r>
      <w:r w:rsidR="00962A95">
        <w:t>v </w:t>
      </w:r>
      <w:r>
        <w:t>vysokéh</w:t>
      </w:r>
      <w:r w:rsidR="00962A95">
        <w:t>o </w:t>
      </w:r>
      <w:r>
        <w:t xml:space="preserve">stupně atomizace ilustruje níže uvedená tabulka s informacemi </w:t>
      </w:r>
      <w:r w:rsidR="00962A95">
        <w:t>o </w:t>
      </w:r>
      <w:r>
        <w:t xml:space="preserve">výskytu anomálie OKF&lt;1, která komplexně hodnotí ekonomickou efektivitu provozování, včetně generování prostředků obnovy </w:t>
      </w:r>
      <w:r w:rsidR="00962A95">
        <w:t>z </w:t>
      </w:r>
      <w:r>
        <w:t>vodnéh</w:t>
      </w:r>
      <w:r w:rsidR="00962A95">
        <w:t>o </w:t>
      </w:r>
      <w:r>
        <w:t xml:space="preserve">a stočného. Opět je vidět, že nejhůře jsou </w:t>
      </w:r>
      <w:r w:rsidR="00962A95">
        <w:t>na </w:t>
      </w:r>
      <w:r>
        <w:t>tom provozovatelé komunálníh</w:t>
      </w:r>
      <w:r w:rsidR="00962A95">
        <w:t>o </w:t>
      </w:r>
      <w:r>
        <w:t xml:space="preserve">charakteru </w:t>
      </w:r>
      <w:r w:rsidR="00962A95">
        <w:t>ve </w:t>
      </w:r>
      <w:r>
        <w:t xml:space="preserve">skupinách s počtem připojených obyvatel nižším </w:t>
      </w:r>
      <w:r w:rsidR="00962A95">
        <w:t>než </w:t>
      </w:r>
      <w:r>
        <w:t xml:space="preserve">10 tis., kteří představují více </w:t>
      </w:r>
      <w:r w:rsidR="00962A95">
        <w:t>než </w:t>
      </w:r>
      <w:r>
        <w:t>57 %</w:t>
      </w:r>
      <w:r w:rsidR="00DE53F8">
        <w:t xml:space="preserve"> u </w:t>
      </w:r>
      <w:r>
        <w:t xml:space="preserve">pitné vody a více </w:t>
      </w:r>
      <w:r w:rsidR="00962A95">
        <w:t>než </w:t>
      </w:r>
      <w:r>
        <w:t>70 %</w:t>
      </w:r>
      <w:r w:rsidR="00DE53F8">
        <w:t xml:space="preserve"> u </w:t>
      </w:r>
      <w:r>
        <w:t xml:space="preserve">odpadní vody všech </w:t>
      </w:r>
      <w:r w:rsidR="00145484">
        <w:t>Porovnání s výskytem</w:t>
      </w:r>
      <w:r>
        <w:t xml:space="preserve"> tét</w:t>
      </w:r>
      <w:r w:rsidR="00962A95">
        <w:t>o </w:t>
      </w:r>
      <w:r>
        <w:t xml:space="preserve">anomálie. </w:t>
      </w:r>
    </w:p>
    <w:p w14:paraId="505FE3D4" w14:textId="4BED3F46" w:rsidR="00252351" w:rsidRDefault="00252351" w:rsidP="00252351">
      <w:pPr>
        <w:pStyle w:val="NORMLN0"/>
      </w:pPr>
    </w:p>
    <w:p w14:paraId="67A14163" w14:textId="77777777" w:rsidR="001C0012" w:rsidRDefault="001C0012" w:rsidP="00252351">
      <w:pPr>
        <w:pStyle w:val="NORMLN0"/>
      </w:pPr>
    </w:p>
    <w:tbl>
      <w:tblPr>
        <w:tblStyle w:val="Tabulkasmkou4zvraznn4"/>
        <w:tblW w:w="10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EEAF6" w:themeColor="accent1" w:themeTint="33"/>
          <w:insideV w:val="single" w:sz="4" w:space="0" w:color="DEEAF6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174"/>
        <w:gridCol w:w="1737"/>
        <w:gridCol w:w="1475"/>
        <w:gridCol w:w="1046"/>
        <w:gridCol w:w="1583"/>
        <w:gridCol w:w="1388"/>
      </w:tblGrid>
      <w:tr w:rsidR="00EF2AA8" w:rsidRPr="00EF2AA8" w14:paraId="7742A20D" w14:textId="77777777" w:rsidTr="00940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F053C70" w14:textId="33AF3E56" w:rsidR="00EF2AA8" w:rsidRPr="00252351" w:rsidRDefault="00EF2AA8" w:rsidP="00EF2AA8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  <w:t>CHARAKTER PROVOZOVATELE</w:t>
            </w:r>
          </w:p>
        </w:tc>
        <w:tc>
          <w:tcPr>
            <w:tcW w:w="11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5"/>
            <w:vAlign w:val="center"/>
          </w:tcPr>
          <w:p w14:paraId="06EC999D" w14:textId="40DAA1E7" w:rsidR="00EF2AA8" w:rsidRPr="00252351" w:rsidRDefault="00EF2AA8" w:rsidP="00EF2AA8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5"/>
            <w:vAlign w:val="center"/>
          </w:tcPr>
          <w:p w14:paraId="3DCDD881" w14:textId="0347140E" w:rsidR="00EF2AA8" w:rsidRPr="00252351" w:rsidRDefault="00EF2AA8" w:rsidP="00EF2AA8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  <w:t>PITNÁ VODA</w:t>
            </w:r>
          </w:p>
        </w:tc>
        <w:tc>
          <w:tcPr>
            <w:tcW w:w="1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5"/>
            <w:vAlign w:val="center"/>
          </w:tcPr>
          <w:p w14:paraId="1CF796BF" w14:textId="72CBA5AA" w:rsidR="00EF2AA8" w:rsidRPr="00252351" w:rsidRDefault="00EF2AA8" w:rsidP="00EF2AA8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401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vAlign w:val="center"/>
          </w:tcPr>
          <w:p w14:paraId="791D61EC" w14:textId="4D3D3EB9" w:rsidR="00EF2AA8" w:rsidRPr="00252351" w:rsidRDefault="00EF2AA8" w:rsidP="00EF2AA8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lang w:eastAsia="cs-CZ"/>
              </w:rPr>
              <w:t>ODPADNÍ VODA</w:t>
            </w:r>
          </w:p>
        </w:tc>
      </w:tr>
      <w:tr w:rsidR="00EF2AA8" w:rsidRPr="00EF2AA8" w14:paraId="41C6C20F" w14:textId="77777777" w:rsidTr="0094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Merge/>
            <w:shd w:val="clear" w:color="auto" w:fill="A6A6A6" w:themeFill="background1" w:themeFillShade="A6"/>
            <w:vAlign w:val="center"/>
          </w:tcPr>
          <w:p w14:paraId="3ABD1417" w14:textId="1A93D06A" w:rsidR="00EF2AA8" w:rsidRPr="00252351" w:rsidRDefault="00EF2AA8" w:rsidP="00EF2AA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74" w:type="dxa"/>
            <w:shd w:val="clear" w:color="auto" w:fill="5B9BD5" w:themeFill="accent1"/>
            <w:vAlign w:val="center"/>
          </w:tcPr>
          <w:p w14:paraId="02B87C1E" w14:textId="234947B5" w:rsidR="00EF2AA8" w:rsidRPr="001C0012" w:rsidRDefault="00EF2AA8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</w:pP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POČET VÝSKYTŮ ANOMÁLIE CELKEM</w:t>
            </w:r>
          </w:p>
        </w:tc>
        <w:tc>
          <w:tcPr>
            <w:tcW w:w="1737" w:type="dxa"/>
            <w:shd w:val="clear" w:color="auto" w:fill="5B9BD5" w:themeFill="accent1"/>
            <w:vAlign w:val="center"/>
          </w:tcPr>
          <w:p w14:paraId="7A7E427E" w14:textId="57BAB327" w:rsidR="00EF2AA8" w:rsidRPr="001C0012" w:rsidRDefault="00EF2AA8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</w:pP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POČET VÝSKYTŮ ANOMÁLIE  </w:t>
            </w:r>
            <w:r w:rsidR="00962A95"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 VI., VII. A VIII. SKUPINĚ (&lt; 10 TIS. ZÁSOBENÝCH OBYVATEL)</w:t>
            </w:r>
          </w:p>
        </w:tc>
        <w:tc>
          <w:tcPr>
            <w:tcW w:w="1475" w:type="dxa"/>
            <w:shd w:val="clear" w:color="auto" w:fill="5B9BD5" w:themeFill="accent1"/>
            <w:vAlign w:val="center"/>
          </w:tcPr>
          <w:p w14:paraId="58C9D36F" w14:textId="002323D0" w:rsidR="00EF2AA8" w:rsidRPr="001C0012" w:rsidRDefault="00EF2AA8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</w:pP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PODÍL POČTU VÝSKYTŮ </w:t>
            </w:r>
            <w:r w:rsidR="00962A95"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VI. Až VIII. SKUPINĚ </w:t>
            </w:r>
            <w:r w:rsidR="00962A95"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NA </w:t>
            </w: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CELKOVÉM VÝSKYTU ANOMÁLIE</w:t>
            </w:r>
          </w:p>
        </w:tc>
        <w:tc>
          <w:tcPr>
            <w:tcW w:w="1046" w:type="dxa"/>
            <w:shd w:val="clear" w:color="auto" w:fill="F4B083" w:themeFill="accent2" w:themeFillTint="99"/>
            <w:vAlign w:val="center"/>
          </w:tcPr>
          <w:p w14:paraId="51C13D3D" w14:textId="16C53B82" w:rsidR="00EF2AA8" w:rsidRPr="001C0012" w:rsidRDefault="00EF2AA8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</w:pP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POČET VÝSKYTŮ ANOMÁLIE CELKEM</w:t>
            </w:r>
          </w:p>
        </w:tc>
        <w:tc>
          <w:tcPr>
            <w:tcW w:w="1583" w:type="dxa"/>
            <w:shd w:val="clear" w:color="auto" w:fill="F4B083" w:themeFill="accent2" w:themeFillTint="99"/>
            <w:vAlign w:val="center"/>
          </w:tcPr>
          <w:p w14:paraId="7D5726EC" w14:textId="2366B343" w:rsidR="00EF2AA8" w:rsidRPr="001C0012" w:rsidRDefault="00EF2AA8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</w:pP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POČET VÝSKYTŮ ANOMÁLIE  </w:t>
            </w:r>
            <w:r w:rsidR="00962A95"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 VI., VII. A VIII. SKUPINĚ (&lt; 10 TIS. ZÁSOBENÝCH OBYVATEL)</w:t>
            </w:r>
          </w:p>
        </w:tc>
        <w:tc>
          <w:tcPr>
            <w:tcW w:w="1388" w:type="dxa"/>
            <w:shd w:val="clear" w:color="auto" w:fill="F4B083" w:themeFill="accent2" w:themeFillTint="99"/>
            <w:vAlign w:val="center"/>
          </w:tcPr>
          <w:p w14:paraId="137D1CCE" w14:textId="7E93C898" w:rsidR="00EF2AA8" w:rsidRPr="001C0012" w:rsidRDefault="00EF2AA8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</w:pP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PODÍL POČTU VÝSKYTŮ </w:t>
            </w:r>
            <w:r w:rsidR="00962A95"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V </w:t>
            </w: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 xml:space="preserve">VI. Až VIII. SKUPINĚ </w:t>
            </w:r>
            <w:r w:rsidR="00962A95"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NA </w:t>
            </w:r>
            <w:r w:rsidRPr="001C0012">
              <w:rPr>
                <w:rFonts w:asciiTheme="majorHAnsi" w:eastAsia="Times New Roman" w:hAnsiTheme="majorHAnsi" w:cstheme="majorHAnsi"/>
                <w:bCs/>
                <w:color w:val="FFFFFF"/>
                <w:sz w:val="18"/>
                <w:szCs w:val="18"/>
                <w:lang w:eastAsia="cs-CZ"/>
              </w:rPr>
              <w:t>CELKOVÉM VÝSKYTU ANOMÁLIE</w:t>
            </w:r>
          </w:p>
        </w:tc>
      </w:tr>
      <w:tr w:rsidR="00EF2AA8" w:rsidRPr="00EF2AA8" w14:paraId="2AC6164F" w14:textId="77777777" w:rsidTr="009403D1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F2F2F2" w:themeFill="background1" w:themeFillShade="F2"/>
            <w:noWrap/>
            <w:vAlign w:val="center"/>
            <w:hideMark/>
          </w:tcPr>
          <w:p w14:paraId="524FCEB9" w14:textId="77777777" w:rsidR="00252351" w:rsidRPr="00252351" w:rsidRDefault="00252351" w:rsidP="00EF2AA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  <w:t>KOMBINACE</w:t>
            </w:r>
          </w:p>
        </w:tc>
        <w:tc>
          <w:tcPr>
            <w:tcW w:w="1174" w:type="dxa"/>
            <w:shd w:val="clear" w:color="auto" w:fill="DEEAF6" w:themeFill="accent1" w:themeFillTint="33"/>
            <w:noWrap/>
            <w:vAlign w:val="center"/>
            <w:hideMark/>
          </w:tcPr>
          <w:p w14:paraId="5ABA6EBD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37" w:type="dxa"/>
            <w:shd w:val="clear" w:color="auto" w:fill="DEEAF6" w:themeFill="accent1" w:themeFillTint="33"/>
            <w:noWrap/>
            <w:vAlign w:val="center"/>
            <w:hideMark/>
          </w:tcPr>
          <w:p w14:paraId="3D373934" w14:textId="1968902A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EF2AA8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475" w:type="dxa"/>
            <w:shd w:val="clear" w:color="auto" w:fill="DEEAF6" w:themeFill="accent1" w:themeFillTint="33"/>
            <w:noWrap/>
            <w:vAlign w:val="center"/>
            <w:hideMark/>
          </w:tcPr>
          <w:p w14:paraId="0A9A52FD" w14:textId="25D10B64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EF2AA8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046" w:type="dxa"/>
            <w:shd w:val="clear" w:color="auto" w:fill="F7CAAC" w:themeFill="accent2" w:themeFillTint="66"/>
            <w:noWrap/>
            <w:vAlign w:val="center"/>
            <w:hideMark/>
          </w:tcPr>
          <w:p w14:paraId="5D6E783E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83" w:type="dxa"/>
            <w:shd w:val="clear" w:color="auto" w:fill="F7CAAC" w:themeFill="accent2" w:themeFillTint="66"/>
            <w:noWrap/>
            <w:vAlign w:val="center"/>
            <w:hideMark/>
          </w:tcPr>
          <w:p w14:paraId="7207D589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88" w:type="dxa"/>
            <w:shd w:val="clear" w:color="auto" w:fill="F7CAAC" w:themeFill="accent2" w:themeFillTint="66"/>
            <w:noWrap/>
            <w:vAlign w:val="center"/>
            <w:hideMark/>
          </w:tcPr>
          <w:p w14:paraId="3197E201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100,00%</w:t>
            </w:r>
          </w:p>
        </w:tc>
      </w:tr>
      <w:tr w:rsidR="00EF2AA8" w:rsidRPr="00EF2AA8" w14:paraId="6FF271A3" w14:textId="77777777" w:rsidTr="0094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A6A6A6" w:themeFill="background1" w:themeFillShade="A6"/>
            <w:noWrap/>
            <w:vAlign w:val="center"/>
            <w:hideMark/>
          </w:tcPr>
          <w:p w14:paraId="0C52954A" w14:textId="77777777" w:rsidR="00252351" w:rsidRPr="00252351" w:rsidRDefault="00252351" w:rsidP="00EF2AA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  <w:t>KOMUNÁLNÍ</w:t>
            </w:r>
          </w:p>
        </w:tc>
        <w:tc>
          <w:tcPr>
            <w:tcW w:w="1174" w:type="dxa"/>
            <w:shd w:val="clear" w:color="auto" w:fill="BDD6EE" w:themeFill="accent1" w:themeFillTint="66"/>
            <w:noWrap/>
            <w:vAlign w:val="center"/>
            <w:hideMark/>
          </w:tcPr>
          <w:p w14:paraId="57360163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947</w:t>
            </w:r>
          </w:p>
        </w:tc>
        <w:tc>
          <w:tcPr>
            <w:tcW w:w="1737" w:type="dxa"/>
            <w:shd w:val="clear" w:color="auto" w:fill="BDD6EE" w:themeFill="accent1" w:themeFillTint="66"/>
            <w:noWrap/>
            <w:vAlign w:val="center"/>
            <w:hideMark/>
          </w:tcPr>
          <w:p w14:paraId="4DE01412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940</w:t>
            </w:r>
          </w:p>
        </w:tc>
        <w:tc>
          <w:tcPr>
            <w:tcW w:w="1475" w:type="dxa"/>
            <w:shd w:val="clear" w:color="auto" w:fill="BDD6EE" w:themeFill="accent1" w:themeFillTint="66"/>
            <w:noWrap/>
            <w:vAlign w:val="center"/>
            <w:hideMark/>
          </w:tcPr>
          <w:p w14:paraId="286EDFF7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99,26%</w:t>
            </w:r>
          </w:p>
        </w:tc>
        <w:tc>
          <w:tcPr>
            <w:tcW w:w="1046" w:type="dxa"/>
            <w:shd w:val="clear" w:color="auto" w:fill="F4B083" w:themeFill="accent2" w:themeFillTint="99"/>
            <w:noWrap/>
            <w:vAlign w:val="center"/>
            <w:hideMark/>
          </w:tcPr>
          <w:p w14:paraId="4092D003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1540</w:t>
            </w:r>
          </w:p>
        </w:tc>
        <w:tc>
          <w:tcPr>
            <w:tcW w:w="1583" w:type="dxa"/>
            <w:shd w:val="clear" w:color="auto" w:fill="F4B083" w:themeFill="accent2" w:themeFillTint="99"/>
            <w:noWrap/>
            <w:vAlign w:val="center"/>
            <w:hideMark/>
          </w:tcPr>
          <w:p w14:paraId="5B42CF4A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1531</w:t>
            </w:r>
          </w:p>
        </w:tc>
        <w:tc>
          <w:tcPr>
            <w:tcW w:w="1388" w:type="dxa"/>
            <w:shd w:val="clear" w:color="auto" w:fill="F4B083" w:themeFill="accent2" w:themeFillTint="99"/>
            <w:noWrap/>
            <w:vAlign w:val="center"/>
            <w:hideMark/>
          </w:tcPr>
          <w:p w14:paraId="2D173FAC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99,42%</w:t>
            </w:r>
          </w:p>
        </w:tc>
      </w:tr>
      <w:tr w:rsidR="00EF2AA8" w:rsidRPr="00EF2AA8" w14:paraId="29BE0BA6" w14:textId="77777777" w:rsidTr="009403D1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F2F2F2" w:themeFill="background1" w:themeFillShade="F2"/>
            <w:noWrap/>
            <w:vAlign w:val="center"/>
            <w:hideMark/>
          </w:tcPr>
          <w:p w14:paraId="42FE7758" w14:textId="77777777" w:rsidR="00252351" w:rsidRPr="00252351" w:rsidRDefault="00252351" w:rsidP="00EF2AA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  <w:t>SOUKROMÉ</w:t>
            </w:r>
          </w:p>
        </w:tc>
        <w:tc>
          <w:tcPr>
            <w:tcW w:w="1174" w:type="dxa"/>
            <w:shd w:val="clear" w:color="auto" w:fill="DEEAF6" w:themeFill="accent1" w:themeFillTint="33"/>
            <w:noWrap/>
            <w:vAlign w:val="center"/>
            <w:hideMark/>
          </w:tcPr>
          <w:p w14:paraId="373551FF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299</w:t>
            </w:r>
          </w:p>
        </w:tc>
        <w:tc>
          <w:tcPr>
            <w:tcW w:w="1737" w:type="dxa"/>
            <w:shd w:val="clear" w:color="auto" w:fill="DEEAF6" w:themeFill="accent1" w:themeFillTint="33"/>
            <w:noWrap/>
            <w:vAlign w:val="center"/>
            <w:hideMark/>
          </w:tcPr>
          <w:p w14:paraId="1397741D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296</w:t>
            </w:r>
          </w:p>
        </w:tc>
        <w:tc>
          <w:tcPr>
            <w:tcW w:w="1475" w:type="dxa"/>
            <w:shd w:val="clear" w:color="auto" w:fill="DEEAF6" w:themeFill="accent1" w:themeFillTint="33"/>
            <w:noWrap/>
            <w:vAlign w:val="center"/>
            <w:hideMark/>
          </w:tcPr>
          <w:p w14:paraId="344E3329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99,00%</w:t>
            </w:r>
          </w:p>
        </w:tc>
        <w:tc>
          <w:tcPr>
            <w:tcW w:w="1046" w:type="dxa"/>
            <w:shd w:val="clear" w:color="auto" w:fill="F7CAAC" w:themeFill="accent2" w:themeFillTint="66"/>
            <w:noWrap/>
            <w:vAlign w:val="center"/>
            <w:hideMark/>
          </w:tcPr>
          <w:p w14:paraId="370D6F55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267</w:t>
            </w:r>
          </w:p>
        </w:tc>
        <w:tc>
          <w:tcPr>
            <w:tcW w:w="1583" w:type="dxa"/>
            <w:shd w:val="clear" w:color="auto" w:fill="F7CAAC" w:themeFill="accent2" w:themeFillTint="66"/>
            <w:noWrap/>
            <w:vAlign w:val="center"/>
            <w:hideMark/>
          </w:tcPr>
          <w:p w14:paraId="1974D5A4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265</w:t>
            </w:r>
          </w:p>
        </w:tc>
        <w:tc>
          <w:tcPr>
            <w:tcW w:w="1388" w:type="dxa"/>
            <w:shd w:val="clear" w:color="auto" w:fill="F7CAAC" w:themeFill="accent2" w:themeFillTint="66"/>
            <w:noWrap/>
            <w:vAlign w:val="center"/>
            <w:hideMark/>
          </w:tcPr>
          <w:p w14:paraId="3234AC2D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99,25%</w:t>
            </w:r>
          </w:p>
        </w:tc>
      </w:tr>
      <w:tr w:rsidR="00EF2AA8" w:rsidRPr="00EF2AA8" w14:paraId="5355E491" w14:textId="77777777" w:rsidTr="0094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A6A6A6" w:themeFill="background1" w:themeFillShade="A6"/>
            <w:vAlign w:val="center"/>
            <w:hideMark/>
          </w:tcPr>
          <w:p w14:paraId="7AD195D9" w14:textId="77777777" w:rsidR="00252351" w:rsidRPr="00252351" w:rsidRDefault="00252351" w:rsidP="00EF2AA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  <w:t>SOUKROMÉ POD ZAHRANIČNÍ KONTROLOU</w:t>
            </w:r>
          </w:p>
        </w:tc>
        <w:tc>
          <w:tcPr>
            <w:tcW w:w="1174" w:type="dxa"/>
            <w:shd w:val="clear" w:color="auto" w:fill="BDD6EE" w:themeFill="accent1" w:themeFillTint="66"/>
            <w:noWrap/>
            <w:vAlign w:val="center"/>
            <w:hideMark/>
          </w:tcPr>
          <w:p w14:paraId="556EAF06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381</w:t>
            </w:r>
          </w:p>
        </w:tc>
        <w:tc>
          <w:tcPr>
            <w:tcW w:w="1737" w:type="dxa"/>
            <w:shd w:val="clear" w:color="auto" w:fill="BDD6EE" w:themeFill="accent1" w:themeFillTint="66"/>
            <w:noWrap/>
            <w:vAlign w:val="center"/>
            <w:hideMark/>
          </w:tcPr>
          <w:p w14:paraId="123D6980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376</w:t>
            </w:r>
          </w:p>
        </w:tc>
        <w:tc>
          <w:tcPr>
            <w:tcW w:w="1475" w:type="dxa"/>
            <w:shd w:val="clear" w:color="auto" w:fill="BDD6EE" w:themeFill="accent1" w:themeFillTint="66"/>
            <w:noWrap/>
            <w:vAlign w:val="center"/>
            <w:hideMark/>
          </w:tcPr>
          <w:p w14:paraId="590511B0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98,69%</w:t>
            </w:r>
          </w:p>
        </w:tc>
        <w:tc>
          <w:tcPr>
            <w:tcW w:w="1046" w:type="dxa"/>
            <w:shd w:val="clear" w:color="auto" w:fill="F4B083" w:themeFill="accent2" w:themeFillTint="99"/>
            <w:noWrap/>
            <w:vAlign w:val="center"/>
            <w:hideMark/>
          </w:tcPr>
          <w:p w14:paraId="32848400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583" w:type="dxa"/>
            <w:shd w:val="clear" w:color="auto" w:fill="F4B083" w:themeFill="accent2" w:themeFillTint="99"/>
            <w:noWrap/>
            <w:vAlign w:val="center"/>
            <w:hideMark/>
          </w:tcPr>
          <w:p w14:paraId="20C8BF88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349</w:t>
            </w:r>
          </w:p>
        </w:tc>
        <w:tc>
          <w:tcPr>
            <w:tcW w:w="1388" w:type="dxa"/>
            <w:shd w:val="clear" w:color="auto" w:fill="F4B083" w:themeFill="accent2" w:themeFillTint="99"/>
            <w:noWrap/>
            <w:vAlign w:val="center"/>
            <w:hideMark/>
          </w:tcPr>
          <w:p w14:paraId="50687B7A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97,76%</w:t>
            </w:r>
          </w:p>
        </w:tc>
      </w:tr>
      <w:tr w:rsidR="00EF2AA8" w:rsidRPr="00EF2AA8" w14:paraId="0201CEBE" w14:textId="77777777" w:rsidTr="009403D1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F2F2F2" w:themeFill="background1" w:themeFillShade="F2"/>
            <w:noWrap/>
            <w:vAlign w:val="center"/>
            <w:hideMark/>
          </w:tcPr>
          <w:p w14:paraId="212E6213" w14:textId="77777777" w:rsidR="00252351" w:rsidRPr="00252351" w:rsidRDefault="00252351" w:rsidP="00EF2AA8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 w:val="0"/>
                <w:sz w:val="18"/>
                <w:szCs w:val="18"/>
                <w:lang w:eastAsia="cs-CZ"/>
              </w:rPr>
              <w:t>STÁTNÍ</w:t>
            </w:r>
          </w:p>
        </w:tc>
        <w:tc>
          <w:tcPr>
            <w:tcW w:w="1174" w:type="dxa"/>
            <w:shd w:val="clear" w:color="auto" w:fill="DEEAF6" w:themeFill="accent1" w:themeFillTint="33"/>
            <w:noWrap/>
            <w:vAlign w:val="center"/>
            <w:hideMark/>
          </w:tcPr>
          <w:p w14:paraId="0B752CC0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737" w:type="dxa"/>
            <w:shd w:val="clear" w:color="auto" w:fill="DEEAF6" w:themeFill="accent1" w:themeFillTint="33"/>
            <w:noWrap/>
            <w:vAlign w:val="center"/>
            <w:hideMark/>
          </w:tcPr>
          <w:p w14:paraId="29427DEB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75" w:type="dxa"/>
            <w:shd w:val="clear" w:color="auto" w:fill="DEEAF6" w:themeFill="accent1" w:themeFillTint="33"/>
            <w:noWrap/>
            <w:vAlign w:val="center"/>
            <w:hideMark/>
          </w:tcPr>
          <w:p w14:paraId="76E574BD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100,00%</w:t>
            </w:r>
          </w:p>
        </w:tc>
        <w:tc>
          <w:tcPr>
            <w:tcW w:w="1046" w:type="dxa"/>
            <w:shd w:val="clear" w:color="auto" w:fill="F7CAAC" w:themeFill="accent2" w:themeFillTint="66"/>
            <w:noWrap/>
            <w:vAlign w:val="center"/>
            <w:hideMark/>
          </w:tcPr>
          <w:p w14:paraId="5BBC64BA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83" w:type="dxa"/>
            <w:shd w:val="clear" w:color="auto" w:fill="F7CAAC" w:themeFill="accent2" w:themeFillTint="66"/>
            <w:noWrap/>
            <w:vAlign w:val="center"/>
            <w:hideMark/>
          </w:tcPr>
          <w:p w14:paraId="65712D54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388" w:type="dxa"/>
            <w:shd w:val="clear" w:color="auto" w:fill="F7CAAC" w:themeFill="accent2" w:themeFillTint="66"/>
            <w:noWrap/>
            <w:vAlign w:val="center"/>
            <w:hideMark/>
          </w:tcPr>
          <w:p w14:paraId="41E4CFB9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100,00%</w:t>
            </w:r>
          </w:p>
        </w:tc>
      </w:tr>
      <w:tr w:rsidR="00EF2AA8" w:rsidRPr="00EF2AA8" w14:paraId="5B28CEDF" w14:textId="77777777" w:rsidTr="0094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A6A6A6" w:themeFill="background1" w:themeFillShade="A6"/>
            <w:noWrap/>
            <w:vAlign w:val="center"/>
            <w:hideMark/>
          </w:tcPr>
          <w:p w14:paraId="1A64FD08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  <w:lang w:eastAsia="cs-CZ"/>
              </w:rPr>
              <w:t>CELKOVÝ SOUČET</w:t>
            </w:r>
          </w:p>
        </w:tc>
        <w:tc>
          <w:tcPr>
            <w:tcW w:w="1174" w:type="dxa"/>
            <w:shd w:val="clear" w:color="auto" w:fill="5B9BD5" w:themeFill="accent1"/>
            <w:noWrap/>
            <w:vAlign w:val="center"/>
            <w:hideMark/>
          </w:tcPr>
          <w:p w14:paraId="2F4BE39E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1633</w:t>
            </w:r>
          </w:p>
        </w:tc>
        <w:tc>
          <w:tcPr>
            <w:tcW w:w="1737" w:type="dxa"/>
            <w:shd w:val="clear" w:color="auto" w:fill="5B9BD5" w:themeFill="accent1"/>
            <w:noWrap/>
            <w:vAlign w:val="center"/>
            <w:hideMark/>
          </w:tcPr>
          <w:p w14:paraId="0D67E85D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1617</w:t>
            </w:r>
          </w:p>
        </w:tc>
        <w:tc>
          <w:tcPr>
            <w:tcW w:w="1475" w:type="dxa"/>
            <w:shd w:val="clear" w:color="auto" w:fill="5B9BD5" w:themeFill="accent1"/>
            <w:noWrap/>
            <w:vAlign w:val="center"/>
            <w:hideMark/>
          </w:tcPr>
          <w:p w14:paraId="6649E198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99,02%</w:t>
            </w:r>
          </w:p>
        </w:tc>
        <w:tc>
          <w:tcPr>
            <w:tcW w:w="1046" w:type="dxa"/>
            <w:shd w:val="clear" w:color="auto" w:fill="ED7D31" w:themeFill="accent2"/>
            <w:noWrap/>
            <w:vAlign w:val="center"/>
            <w:hideMark/>
          </w:tcPr>
          <w:p w14:paraId="3B606BB2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  <w:lang w:eastAsia="cs-CZ"/>
              </w:rPr>
              <w:t>2174</w:t>
            </w:r>
          </w:p>
        </w:tc>
        <w:tc>
          <w:tcPr>
            <w:tcW w:w="1583" w:type="dxa"/>
            <w:shd w:val="clear" w:color="auto" w:fill="ED7D31" w:themeFill="accent2"/>
            <w:noWrap/>
            <w:vAlign w:val="center"/>
            <w:hideMark/>
          </w:tcPr>
          <w:p w14:paraId="7D105F95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  <w:lang w:eastAsia="cs-CZ"/>
              </w:rPr>
              <w:t>2155</w:t>
            </w:r>
          </w:p>
        </w:tc>
        <w:tc>
          <w:tcPr>
            <w:tcW w:w="1388" w:type="dxa"/>
            <w:shd w:val="clear" w:color="auto" w:fill="ED7D31" w:themeFill="accent2"/>
            <w:noWrap/>
            <w:vAlign w:val="center"/>
            <w:hideMark/>
          </w:tcPr>
          <w:p w14:paraId="782FC1C0" w14:textId="77777777" w:rsidR="00252351" w:rsidRPr="00252351" w:rsidRDefault="00252351" w:rsidP="00EF2AA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  <w:lang w:eastAsia="cs-CZ"/>
              </w:rPr>
            </w:pPr>
            <w:r w:rsidRPr="00252351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  <w:lang w:eastAsia="cs-CZ"/>
              </w:rPr>
              <w:t>99,13%</w:t>
            </w:r>
          </w:p>
        </w:tc>
      </w:tr>
    </w:tbl>
    <w:p w14:paraId="018308AA" w14:textId="091E9230" w:rsidR="00252351" w:rsidRDefault="00252351" w:rsidP="00252351">
      <w:pPr>
        <w:pStyle w:val="NORMLN0"/>
      </w:pPr>
    </w:p>
    <w:p w14:paraId="74DAE9F7" w14:textId="77777777" w:rsidR="001C0012" w:rsidRDefault="001C0012" w:rsidP="00252351">
      <w:pPr>
        <w:pStyle w:val="NORMLN0"/>
      </w:pPr>
    </w:p>
    <w:p w14:paraId="3D9E2E75" w14:textId="6E573797" w:rsidR="00136631" w:rsidRDefault="00962A95" w:rsidP="00D8587F">
      <w:pPr>
        <w:pStyle w:val="NORMLN0"/>
      </w:pPr>
      <w:r>
        <w:t>Pro </w:t>
      </w:r>
      <w:r w:rsidR="00CD1E64">
        <w:t xml:space="preserve">doplnění </w:t>
      </w:r>
      <w:r w:rsidR="00145484">
        <w:t xml:space="preserve">tvrzení </w:t>
      </w:r>
      <w:r>
        <w:t>o </w:t>
      </w:r>
      <w:r w:rsidR="00145484">
        <w:t>slabší úrovni provozování</w:t>
      </w:r>
      <w:r w:rsidR="00DE53F8">
        <w:t xml:space="preserve"> u </w:t>
      </w:r>
      <w:r w:rsidR="00145484">
        <w:t xml:space="preserve">menších komunálních provozovatelů je </w:t>
      </w:r>
      <w:r w:rsidR="00AD2656">
        <w:t>uvedena</w:t>
      </w:r>
      <w:r w:rsidR="00136631">
        <w:t xml:space="preserve"> </w:t>
      </w:r>
      <w:r w:rsidR="00D8587F">
        <w:t>tabulk</w:t>
      </w:r>
      <w:r w:rsidR="00136631">
        <w:t xml:space="preserve">a </w:t>
      </w:r>
      <w:r w:rsidR="00AD2656">
        <w:t xml:space="preserve">níže </w:t>
      </w:r>
      <w:r w:rsidR="00136631">
        <w:t xml:space="preserve">s informacemi </w:t>
      </w:r>
      <w:r>
        <w:t>o </w:t>
      </w:r>
      <w:r w:rsidR="00136631">
        <w:t xml:space="preserve">kvalitě pitné vody a odváděné odpadní vody </w:t>
      </w:r>
      <w:r>
        <w:t>na </w:t>
      </w:r>
      <w:r w:rsidR="00AD2656">
        <w:t>příkladu anomálií</w:t>
      </w:r>
      <w:r w:rsidR="00136631">
        <w:t xml:space="preserve"> nevyhovující vzorky &gt; 20%.  </w:t>
      </w:r>
      <w:r w:rsidR="00145484">
        <w:t>Tit</w:t>
      </w:r>
      <w:r>
        <w:t>o </w:t>
      </w:r>
      <w:r w:rsidR="00145484">
        <w:t xml:space="preserve">provozovatelé </w:t>
      </w:r>
      <w:r w:rsidR="00AD2656">
        <w:t xml:space="preserve">představují u všech druhů anomálií souvisejících s nevyhovujícími odebranými vzorky </w:t>
      </w:r>
      <w:r w:rsidR="00136631">
        <w:t xml:space="preserve">více </w:t>
      </w:r>
      <w:r>
        <w:t>než </w:t>
      </w:r>
      <w:r w:rsidR="00136631">
        <w:t xml:space="preserve">55 % </w:t>
      </w:r>
      <w:r w:rsidR="00252351">
        <w:t xml:space="preserve">Porovnání s </w:t>
      </w:r>
      <w:r w:rsidR="00136631">
        <w:t>výskyt</w:t>
      </w:r>
      <w:r w:rsidR="00252351">
        <w:t>em</w:t>
      </w:r>
      <w:r w:rsidR="00136631">
        <w:t xml:space="preserve"> </w:t>
      </w:r>
      <w:r w:rsidR="00AD2656">
        <w:t xml:space="preserve">jednotlivých </w:t>
      </w:r>
      <w:r w:rsidR="00136631">
        <w:t>anomálií</w:t>
      </w:r>
      <w:r w:rsidR="00AD2656">
        <w:t>.</w:t>
      </w:r>
      <w:r w:rsidR="00136631">
        <w:t xml:space="preserve"> </w:t>
      </w:r>
    </w:p>
    <w:p w14:paraId="64EBBB46" w14:textId="5D92FB59" w:rsidR="00136631" w:rsidRDefault="00136631" w:rsidP="00D8587F">
      <w:pPr>
        <w:pStyle w:val="NORMLN0"/>
      </w:pPr>
    </w:p>
    <w:p w14:paraId="6AC15EA5" w14:textId="77777777" w:rsidR="001C0012" w:rsidRDefault="001C0012" w:rsidP="00D8587F">
      <w:pPr>
        <w:pStyle w:val="NORMLN0"/>
      </w:pPr>
    </w:p>
    <w:tbl>
      <w:tblPr>
        <w:tblStyle w:val="Tabulkasmkou4zvraznn41"/>
        <w:tblW w:w="5217" w:type="pct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670"/>
        <w:gridCol w:w="903"/>
        <w:gridCol w:w="856"/>
        <w:gridCol w:w="9"/>
        <w:gridCol w:w="558"/>
        <w:gridCol w:w="841"/>
        <w:gridCol w:w="854"/>
        <w:gridCol w:w="13"/>
        <w:gridCol w:w="661"/>
        <w:gridCol w:w="996"/>
        <w:gridCol w:w="964"/>
      </w:tblGrid>
      <w:tr w:rsidR="000E0178" w:rsidRPr="00136631" w14:paraId="10979C78" w14:textId="77777777" w:rsidTr="00CF6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EA3B306" w14:textId="2AD00225" w:rsidR="000E0178" w:rsidRPr="00D326DF" w:rsidRDefault="000E0178" w:rsidP="00D326D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CHARAKTER PROVOZOVATELE</w:t>
            </w:r>
          </w:p>
        </w:tc>
        <w:tc>
          <w:tcPr>
            <w:tcW w:w="2485" w:type="pct"/>
            <w:gridSpan w:val="8"/>
            <w:tcBorders>
              <w:top w:val="nil"/>
              <w:bottom w:val="nil"/>
              <w:right w:val="double" w:sz="4" w:space="0" w:color="FFFFFF" w:themeColor="background1"/>
            </w:tcBorders>
            <w:vAlign w:val="center"/>
          </w:tcPr>
          <w:p w14:paraId="5B3BB609" w14:textId="4295186F" w:rsidR="000E0178" w:rsidRPr="00D326DF" w:rsidRDefault="000E0178" w:rsidP="000E0178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0E0178">
              <w:rPr>
                <w:rFonts w:asciiTheme="majorHAnsi" w:eastAsia="Times New Roman" w:hAnsiTheme="majorHAnsi" w:cstheme="majorHAnsi"/>
                <w:color w:val="FFFFFF" w:themeColor="background1"/>
                <w:sz w:val="22"/>
                <w:szCs w:val="18"/>
              </w:rPr>
              <w:t>PITNÁ VODA</w:t>
            </w:r>
          </w:p>
        </w:tc>
        <w:tc>
          <w:tcPr>
            <w:tcW w:w="1384" w:type="pct"/>
            <w:gridSpan w:val="3"/>
            <w:tcBorders>
              <w:top w:val="nil"/>
              <w:left w:val="double" w:sz="4" w:space="0" w:color="FFFFFF" w:themeColor="background1"/>
              <w:bottom w:val="nil"/>
              <w:right w:val="nil"/>
            </w:tcBorders>
            <w:shd w:val="clear" w:color="auto" w:fill="FFC000" w:themeFill="accent4"/>
            <w:vAlign w:val="center"/>
          </w:tcPr>
          <w:p w14:paraId="1CC36F75" w14:textId="1039B234" w:rsidR="000E0178" w:rsidRPr="00D326DF" w:rsidRDefault="000E0178" w:rsidP="000E0178">
            <w:pPr>
              <w:spacing w:before="0" w:after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0E0178">
              <w:rPr>
                <w:rFonts w:asciiTheme="majorHAnsi" w:eastAsia="Times New Roman" w:hAnsiTheme="majorHAnsi" w:cstheme="majorHAnsi"/>
                <w:color w:val="FFFFFF" w:themeColor="background1"/>
                <w:sz w:val="22"/>
                <w:szCs w:val="18"/>
              </w:rPr>
              <w:t>ODPADNÍ VODA</w:t>
            </w:r>
          </w:p>
        </w:tc>
      </w:tr>
      <w:tr w:rsidR="003F6F10" w:rsidRPr="00136631" w14:paraId="671C0CEE" w14:textId="77777777" w:rsidTr="00CF6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vMerge/>
            <w:tcBorders>
              <w:top w:val="nil"/>
              <w:left w:val="nil"/>
            </w:tcBorders>
            <w:vAlign w:val="center"/>
            <w:hideMark/>
          </w:tcPr>
          <w:p w14:paraId="38DA809A" w14:textId="7BE8BE0D" w:rsidR="003F6F10" w:rsidRPr="00136631" w:rsidRDefault="003F6F10" w:rsidP="00D326DF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88" w:type="pct"/>
            <w:gridSpan w:val="4"/>
            <w:tcBorders>
              <w:top w:val="nil"/>
              <w:right w:val="double" w:sz="4" w:space="0" w:color="FFFFFF" w:themeColor="background1"/>
            </w:tcBorders>
            <w:shd w:val="clear" w:color="auto" w:fill="8064A2"/>
            <w:vAlign w:val="center"/>
            <w:hideMark/>
          </w:tcPr>
          <w:p w14:paraId="31845DAD" w14:textId="71409F9D" w:rsidR="003F6F10" w:rsidRPr="00136631" w:rsidRDefault="003F6F10" w:rsidP="000E017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NEVYHOVUJÍCÍ FYZIKÁLNĚ CHEMICKÉ VZORKY &gt; 20 %</w:t>
            </w:r>
          </w:p>
        </w:tc>
        <w:tc>
          <w:tcPr>
            <w:tcW w:w="1197" w:type="pct"/>
            <w:gridSpan w:val="4"/>
            <w:tcBorders>
              <w:top w:val="nil"/>
              <w:left w:val="double" w:sz="4" w:space="0" w:color="FFFFFF" w:themeColor="background1"/>
              <w:right w:val="double" w:sz="4" w:space="0" w:color="FFFFFF" w:themeColor="background1"/>
            </w:tcBorders>
            <w:shd w:val="clear" w:color="auto" w:fill="8064A2"/>
            <w:vAlign w:val="center"/>
            <w:hideMark/>
          </w:tcPr>
          <w:p w14:paraId="3E0A857F" w14:textId="69114889" w:rsidR="003F6F10" w:rsidRPr="00136631" w:rsidRDefault="003F6F10" w:rsidP="000E017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NEVYHOVUJÍCÍ MIKROBIOLOGICKÉ A BIOLOGICKÉ VZORKY &gt; 20 %</w:t>
            </w:r>
          </w:p>
        </w:tc>
        <w:tc>
          <w:tcPr>
            <w:tcW w:w="1384" w:type="pct"/>
            <w:gridSpan w:val="3"/>
            <w:tcBorders>
              <w:top w:val="nil"/>
              <w:left w:val="double" w:sz="4" w:space="0" w:color="FFFFFF" w:themeColor="background1"/>
              <w:bottom w:val="nil"/>
              <w:right w:val="nil"/>
            </w:tcBorders>
            <w:shd w:val="clear" w:color="auto" w:fill="FFC000" w:themeFill="accent4"/>
            <w:vAlign w:val="center"/>
            <w:hideMark/>
          </w:tcPr>
          <w:p w14:paraId="34B03633" w14:textId="683ADF9A" w:rsidR="003F6F10" w:rsidRPr="00136631" w:rsidRDefault="003F6F10" w:rsidP="000E0178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NEVYHOVUJÍCÍ VZORKY VYPOUŠTĚNÝCH ODPADNÍCH VOD &gt; 20 %</w:t>
            </w:r>
          </w:p>
        </w:tc>
      </w:tr>
      <w:tr w:rsidR="003F6F10" w:rsidRPr="00136631" w14:paraId="2905D7BC" w14:textId="77777777" w:rsidTr="00CF6B96">
        <w:trPr>
          <w:cantSplit/>
          <w:trHeight w:val="2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vMerge/>
            <w:tcBorders>
              <w:left w:val="nil"/>
            </w:tcBorders>
            <w:hideMark/>
          </w:tcPr>
          <w:p w14:paraId="3A28EE76" w14:textId="77777777" w:rsidR="003F6F10" w:rsidRPr="00136631" w:rsidRDefault="003F6F10" w:rsidP="00136631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C8BBD7"/>
            <w:textDirection w:val="btLr"/>
            <w:hideMark/>
          </w:tcPr>
          <w:p w14:paraId="4F510334" w14:textId="77777777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POČET VÝSKYTŮ ANOMÁLIE CELKEM</w:t>
            </w:r>
          </w:p>
        </w:tc>
        <w:tc>
          <w:tcPr>
            <w:tcW w:w="477" w:type="pct"/>
            <w:shd w:val="clear" w:color="auto" w:fill="C8BBD7"/>
            <w:textDirection w:val="btLr"/>
            <w:hideMark/>
          </w:tcPr>
          <w:p w14:paraId="71F4AFAA" w14:textId="789EB346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POČET VÝSKYTŮ ANOMÁLIE 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VI., VII. A VIII. SKUPINĚ (&lt; 10 TIS. ZÁSOBENÝCH OBYVATEL)</w:t>
            </w:r>
          </w:p>
        </w:tc>
        <w:tc>
          <w:tcPr>
            <w:tcW w:w="452" w:type="pct"/>
            <w:tcBorders>
              <w:right w:val="double" w:sz="4" w:space="0" w:color="FFFFFF" w:themeColor="background1"/>
            </w:tcBorders>
            <w:shd w:val="clear" w:color="auto" w:fill="C8BBD7"/>
            <w:textDirection w:val="btLr"/>
            <w:hideMark/>
          </w:tcPr>
          <w:p w14:paraId="5303FB6D" w14:textId="5BF16188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PODÍL POČTU VÝSKYTŮ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VI. Až VIII. SKUPINĚ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CELKOVÉM VÝSKYTU ANOMÁLIE</w:t>
            </w:r>
          </w:p>
        </w:tc>
        <w:tc>
          <w:tcPr>
            <w:tcW w:w="300" w:type="pct"/>
            <w:gridSpan w:val="2"/>
            <w:tcBorders>
              <w:left w:val="double" w:sz="4" w:space="0" w:color="FFFFFF" w:themeColor="background1"/>
            </w:tcBorders>
            <w:textDirection w:val="btLr"/>
            <w:hideMark/>
          </w:tcPr>
          <w:p w14:paraId="5AD16960" w14:textId="77777777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POČET VÝSKYTŮ ANOMÁLIE CELKEM</w:t>
            </w:r>
          </w:p>
        </w:tc>
        <w:tc>
          <w:tcPr>
            <w:tcW w:w="444" w:type="pct"/>
            <w:textDirection w:val="btLr"/>
            <w:hideMark/>
          </w:tcPr>
          <w:p w14:paraId="2EC46D7B" w14:textId="283DE3DF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POČET VÝSKYTŮ ANOMÁLIE 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VI., VII. A VIII. SKUPINĚ (&lt; 10 TIS. ZÁSOBENÝCH OBYVATEL)</w:t>
            </w:r>
          </w:p>
        </w:tc>
        <w:tc>
          <w:tcPr>
            <w:tcW w:w="451" w:type="pct"/>
            <w:tcBorders>
              <w:right w:val="double" w:sz="4" w:space="0" w:color="FFFFFF" w:themeColor="background1"/>
            </w:tcBorders>
            <w:textDirection w:val="btLr"/>
            <w:hideMark/>
          </w:tcPr>
          <w:p w14:paraId="40A8C6D9" w14:textId="7DAA3E3A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PODÍL POČTU VÝSKYTŮ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VI. Až VIII. SKUPINĚ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CELKOVÉM VÝSKYTU ANOMÁLIE</w:t>
            </w:r>
          </w:p>
        </w:tc>
        <w:tc>
          <w:tcPr>
            <w:tcW w:w="356" w:type="pct"/>
            <w:gridSpan w:val="2"/>
            <w:tcBorders>
              <w:left w:val="double" w:sz="4" w:space="0" w:color="FFFFFF" w:themeColor="background1"/>
            </w:tcBorders>
            <w:shd w:val="clear" w:color="auto" w:fill="FFE599" w:themeFill="accent4" w:themeFillTint="66"/>
            <w:textDirection w:val="btLr"/>
            <w:hideMark/>
          </w:tcPr>
          <w:p w14:paraId="25E15165" w14:textId="77777777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POČET VÝSKYTŮ ANOMÁLIE CELKEM</w:t>
            </w:r>
          </w:p>
        </w:tc>
        <w:tc>
          <w:tcPr>
            <w:tcW w:w="526" w:type="pct"/>
            <w:shd w:val="clear" w:color="auto" w:fill="FFE599" w:themeFill="accent4" w:themeFillTint="66"/>
            <w:textDirection w:val="btLr"/>
            <w:hideMark/>
          </w:tcPr>
          <w:p w14:paraId="4FFC4C02" w14:textId="4813BA24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POČET VÝSKYTŮ ANOMÁLIE 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VI., VII. A VIII. SKUPINĚ (&lt; 10 TIS. ZÁSOBENÝCH OBYVATEL)</w:t>
            </w:r>
          </w:p>
        </w:tc>
        <w:tc>
          <w:tcPr>
            <w:tcW w:w="509" w:type="pct"/>
            <w:tcBorders>
              <w:right w:val="nil"/>
            </w:tcBorders>
            <w:shd w:val="clear" w:color="auto" w:fill="FFE599" w:themeFill="accent4" w:themeFillTint="66"/>
            <w:textDirection w:val="btLr"/>
            <w:hideMark/>
          </w:tcPr>
          <w:p w14:paraId="1CFCCB09" w14:textId="12F64301" w:rsidR="003F6F10" w:rsidRPr="00136631" w:rsidRDefault="003F6F10" w:rsidP="00136631">
            <w:pPr>
              <w:spacing w:before="0" w:after="0"/>
              <w:ind w:left="113" w:right="113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PODÍL POČTU VÝSKYTŮ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VI. Až VIII. SKUPINĚ </w:t>
            </w:r>
            <w:r w:rsidR="00962A9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 </w:t>
            </w: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CELKOVÉM VÝSKYTU ANOMÁLIE</w:t>
            </w:r>
          </w:p>
        </w:tc>
      </w:tr>
      <w:tr w:rsidR="003F6F10" w:rsidRPr="00136631" w14:paraId="4DFD55B8" w14:textId="77777777" w:rsidTr="00CF6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tcBorders>
              <w:left w:val="nil"/>
            </w:tcBorders>
            <w:noWrap/>
            <w:hideMark/>
          </w:tcPr>
          <w:p w14:paraId="60321B5D" w14:textId="5D0BD9EA" w:rsidR="00136631" w:rsidRPr="00136631" w:rsidRDefault="00D326DF" w:rsidP="00136631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  <w:t>KOMUNÁLNÍ</w:t>
            </w:r>
          </w:p>
        </w:tc>
        <w:tc>
          <w:tcPr>
            <w:tcW w:w="354" w:type="pct"/>
            <w:noWrap/>
            <w:vAlign w:val="center"/>
            <w:hideMark/>
          </w:tcPr>
          <w:p w14:paraId="7D50B757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77" w:type="pct"/>
            <w:noWrap/>
            <w:vAlign w:val="center"/>
            <w:hideMark/>
          </w:tcPr>
          <w:p w14:paraId="1C968EC7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52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56F019AB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99,43%</w:t>
            </w:r>
          </w:p>
        </w:tc>
        <w:tc>
          <w:tcPr>
            <w:tcW w:w="300" w:type="pct"/>
            <w:gridSpan w:val="2"/>
            <w:tcBorders>
              <w:left w:val="double" w:sz="4" w:space="0" w:color="FFFFFF" w:themeColor="background1"/>
            </w:tcBorders>
            <w:noWrap/>
            <w:vAlign w:val="center"/>
            <w:hideMark/>
          </w:tcPr>
          <w:p w14:paraId="5415A9DC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44" w:type="pct"/>
            <w:noWrap/>
            <w:vAlign w:val="center"/>
            <w:hideMark/>
          </w:tcPr>
          <w:p w14:paraId="5E22369C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51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6195E8C5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99,10%</w:t>
            </w:r>
          </w:p>
        </w:tc>
        <w:tc>
          <w:tcPr>
            <w:tcW w:w="356" w:type="pct"/>
            <w:gridSpan w:val="2"/>
            <w:tcBorders>
              <w:left w:val="double" w:sz="4" w:space="0" w:color="FFFFFF" w:themeColor="background1"/>
            </w:tcBorders>
            <w:noWrap/>
            <w:vAlign w:val="center"/>
            <w:hideMark/>
          </w:tcPr>
          <w:p w14:paraId="4F0FAF33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26" w:type="pct"/>
            <w:noWrap/>
            <w:vAlign w:val="center"/>
            <w:hideMark/>
          </w:tcPr>
          <w:p w14:paraId="27C10501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09" w:type="pct"/>
            <w:tcBorders>
              <w:right w:val="nil"/>
            </w:tcBorders>
            <w:noWrap/>
            <w:vAlign w:val="center"/>
            <w:hideMark/>
          </w:tcPr>
          <w:p w14:paraId="32E9CA29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95,56%</w:t>
            </w:r>
          </w:p>
        </w:tc>
      </w:tr>
      <w:tr w:rsidR="00D326DF" w:rsidRPr="00136631" w14:paraId="14B990E3" w14:textId="77777777" w:rsidTr="00CF6B96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tcBorders>
              <w:left w:val="nil"/>
            </w:tcBorders>
            <w:noWrap/>
            <w:hideMark/>
          </w:tcPr>
          <w:p w14:paraId="0ACE50FC" w14:textId="4EC7E300" w:rsidR="00136631" w:rsidRPr="00136631" w:rsidRDefault="00D326DF" w:rsidP="00136631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  <w:t>SOUKROMÉ</w:t>
            </w:r>
          </w:p>
        </w:tc>
        <w:tc>
          <w:tcPr>
            <w:tcW w:w="354" w:type="pct"/>
            <w:noWrap/>
            <w:vAlign w:val="center"/>
            <w:hideMark/>
          </w:tcPr>
          <w:p w14:paraId="28057E8F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77" w:type="pct"/>
            <w:noWrap/>
            <w:vAlign w:val="center"/>
            <w:hideMark/>
          </w:tcPr>
          <w:p w14:paraId="75D4F176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2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054040F2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300" w:type="pct"/>
            <w:gridSpan w:val="2"/>
            <w:tcBorders>
              <w:left w:val="double" w:sz="4" w:space="0" w:color="FFFFFF" w:themeColor="background1"/>
            </w:tcBorders>
            <w:noWrap/>
            <w:vAlign w:val="center"/>
            <w:hideMark/>
          </w:tcPr>
          <w:p w14:paraId="0D0827CF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4" w:type="pct"/>
            <w:noWrap/>
            <w:vAlign w:val="center"/>
            <w:hideMark/>
          </w:tcPr>
          <w:p w14:paraId="0CEBE3E7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1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5092D521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356" w:type="pct"/>
            <w:gridSpan w:val="2"/>
            <w:tcBorders>
              <w:left w:val="double" w:sz="4" w:space="0" w:color="FFFFFF" w:themeColor="background1"/>
            </w:tcBorders>
            <w:shd w:val="clear" w:color="auto" w:fill="FFE599" w:themeFill="accent4" w:themeFillTint="66"/>
            <w:noWrap/>
            <w:vAlign w:val="center"/>
            <w:hideMark/>
          </w:tcPr>
          <w:p w14:paraId="2C074661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6" w:type="pct"/>
            <w:shd w:val="clear" w:color="auto" w:fill="FFE599" w:themeFill="accent4" w:themeFillTint="66"/>
            <w:noWrap/>
            <w:vAlign w:val="center"/>
            <w:hideMark/>
          </w:tcPr>
          <w:p w14:paraId="2E23C697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9" w:type="pct"/>
            <w:tcBorders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2D86500B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100,00%</w:t>
            </w:r>
          </w:p>
        </w:tc>
      </w:tr>
      <w:tr w:rsidR="003F6F10" w:rsidRPr="00136631" w14:paraId="04472215" w14:textId="77777777" w:rsidTr="00CF6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tcBorders>
              <w:left w:val="nil"/>
            </w:tcBorders>
            <w:noWrap/>
            <w:hideMark/>
          </w:tcPr>
          <w:p w14:paraId="2DF8149B" w14:textId="714D2D4E" w:rsidR="00136631" w:rsidRPr="00136631" w:rsidRDefault="00D326DF" w:rsidP="00D326DF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  <w:t>SOUKROMÉ POD ZAHRANIČNÍ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  <w:t xml:space="preserve"> </w:t>
            </w:r>
            <w:r w:rsidRPr="00D326DF"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  <w:t>KONTROLOU</w:t>
            </w:r>
          </w:p>
        </w:tc>
        <w:tc>
          <w:tcPr>
            <w:tcW w:w="354" w:type="pct"/>
            <w:noWrap/>
            <w:vAlign w:val="center"/>
            <w:hideMark/>
          </w:tcPr>
          <w:p w14:paraId="213B445E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77" w:type="pct"/>
            <w:noWrap/>
            <w:vAlign w:val="center"/>
            <w:hideMark/>
          </w:tcPr>
          <w:p w14:paraId="79BA9D9E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52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073D9D94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98,41%</w:t>
            </w:r>
          </w:p>
        </w:tc>
        <w:tc>
          <w:tcPr>
            <w:tcW w:w="300" w:type="pct"/>
            <w:gridSpan w:val="2"/>
            <w:tcBorders>
              <w:left w:val="double" w:sz="4" w:space="0" w:color="FFFFFF" w:themeColor="background1"/>
            </w:tcBorders>
            <w:noWrap/>
            <w:vAlign w:val="center"/>
            <w:hideMark/>
          </w:tcPr>
          <w:p w14:paraId="61D2EEE3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44" w:type="pct"/>
            <w:noWrap/>
            <w:vAlign w:val="center"/>
            <w:hideMark/>
          </w:tcPr>
          <w:p w14:paraId="7423562D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1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0AADE2C7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356" w:type="pct"/>
            <w:gridSpan w:val="2"/>
            <w:tcBorders>
              <w:left w:val="double" w:sz="4" w:space="0" w:color="FFFFFF" w:themeColor="background1"/>
            </w:tcBorders>
            <w:noWrap/>
            <w:vAlign w:val="center"/>
            <w:hideMark/>
          </w:tcPr>
          <w:p w14:paraId="4BE1AB75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6" w:type="pct"/>
            <w:noWrap/>
            <w:vAlign w:val="center"/>
            <w:hideMark/>
          </w:tcPr>
          <w:p w14:paraId="2B7B8611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9" w:type="pct"/>
            <w:tcBorders>
              <w:right w:val="nil"/>
            </w:tcBorders>
            <w:noWrap/>
            <w:vAlign w:val="center"/>
            <w:hideMark/>
          </w:tcPr>
          <w:p w14:paraId="3CD2F67E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92,86%</w:t>
            </w:r>
          </w:p>
        </w:tc>
      </w:tr>
      <w:tr w:rsidR="00D326DF" w:rsidRPr="00136631" w14:paraId="4E0582E5" w14:textId="77777777" w:rsidTr="00CF6B96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tcBorders>
              <w:left w:val="nil"/>
            </w:tcBorders>
            <w:noWrap/>
            <w:hideMark/>
          </w:tcPr>
          <w:p w14:paraId="37F33F18" w14:textId="1343D45B" w:rsidR="00136631" w:rsidRPr="00136631" w:rsidRDefault="00D326DF" w:rsidP="00136631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b w:val="0"/>
                <w:color w:val="000000"/>
                <w:sz w:val="18"/>
                <w:szCs w:val="18"/>
              </w:rPr>
              <w:t>STÁTNÍ</w:t>
            </w:r>
          </w:p>
        </w:tc>
        <w:tc>
          <w:tcPr>
            <w:tcW w:w="354" w:type="pct"/>
            <w:noWrap/>
            <w:vAlign w:val="center"/>
            <w:hideMark/>
          </w:tcPr>
          <w:p w14:paraId="09C84FCB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" w:type="pct"/>
            <w:noWrap/>
            <w:vAlign w:val="center"/>
            <w:hideMark/>
          </w:tcPr>
          <w:p w14:paraId="64A9CA94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2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60CD7392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gridSpan w:val="2"/>
            <w:tcBorders>
              <w:left w:val="double" w:sz="4" w:space="0" w:color="FFFFFF" w:themeColor="background1"/>
            </w:tcBorders>
            <w:noWrap/>
            <w:vAlign w:val="center"/>
            <w:hideMark/>
          </w:tcPr>
          <w:p w14:paraId="44D77FC8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4" w:type="pct"/>
            <w:noWrap/>
            <w:vAlign w:val="center"/>
            <w:hideMark/>
          </w:tcPr>
          <w:p w14:paraId="1A4DEA09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1" w:type="pct"/>
            <w:tcBorders>
              <w:right w:val="double" w:sz="4" w:space="0" w:color="FFFFFF" w:themeColor="background1"/>
            </w:tcBorders>
            <w:noWrap/>
            <w:vAlign w:val="center"/>
            <w:hideMark/>
          </w:tcPr>
          <w:p w14:paraId="3A180E99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gridSpan w:val="2"/>
            <w:tcBorders>
              <w:left w:val="double" w:sz="4" w:space="0" w:color="FFFFFF" w:themeColor="background1"/>
            </w:tcBorders>
            <w:shd w:val="clear" w:color="auto" w:fill="FFE599" w:themeFill="accent4" w:themeFillTint="66"/>
            <w:noWrap/>
            <w:vAlign w:val="center"/>
            <w:hideMark/>
          </w:tcPr>
          <w:p w14:paraId="47F4C751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" w:type="pct"/>
            <w:shd w:val="clear" w:color="auto" w:fill="FFE599" w:themeFill="accent4" w:themeFillTint="66"/>
            <w:noWrap/>
            <w:vAlign w:val="center"/>
            <w:hideMark/>
          </w:tcPr>
          <w:p w14:paraId="148F500F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pct"/>
            <w:tcBorders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58FF1CED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100,00%</w:t>
            </w:r>
          </w:p>
        </w:tc>
      </w:tr>
      <w:tr w:rsidR="003F6F10" w:rsidRPr="00136631" w14:paraId="7FEFF3CD" w14:textId="77777777" w:rsidTr="00CF6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tcBorders>
              <w:left w:val="nil"/>
              <w:bottom w:val="nil"/>
            </w:tcBorders>
            <w:shd w:val="clear" w:color="auto" w:fill="C8BBD7"/>
            <w:noWrap/>
            <w:hideMark/>
          </w:tcPr>
          <w:p w14:paraId="447B5A04" w14:textId="402FDDEB" w:rsidR="00136631" w:rsidRPr="00136631" w:rsidRDefault="00D326DF" w:rsidP="00136631">
            <w:pPr>
              <w:spacing w:before="0" w:after="0"/>
              <w:contextualSpacing w:val="0"/>
              <w:jc w:val="lef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D326D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CELKOVÝ SOUČET</w:t>
            </w:r>
          </w:p>
        </w:tc>
        <w:tc>
          <w:tcPr>
            <w:tcW w:w="354" w:type="pct"/>
            <w:tcBorders>
              <w:bottom w:val="nil"/>
            </w:tcBorders>
            <w:shd w:val="clear" w:color="auto" w:fill="C8BBD7"/>
            <w:noWrap/>
            <w:vAlign w:val="center"/>
            <w:hideMark/>
          </w:tcPr>
          <w:p w14:paraId="4B392897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77" w:type="pct"/>
            <w:tcBorders>
              <w:bottom w:val="nil"/>
            </w:tcBorders>
            <w:shd w:val="clear" w:color="auto" w:fill="C8BBD7"/>
            <w:noWrap/>
            <w:vAlign w:val="center"/>
            <w:hideMark/>
          </w:tcPr>
          <w:p w14:paraId="6AD6FA3A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52" w:type="pct"/>
            <w:tcBorders>
              <w:bottom w:val="nil"/>
              <w:right w:val="double" w:sz="4" w:space="0" w:color="FFFFFF" w:themeColor="background1"/>
            </w:tcBorders>
            <w:shd w:val="clear" w:color="auto" w:fill="C8BBD7"/>
            <w:noWrap/>
            <w:vAlign w:val="center"/>
            <w:hideMark/>
          </w:tcPr>
          <w:p w14:paraId="544A66F3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99,29%</w:t>
            </w:r>
          </w:p>
        </w:tc>
        <w:tc>
          <w:tcPr>
            <w:tcW w:w="300" w:type="pct"/>
            <w:gridSpan w:val="2"/>
            <w:tcBorders>
              <w:left w:val="double" w:sz="4" w:space="0" w:color="FFFFFF" w:themeColor="background1"/>
              <w:bottom w:val="nil"/>
            </w:tcBorders>
            <w:shd w:val="clear" w:color="auto" w:fill="C8BBD7"/>
            <w:noWrap/>
            <w:vAlign w:val="center"/>
            <w:hideMark/>
          </w:tcPr>
          <w:p w14:paraId="455C5710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44" w:type="pct"/>
            <w:tcBorders>
              <w:bottom w:val="nil"/>
            </w:tcBorders>
            <w:shd w:val="clear" w:color="auto" w:fill="C8BBD7"/>
            <w:noWrap/>
            <w:vAlign w:val="center"/>
            <w:hideMark/>
          </w:tcPr>
          <w:p w14:paraId="0284D20A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1" w:type="pct"/>
            <w:tcBorders>
              <w:bottom w:val="nil"/>
              <w:right w:val="double" w:sz="4" w:space="0" w:color="FFFFFF" w:themeColor="background1"/>
            </w:tcBorders>
            <w:shd w:val="clear" w:color="auto" w:fill="C8BBD7"/>
            <w:noWrap/>
            <w:vAlign w:val="center"/>
            <w:hideMark/>
          </w:tcPr>
          <w:p w14:paraId="3C7A7936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99,50%</w:t>
            </w:r>
          </w:p>
        </w:tc>
        <w:tc>
          <w:tcPr>
            <w:tcW w:w="356" w:type="pct"/>
            <w:gridSpan w:val="2"/>
            <w:tcBorders>
              <w:left w:val="double" w:sz="4" w:space="0" w:color="FFFFFF" w:themeColor="background1"/>
              <w:bottom w:val="nil"/>
            </w:tcBorders>
            <w:shd w:val="clear" w:color="auto" w:fill="FFC000" w:themeFill="accent4"/>
            <w:noWrap/>
            <w:vAlign w:val="center"/>
            <w:hideMark/>
          </w:tcPr>
          <w:p w14:paraId="4188F392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26" w:type="pct"/>
            <w:tcBorders>
              <w:bottom w:val="nil"/>
            </w:tcBorders>
            <w:shd w:val="clear" w:color="auto" w:fill="FFC000" w:themeFill="accent4"/>
            <w:noWrap/>
            <w:vAlign w:val="center"/>
            <w:hideMark/>
          </w:tcPr>
          <w:p w14:paraId="3DF5088C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09" w:type="pct"/>
            <w:tcBorders>
              <w:bottom w:val="nil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C55BAE6" w14:textId="77777777" w:rsidR="00136631" w:rsidRPr="00136631" w:rsidRDefault="00136631" w:rsidP="00136631">
            <w:pPr>
              <w:spacing w:before="0" w:after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13663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95,73%</w:t>
            </w:r>
          </w:p>
        </w:tc>
      </w:tr>
    </w:tbl>
    <w:p w14:paraId="4B31D9D2" w14:textId="77777777" w:rsidR="00C87011" w:rsidRDefault="00C87011" w:rsidP="00E7360D">
      <w:pPr>
        <w:pStyle w:val="NORMLN0"/>
      </w:pPr>
    </w:p>
    <w:p w14:paraId="527E1811" w14:textId="30B8C98D" w:rsidR="00C87011" w:rsidRDefault="00C87011" w:rsidP="00E7360D">
      <w:pPr>
        <w:pStyle w:val="NORMLN0"/>
      </w:pPr>
      <w:r>
        <w:t>Další sledovanou oblastí je výše ztrát</w:t>
      </w:r>
      <w:r w:rsidR="00B92D98">
        <w:t xml:space="preserve"> pitné vody</w:t>
      </w:r>
      <w:r>
        <w:t xml:space="preserve"> a</w:t>
      </w:r>
      <w:r w:rsidR="00A27033">
        <w:t xml:space="preserve"> výše</w:t>
      </w:r>
      <w:r w:rsidR="00E33162">
        <w:t xml:space="preserve"> </w:t>
      </w:r>
      <w:r>
        <w:t>nefakturované vody</w:t>
      </w:r>
      <w:r w:rsidR="00B92D98">
        <w:t>.</w:t>
      </w:r>
      <w:r w:rsidR="00BD5FF3">
        <w:t xml:space="preserve"> U</w:t>
      </w:r>
      <w:r w:rsidR="00DE53F8">
        <w:t> </w:t>
      </w:r>
      <w:r>
        <w:t>Porovnání,</w:t>
      </w:r>
      <w:r w:rsidR="00DE53F8">
        <w:t xml:space="preserve"> u </w:t>
      </w:r>
      <w:r>
        <w:t xml:space="preserve">kterých provozovatelé </w:t>
      </w:r>
      <w:r w:rsidR="00962A95">
        <w:t>v </w:t>
      </w:r>
      <w:r w:rsidR="00B92D98">
        <w:t xml:space="preserve">souvisejících VÚPE </w:t>
      </w:r>
      <w:r w:rsidR="00BD5FF3">
        <w:t>vykazují</w:t>
      </w:r>
      <w:r>
        <w:t xml:space="preserve"> </w:t>
      </w:r>
      <w:r w:rsidR="00BD5FF3">
        <w:t>objem ztrát</w:t>
      </w:r>
      <w:r>
        <w:t xml:space="preserve"> </w:t>
      </w:r>
      <w:r w:rsidR="00BD5FF3">
        <w:t xml:space="preserve">pitné vody </w:t>
      </w:r>
      <w:r>
        <w:t>a nefakturované vody</w:t>
      </w:r>
      <w:r w:rsidR="00E33162">
        <w:t>,</w:t>
      </w:r>
      <w:r w:rsidR="00B92D98">
        <w:t xml:space="preserve"> dosáhla</w:t>
      </w:r>
      <w:r>
        <w:t xml:space="preserve"> </w:t>
      </w:r>
      <w:r w:rsidR="00B92D98">
        <w:t>p</w:t>
      </w:r>
      <w:r>
        <w:t xml:space="preserve">růměrná hodnota </w:t>
      </w:r>
      <w:r w:rsidR="001C2218">
        <w:t>podílu ztrát pi</w:t>
      </w:r>
      <w:r w:rsidR="00E33162">
        <w:t xml:space="preserve">tné vody </w:t>
      </w:r>
      <w:r w:rsidR="00962A95">
        <w:t>na </w:t>
      </w:r>
      <w:r w:rsidR="00E33162">
        <w:t xml:space="preserve">vodě určené </w:t>
      </w:r>
      <w:r w:rsidR="00962A95">
        <w:t>k </w:t>
      </w:r>
      <w:r w:rsidR="00E33162">
        <w:t xml:space="preserve">realizaci </w:t>
      </w:r>
      <w:r w:rsidR="00962A95">
        <w:t>za </w:t>
      </w:r>
      <w:r w:rsidR="00B92D98">
        <w:t>tři sledované roky</w:t>
      </w:r>
      <w:r>
        <w:t xml:space="preserve"> 15,30</w:t>
      </w:r>
      <w:r w:rsidR="00E33162">
        <w:t xml:space="preserve"> </w:t>
      </w:r>
      <w:r>
        <w:t>%</w:t>
      </w:r>
      <w:r w:rsidR="00B92D98">
        <w:t xml:space="preserve"> (vi</w:t>
      </w:r>
      <w:r w:rsidR="00962A95">
        <w:t>z </w:t>
      </w:r>
      <w:r w:rsidR="00B92D98">
        <w:t>tabulka níže)</w:t>
      </w:r>
      <w:r>
        <w:t xml:space="preserve">. </w:t>
      </w:r>
      <w:r w:rsidR="00B92D98">
        <w:t xml:space="preserve">Hodnoty </w:t>
      </w:r>
      <w:r w:rsidR="00962A95">
        <w:t>v </w:t>
      </w:r>
      <w:r>
        <w:t xml:space="preserve">jednotlivých letech </w:t>
      </w:r>
      <w:r w:rsidR="00B92D98">
        <w:t>jsou ovlivněny</w:t>
      </w:r>
      <w:r>
        <w:t xml:space="preserve"> </w:t>
      </w:r>
      <w:r w:rsidR="00B92D98">
        <w:t xml:space="preserve">zvyšováním kvality </w:t>
      </w:r>
      <w:r>
        <w:t>vykazování a zvýšení</w:t>
      </w:r>
      <w:r w:rsidR="00B92D98">
        <w:t>m</w:t>
      </w:r>
      <w:r>
        <w:t xml:space="preserve"> počtu </w:t>
      </w:r>
      <w:r w:rsidR="00B92D98">
        <w:t>zaslaných P</w:t>
      </w:r>
      <w:r>
        <w:t>orovnání</w:t>
      </w:r>
      <w:r w:rsidR="00E33162">
        <w:t xml:space="preserve"> a</w:t>
      </w:r>
      <w:r w:rsidR="00B92D98">
        <w:t xml:space="preserve"> tím i </w:t>
      </w:r>
      <w:r w:rsidR="00F76C82">
        <w:t xml:space="preserve">vyšším </w:t>
      </w:r>
      <w:r>
        <w:t>počt</w:t>
      </w:r>
      <w:r w:rsidR="00F76C82">
        <w:t>em</w:t>
      </w:r>
      <w:r>
        <w:t xml:space="preserve"> Porovnání zařazených d</w:t>
      </w:r>
      <w:r w:rsidR="00962A95">
        <w:t>o </w:t>
      </w:r>
      <w:r>
        <w:t>analýz. L</w:t>
      </w:r>
      <w:r w:rsidR="00962A95">
        <w:t>ze </w:t>
      </w:r>
      <w:r>
        <w:t xml:space="preserve">konstatovat, že </w:t>
      </w:r>
      <w:r w:rsidR="001C2218">
        <w:t>výš</w:t>
      </w:r>
      <w:r w:rsidR="00E7360D">
        <w:t>e</w:t>
      </w:r>
      <w:r w:rsidR="001C2218">
        <w:t xml:space="preserve"> ztrát pitné vody </w:t>
      </w:r>
      <w:r w:rsidR="00962A95">
        <w:t>v </w:t>
      </w:r>
      <w:r w:rsidR="00E7360D">
        <w:t>ČR osciluje kolem 15 %.</w:t>
      </w:r>
    </w:p>
    <w:p w14:paraId="4A6E28A8" w14:textId="77777777" w:rsidR="00C87011" w:rsidRDefault="00C87011" w:rsidP="00E7360D">
      <w:pPr>
        <w:pStyle w:val="NORMLN0"/>
      </w:pPr>
    </w:p>
    <w:tbl>
      <w:tblPr>
        <w:tblW w:w="9137" w:type="dxa"/>
        <w:tblBorders>
          <w:insideH w:val="single" w:sz="4" w:space="0" w:color="9BC2E6"/>
          <w:insideV w:val="single" w:sz="4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2008"/>
        <w:gridCol w:w="1361"/>
        <w:gridCol w:w="1787"/>
        <w:gridCol w:w="1787"/>
      </w:tblGrid>
      <w:tr w:rsidR="00C87011" w:rsidRPr="00C87011" w14:paraId="79DA1CC5" w14:textId="77777777" w:rsidTr="00CF6B96">
        <w:trPr>
          <w:trHeight w:val="609"/>
        </w:trPr>
        <w:tc>
          <w:tcPr>
            <w:tcW w:w="2194" w:type="dxa"/>
            <w:shd w:val="clear" w:color="5B9BD5" w:fill="5B9BD5"/>
            <w:vAlign w:val="center"/>
            <w:hideMark/>
          </w:tcPr>
          <w:p w14:paraId="7F1A7EC2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POROVNÁNÍ SE SLEDOVÁNÍM MNOŽSTVÍ VODY NEFAKTUROVANÉ A MNOŽSTVÍM ZTRÁT</w:t>
            </w:r>
          </w:p>
        </w:tc>
        <w:tc>
          <w:tcPr>
            <w:tcW w:w="2008" w:type="dxa"/>
            <w:shd w:val="clear" w:color="5B9BD5" w:fill="5B9BD5"/>
            <w:vAlign w:val="center"/>
            <w:hideMark/>
          </w:tcPr>
          <w:p w14:paraId="367DCE7D" w14:textId="474D0BC6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VODA URČENÁ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REALIZACI (MIL. M3)</w:t>
            </w:r>
          </w:p>
        </w:tc>
        <w:tc>
          <w:tcPr>
            <w:tcW w:w="1361" w:type="dxa"/>
            <w:shd w:val="clear" w:color="5B9BD5" w:fill="5B9BD5"/>
            <w:vAlign w:val="center"/>
            <w:hideMark/>
          </w:tcPr>
          <w:p w14:paraId="13676E8D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ZTRÁTY VODY (MIL. M3)</w:t>
            </w:r>
          </w:p>
        </w:tc>
        <w:tc>
          <w:tcPr>
            <w:tcW w:w="1787" w:type="dxa"/>
            <w:shd w:val="clear" w:color="5B9BD5" w:fill="5B9BD5"/>
            <w:vAlign w:val="center"/>
            <w:hideMark/>
          </w:tcPr>
          <w:p w14:paraId="0208C23C" w14:textId="5A61D1F6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PRŮMĚR - PODÍL NEFAKTUROVANÉ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REALIZACI (%)</w:t>
            </w:r>
          </w:p>
        </w:tc>
        <w:tc>
          <w:tcPr>
            <w:tcW w:w="1787" w:type="dxa"/>
            <w:shd w:val="clear" w:color="5B9BD5" w:fill="5B9BD5"/>
            <w:vAlign w:val="center"/>
            <w:hideMark/>
          </w:tcPr>
          <w:p w14:paraId="25103551" w14:textId="7DBB30A4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PRŮMĚR - PODÍL ZTRÁT VODY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NA </w:t>
            </w: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VODĚ URČENÉ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K </w:t>
            </w: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REALIZACI (%)</w:t>
            </w:r>
          </w:p>
        </w:tc>
      </w:tr>
      <w:tr w:rsidR="00C87011" w:rsidRPr="00C87011" w14:paraId="64B6C2DB" w14:textId="77777777" w:rsidTr="00CF6B96">
        <w:trPr>
          <w:trHeight w:val="300"/>
        </w:trPr>
        <w:tc>
          <w:tcPr>
            <w:tcW w:w="2194" w:type="dxa"/>
            <w:shd w:val="clear" w:color="DDEBF7" w:fill="DDEBF7"/>
            <w:noWrap/>
            <w:vAlign w:val="center"/>
            <w:hideMark/>
          </w:tcPr>
          <w:p w14:paraId="3F8EB930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008" w:type="dxa"/>
            <w:shd w:val="clear" w:color="DDEBF7" w:fill="DDEBF7"/>
            <w:noWrap/>
            <w:vAlign w:val="center"/>
            <w:hideMark/>
          </w:tcPr>
          <w:p w14:paraId="61633795" w14:textId="38E12B79" w:rsidR="00C87011" w:rsidRPr="00C87011" w:rsidRDefault="004A2B2C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548,19</w:t>
            </w:r>
          </w:p>
        </w:tc>
        <w:tc>
          <w:tcPr>
            <w:tcW w:w="1361" w:type="dxa"/>
            <w:shd w:val="clear" w:color="DDEBF7" w:fill="DDEBF7"/>
            <w:noWrap/>
            <w:vAlign w:val="center"/>
            <w:hideMark/>
          </w:tcPr>
          <w:p w14:paraId="36584478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49,22</w:t>
            </w:r>
          </w:p>
        </w:tc>
        <w:tc>
          <w:tcPr>
            <w:tcW w:w="1787" w:type="dxa"/>
            <w:shd w:val="clear" w:color="DDEBF7" w:fill="DDEBF7"/>
            <w:noWrap/>
            <w:vAlign w:val="center"/>
            <w:hideMark/>
          </w:tcPr>
          <w:p w14:paraId="7347744D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19,32</w:t>
            </w:r>
          </w:p>
        </w:tc>
        <w:tc>
          <w:tcPr>
            <w:tcW w:w="1787" w:type="dxa"/>
            <w:shd w:val="clear" w:color="DDEBF7" w:fill="DDEBF7"/>
            <w:noWrap/>
            <w:vAlign w:val="center"/>
            <w:hideMark/>
          </w:tcPr>
          <w:p w14:paraId="17459D78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15,98</w:t>
            </w:r>
          </w:p>
        </w:tc>
      </w:tr>
      <w:tr w:rsidR="00C87011" w:rsidRPr="00C87011" w14:paraId="2C42981E" w14:textId="77777777" w:rsidTr="00CF6B96">
        <w:trPr>
          <w:trHeight w:val="150"/>
        </w:trPr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525E4996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14:paraId="0639ED44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550,37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7500126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95,13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14:paraId="5348F887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20,60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14:paraId="31733846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16,20</w:t>
            </w:r>
          </w:p>
        </w:tc>
      </w:tr>
      <w:tr w:rsidR="00C87011" w:rsidRPr="00C87011" w14:paraId="278B5D43" w14:textId="77777777" w:rsidTr="00CF6B96">
        <w:trPr>
          <w:trHeight w:val="150"/>
        </w:trPr>
        <w:tc>
          <w:tcPr>
            <w:tcW w:w="2194" w:type="dxa"/>
            <w:shd w:val="clear" w:color="DDEBF7" w:fill="DDEBF7"/>
            <w:noWrap/>
            <w:vAlign w:val="center"/>
            <w:hideMark/>
          </w:tcPr>
          <w:p w14:paraId="11D283B4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2008" w:type="dxa"/>
            <w:shd w:val="clear" w:color="DDEBF7" w:fill="DDEBF7"/>
            <w:noWrap/>
            <w:vAlign w:val="center"/>
            <w:hideMark/>
          </w:tcPr>
          <w:p w14:paraId="54134AD5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577,72</w:t>
            </w:r>
          </w:p>
        </w:tc>
        <w:tc>
          <w:tcPr>
            <w:tcW w:w="1361" w:type="dxa"/>
            <w:shd w:val="clear" w:color="DDEBF7" w:fill="DDEBF7"/>
            <w:noWrap/>
            <w:vAlign w:val="center"/>
            <w:hideMark/>
          </w:tcPr>
          <w:p w14:paraId="032AC14C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93,96</w:t>
            </w:r>
          </w:p>
        </w:tc>
        <w:tc>
          <w:tcPr>
            <w:tcW w:w="1787" w:type="dxa"/>
            <w:shd w:val="clear" w:color="DDEBF7" w:fill="DDEBF7"/>
            <w:noWrap/>
            <w:vAlign w:val="center"/>
            <w:hideMark/>
          </w:tcPr>
          <w:p w14:paraId="1A463403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17,57</w:t>
            </w:r>
          </w:p>
        </w:tc>
        <w:tc>
          <w:tcPr>
            <w:tcW w:w="1787" w:type="dxa"/>
            <w:shd w:val="clear" w:color="DDEBF7" w:fill="DDEBF7"/>
            <w:noWrap/>
            <w:vAlign w:val="center"/>
            <w:hideMark/>
          </w:tcPr>
          <w:p w14:paraId="124621CC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13,71</w:t>
            </w:r>
          </w:p>
        </w:tc>
      </w:tr>
      <w:tr w:rsidR="00C87011" w:rsidRPr="00C87011" w14:paraId="774F9FE1" w14:textId="77777777" w:rsidTr="00CF6B96">
        <w:trPr>
          <w:trHeight w:val="250"/>
        </w:trPr>
        <w:tc>
          <w:tcPr>
            <w:tcW w:w="2194" w:type="dxa"/>
            <w:shd w:val="clear" w:color="000000" w:fill="4472C4"/>
            <w:vAlign w:val="center"/>
            <w:hideMark/>
          </w:tcPr>
          <w:p w14:paraId="28859820" w14:textId="5EA5BBDB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PRŮMĚRNÁ HODNOTA </w:t>
            </w:r>
            <w:r w:rsidR="00962A95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ZA </w:t>
            </w: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OBDOBÍ 2016 - 2018</w:t>
            </w:r>
          </w:p>
        </w:tc>
        <w:tc>
          <w:tcPr>
            <w:tcW w:w="2008" w:type="dxa"/>
            <w:shd w:val="clear" w:color="000000" w:fill="4472C4"/>
            <w:noWrap/>
            <w:vAlign w:val="center"/>
            <w:hideMark/>
          </w:tcPr>
          <w:p w14:paraId="2829D3BA" w14:textId="09A2EC36" w:rsidR="00C87011" w:rsidRPr="00C87011" w:rsidRDefault="004A2B2C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558,76</w:t>
            </w:r>
          </w:p>
        </w:tc>
        <w:tc>
          <w:tcPr>
            <w:tcW w:w="1361" w:type="dxa"/>
            <w:shd w:val="clear" w:color="000000" w:fill="4472C4"/>
            <w:noWrap/>
            <w:vAlign w:val="center"/>
            <w:hideMark/>
          </w:tcPr>
          <w:p w14:paraId="67AC40B6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79,44</w:t>
            </w:r>
          </w:p>
        </w:tc>
        <w:tc>
          <w:tcPr>
            <w:tcW w:w="1787" w:type="dxa"/>
            <w:shd w:val="clear" w:color="000000" w:fill="4472C4"/>
            <w:noWrap/>
            <w:vAlign w:val="center"/>
            <w:hideMark/>
          </w:tcPr>
          <w:p w14:paraId="563B8485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19,16</w:t>
            </w:r>
          </w:p>
        </w:tc>
        <w:tc>
          <w:tcPr>
            <w:tcW w:w="1787" w:type="dxa"/>
            <w:shd w:val="clear" w:color="000000" w:fill="4472C4"/>
            <w:noWrap/>
            <w:vAlign w:val="center"/>
            <w:hideMark/>
          </w:tcPr>
          <w:p w14:paraId="4457CC91" w14:textId="77777777" w:rsidR="00C87011" w:rsidRPr="00C87011" w:rsidRDefault="00C87011" w:rsidP="00C87011">
            <w:pPr>
              <w:spacing w:before="0" w:after="0"/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87011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cs-CZ"/>
              </w:rPr>
              <w:t>15,30</w:t>
            </w:r>
          </w:p>
        </w:tc>
      </w:tr>
    </w:tbl>
    <w:p w14:paraId="44B56656" w14:textId="77777777" w:rsidR="00E664BD" w:rsidRDefault="00E664BD" w:rsidP="0065291A">
      <w:pPr>
        <w:ind w:firstLine="360"/>
      </w:pPr>
    </w:p>
    <w:p w14:paraId="7E23C4C9" w14:textId="1B46694A" w:rsidR="00E664BD" w:rsidRDefault="00C87011" w:rsidP="00E7360D">
      <w:pPr>
        <w:pStyle w:val="NORMLN0"/>
      </w:pPr>
      <w:r>
        <w:t>Nicméně analýzy opakovaně identifikoval</w:t>
      </w:r>
      <w:r w:rsidR="001C2218">
        <w:t>y</w:t>
      </w:r>
      <w:r>
        <w:t xml:space="preserve"> výrazné rozdíly mezi jednotlivými Porovnáními </w:t>
      </w:r>
      <w:r w:rsidR="001C2218">
        <w:t>i</w:t>
      </w:r>
      <w:r>
        <w:t xml:space="preserve"> jednotlivými skupinami provozovatelských subjektů.</w:t>
      </w:r>
      <w:r w:rsidR="00371EFB">
        <w:t xml:space="preserve"> </w:t>
      </w:r>
      <w:r>
        <w:t xml:space="preserve">Nejedná se jen </w:t>
      </w:r>
      <w:r w:rsidR="00962A95">
        <w:t>o </w:t>
      </w:r>
      <w:r w:rsidR="001C2218">
        <w:t>samotné</w:t>
      </w:r>
      <w:r>
        <w:t xml:space="preserve"> </w:t>
      </w:r>
      <w:r w:rsidR="001C2218">
        <w:t>hodnoty</w:t>
      </w:r>
      <w:r>
        <w:t xml:space="preserve"> </w:t>
      </w:r>
      <w:r w:rsidR="001C2218">
        <w:t xml:space="preserve">uvedených </w:t>
      </w:r>
      <w:r>
        <w:t xml:space="preserve">ukazatelů, ale </w:t>
      </w:r>
      <w:r w:rsidR="001C2218">
        <w:t xml:space="preserve">i </w:t>
      </w:r>
      <w:r w:rsidR="00962A95">
        <w:t>o </w:t>
      </w:r>
      <w:r w:rsidR="001C2218">
        <w:t xml:space="preserve">přístup </w:t>
      </w:r>
      <w:r w:rsidR="00962A95">
        <w:t>k </w:t>
      </w:r>
      <w:r w:rsidR="001C2218">
        <w:t xml:space="preserve">vykazování a sledování bilančních údajů </w:t>
      </w:r>
      <w:r w:rsidR="00962A95">
        <w:t>ve </w:t>
      </w:r>
      <w:r w:rsidR="001C2218">
        <w:t xml:space="preserve">VÚPE, </w:t>
      </w:r>
      <w:r w:rsidR="00962A95">
        <w:t>ze </w:t>
      </w:r>
      <w:r w:rsidR="001C2218">
        <w:t>kterých dané výpočty vycházejí.</w:t>
      </w:r>
      <w:r>
        <w:t xml:space="preserve"> </w:t>
      </w:r>
      <w:r w:rsidR="00962A95">
        <w:t>O </w:t>
      </w:r>
      <w:r>
        <w:t>nižší úrovni procesů provozování vodovodů</w:t>
      </w:r>
      <w:r w:rsidR="001C2218">
        <w:t xml:space="preserve"> svědčí výskyt anomálie nulové ztráty p</w:t>
      </w:r>
      <w:r w:rsidR="00A56272">
        <w:t>itné vody (celkem 369 Porovnání</w:t>
      </w:r>
      <w:r w:rsidR="00962A95">
        <w:t> </w:t>
      </w:r>
      <w:r w:rsidR="00A56272">
        <w:t xml:space="preserve">V. </w:t>
      </w:r>
      <w:r w:rsidR="001C2218">
        <w:t>až VIII. provozovatelské skupin</w:t>
      </w:r>
      <w:r w:rsidR="00A56272">
        <w:t>y</w:t>
      </w:r>
      <w:r w:rsidR="001C2218">
        <w:t>).</w:t>
      </w:r>
      <w:r w:rsidR="00371EFB">
        <w:t xml:space="preserve"> </w:t>
      </w:r>
      <w:r w:rsidR="00D152F4">
        <w:t>Uvedený sta</w:t>
      </w:r>
      <w:r w:rsidR="00962A95">
        <w:t>v </w:t>
      </w:r>
      <w:r w:rsidR="00D152F4">
        <w:t xml:space="preserve">je důsledkem </w:t>
      </w:r>
      <w:r w:rsidR="001C2218">
        <w:t>odlišné</w:t>
      </w:r>
      <w:r w:rsidR="00D152F4">
        <w:t xml:space="preserve"> odborné úrovně provozování a </w:t>
      </w:r>
      <w:r w:rsidR="003E5FC4">
        <w:t>dále</w:t>
      </w:r>
      <w:r w:rsidR="00D152F4">
        <w:t xml:space="preserve"> různé dostupnosti zdrojů </w:t>
      </w:r>
      <w:r w:rsidR="00962A95">
        <w:t>pro </w:t>
      </w:r>
      <w:r w:rsidR="003E5FC4">
        <w:t>jednotlivé</w:t>
      </w:r>
      <w:r w:rsidR="00D152F4">
        <w:t xml:space="preserve"> kategorie provozovatelů. Cílem by měl</w:t>
      </w:r>
      <w:r w:rsidR="00962A95">
        <w:t>o </w:t>
      </w:r>
      <w:r w:rsidR="00D152F4">
        <w:t xml:space="preserve">být dosažení minimální úrovně provozování </w:t>
      </w:r>
      <w:r w:rsidR="00962A95">
        <w:t>v </w:t>
      </w:r>
      <w:r w:rsidR="00BD5FF3">
        <w:t>celém sektoru VaK</w:t>
      </w:r>
      <w:r w:rsidR="00D152F4">
        <w:t xml:space="preserve"> be</w:t>
      </w:r>
      <w:r w:rsidR="00962A95">
        <w:t>z </w:t>
      </w:r>
      <w:r w:rsidR="00D152F4">
        <w:t xml:space="preserve">ohledu </w:t>
      </w:r>
      <w:r w:rsidR="00962A95">
        <w:t>na </w:t>
      </w:r>
      <w:r w:rsidR="003E5FC4">
        <w:t xml:space="preserve">velikost </w:t>
      </w:r>
      <w:r w:rsidR="003E5FC4">
        <w:lastRenderedPageBreak/>
        <w:t>provozovatele a</w:t>
      </w:r>
      <w:r w:rsidR="00D152F4">
        <w:t xml:space="preserve"> použitý model provozování. To</w:t>
      </w:r>
      <w:r w:rsidR="003E5FC4">
        <w:t>h</w:t>
      </w:r>
      <w:r w:rsidR="00962A95">
        <w:t>o </w:t>
      </w:r>
      <w:r w:rsidR="003E5FC4">
        <w:t>je možné</w:t>
      </w:r>
      <w:r w:rsidR="00D152F4">
        <w:t xml:space="preserve"> dosáhnout jedině zpřísněním prosazování plnění platných legislativních</w:t>
      </w:r>
      <w:r w:rsidR="00D8587F">
        <w:t xml:space="preserve"> požadavků.</w:t>
      </w:r>
    </w:p>
    <w:p w14:paraId="3D41412A" w14:textId="77777777" w:rsidR="00EF5606" w:rsidRDefault="00EF5606" w:rsidP="0065291A">
      <w:pPr>
        <w:ind w:firstLine="360"/>
      </w:pPr>
    </w:p>
    <w:p w14:paraId="0B6DC2B3" w14:textId="702E7701" w:rsidR="00EF5606" w:rsidRDefault="00EF5606" w:rsidP="00E7360D">
      <w:pPr>
        <w:pStyle w:val="NORMLN0"/>
      </w:pPr>
      <w:r>
        <w:t xml:space="preserve">Podle závěrů provedených kontrol </w:t>
      </w:r>
      <w:r w:rsidR="00962A95">
        <w:t>ze </w:t>
      </w:r>
      <w:r>
        <w:t>strany M</w:t>
      </w:r>
      <w:r w:rsidR="00962A95">
        <w:t>Ze </w:t>
      </w:r>
      <w:r>
        <w:t>patří mezi opakující se závažn</w:t>
      </w:r>
      <w:r w:rsidR="003E5FC4">
        <w:t xml:space="preserve">é </w:t>
      </w:r>
      <w:r>
        <w:t xml:space="preserve">nedostatky plnění legislativních povinností: </w:t>
      </w:r>
    </w:p>
    <w:p w14:paraId="0CD309B9" w14:textId="02F7F819" w:rsidR="00EF5606" w:rsidRPr="006E6518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>
        <w:t>absence</w:t>
      </w:r>
      <w:r w:rsidRPr="006E6518">
        <w:t xml:space="preserve"> </w:t>
      </w:r>
      <w:r w:rsidR="00846EA8">
        <w:t xml:space="preserve">PFO </w:t>
      </w:r>
      <w:r w:rsidRPr="006E6518">
        <w:t>neb</w:t>
      </w:r>
      <w:r w:rsidR="00962A95">
        <w:t>o </w:t>
      </w:r>
      <w:r w:rsidR="00846EA8">
        <w:t xml:space="preserve">jeho </w:t>
      </w:r>
      <w:r w:rsidRPr="006E6518">
        <w:t>chybné zpracování,</w:t>
      </w:r>
    </w:p>
    <w:p w14:paraId="1728B6A1" w14:textId="79F12C35" w:rsidR="00EF5606" w:rsidRPr="006E6518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 w:rsidRPr="006E6518">
        <w:t xml:space="preserve">zpracování kalkulace cen </w:t>
      </w:r>
      <w:r w:rsidR="00962A95">
        <w:t>pro </w:t>
      </w:r>
      <w:r w:rsidRPr="006E6518">
        <w:t xml:space="preserve">vodné a stočné </w:t>
      </w:r>
      <w:r w:rsidR="00962A95">
        <w:t>v </w:t>
      </w:r>
      <w:r w:rsidRPr="006E6518">
        <w:t>rozporu s vyhláškou č. 428/2001 Sb.,</w:t>
      </w:r>
    </w:p>
    <w:p w14:paraId="0FF30FB7" w14:textId="05FB88E1" w:rsidR="00EF5606" w:rsidRPr="006E6518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 w:rsidRPr="006E6518">
        <w:t xml:space="preserve">zpracování </w:t>
      </w:r>
      <w:r w:rsidR="003E5FC4">
        <w:t>P</w:t>
      </w:r>
      <w:r w:rsidRPr="006E6518">
        <w:t xml:space="preserve">orovnání </w:t>
      </w:r>
      <w:r w:rsidR="00962A95">
        <w:t>v </w:t>
      </w:r>
      <w:r w:rsidRPr="006E6518">
        <w:t>rozporu s vyhláškou č. 428/2001 Sb.,</w:t>
      </w:r>
    </w:p>
    <w:p w14:paraId="7AAE8F0F" w14:textId="31D90DDE" w:rsidR="00EF5606" w:rsidRPr="006E6518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 w:rsidRPr="006E6518">
        <w:t>zpracování odběratelských smlu</w:t>
      </w:r>
      <w:r w:rsidR="00962A95">
        <w:t>v v </w:t>
      </w:r>
      <w:r w:rsidRPr="006E6518">
        <w:t>rozporu s požadavky ZVK,</w:t>
      </w:r>
    </w:p>
    <w:p w14:paraId="15B31967" w14:textId="190D816E" w:rsidR="00EF5606" w:rsidRPr="006E6518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 w:rsidRPr="006E6518">
        <w:t xml:space="preserve">nesoulad VÚME, VÚPE s vydanými povoleními </w:t>
      </w:r>
      <w:r w:rsidR="00962A95">
        <w:t>k </w:t>
      </w:r>
      <w:r w:rsidRPr="006E6518">
        <w:t>provozování,</w:t>
      </w:r>
    </w:p>
    <w:p w14:paraId="12E24E13" w14:textId="3E125D88" w:rsidR="00EF5606" w:rsidRPr="006E6518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 w:rsidRPr="006E6518">
        <w:t>nejednoznačné vymezení prá</w:t>
      </w:r>
      <w:r w:rsidR="00962A95">
        <w:t>v </w:t>
      </w:r>
      <w:r w:rsidRPr="006E6518">
        <w:t xml:space="preserve">a povinností </w:t>
      </w:r>
      <w:r w:rsidR="00962A95">
        <w:t>v </w:t>
      </w:r>
      <w:r w:rsidRPr="006E6518">
        <w:t>uzavřených smlouvách mezi vlastníky a provozovateli VaK,</w:t>
      </w:r>
    </w:p>
    <w:p w14:paraId="0ED9F796" w14:textId="115B0971" w:rsidR="00EF5606" w:rsidRDefault="00EF5606" w:rsidP="00EF5606">
      <w:pPr>
        <w:pStyle w:val="Odstavecseseznamem"/>
        <w:numPr>
          <w:ilvl w:val="0"/>
          <w:numId w:val="37"/>
        </w:numPr>
        <w:spacing w:before="90" w:after="0" w:line="276" w:lineRule="auto"/>
        <w:contextualSpacing w:val="0"/>
      </w:pPr>
      <w:r w:rsidRPr="006E6518">
        <w:t xml:space="preserve">nedostatečné informování odběratelů </w:t>
      </w:r>
      <w:r w:rsidR="00962A95">
        <w:t>v </w:t>
      </w:r>
      <w:r w:rsidRPr="006E6518">
        <w:t>reklamačních řádech.</w:t>
      </w:r>
    </w:p>
    <w:p w14:paraId="5AFBF04F" w14:textId="77777777" w:rsidR="00EF5606" w:rsidRDefault="00EF5606" w:rsidP="0065291A">
      <w:pPr>
        <w:ind w:firstLine="360"/>
      </w:pPr>
    </w:p>
    <w:p w14:paraId="351BF7CB" w14:textId="3CE551C1" w:rsidR="001C0012" w:rsidRDefault="001C0012">
      <w:pPr>
        <w:spacing w:before="0" w:after="160" w:line="259" w:lineRule="auto"/>
        <w:contextualSpacing w:val="0"/>
        <w:jc w:val="left"/>
        <w:rPr>
          <w:szCs w:val="20"/>
        </w:rPr>
      </w:pPr>
    </w:p>
    <w:p w14:paraId="0E3EF718" w14:textId="31A8D5B9" w:rsidR="00C87011" w:rsidRPr="001C0012" w:rsidRDefault="00C87011" w:rsidP="001C0012">
      <w:pPr>
        <w:pStyle w:val="NORMLN0"/>
        <w:ind w:firstLine="0"/>
        <w:rPr>
          <w:b/>
          <w:i/>
        </w:rPr>
      </w:pPr>
      <w:r w:rsidRPr="001C0012">
        <w:rPr>
          <w:b/>
          <w:i/>
        </w:rPr>
        <w:t xml:space="preserve">Závěr: </w:t>
      </w:r>
    </w:p>
    <w:p w14:paraId="209A18E1" w14:textId="78BBB7F0" w:rsidR="00EF5606" w:rsidRDefault="00962A95" w:rsidP="00E7360D">
      <w:pPr>
        <w:pStyle w:val="NORMLN0"/>
      </w:pPr>
      <w:r>
        <w:t>Pro </w:t>
      </w:r>
      <w:r w:rsidR="00C87011">
        <w:t xml:space="preserve">regulátora je důležité vyřešit </w:t>
      </w:r>
      <w:r w:rsidR="00C87011" w:rsidRPr="00EF5606">
        <w:rPr>
          <w:i/>
        </w:rPr>
        <w:t>problém atomizace trhu.</w:t>
      </w:r>
      <w:r w:rsidR="00C87011">
        <w:t xml:space="preserve"> Způsoby řešení jsou různé a </w:t>
      </w:r>
      <w:r>
        <w:t>v </w:t>
      </w:r>
      <w:r w:rsidR="00C87011">
        <w:t>zahraničí existuje dostate</w:t>
      </w:r>
      <w:r>
        <w:t>k </w:t>
      </w:r>
      <w:r w:rsidR="003E5FC4">
        <w:t>již</w:t>
      </w:r>
      <w:r w:rsidR="00846EA8">
        <w:t xml:space="preserve"> </w:t>
      </w:r>
      <w:r w:rsidR="00C87011">
        <w:t xml:space="preserve">realizovaných projektů, </w:t>
      </w:r>
      <w:r>
        <w:t>ze </w:t>
      </w:r>
      <w:r w:rsidR="00C87011">
        <w:t>kterých se l</w:t>
      </w:r>
      <w:r>
        <w:t>ze </w:t>
      </w:r>
      <w:r w:rsidR="00846EA8">
        <w:t>poučit. Je důležité</w:t>
      </w:r>
      <w:r w:rsidR="00C87011">
        <w:t xml:space="preserve"> si uvědomit, že se bude jednat </w:t>
      </w:r>
      <w:r>
        <w:t>o </w:t>
      </w:r>
      <w:r w:rsidR="00C87011">
        <w:t>systémovou změnu</w:t>
      </w:r>
      <w:r w:rsidR="00EF5606">
        <w:t xml:space="preserve"> dlouhodobéh</w:t>
      </w:r>
      <w:r>
        <w:t>o </w:t>
      </w:r>
      <w:r w:rsidR="00EF5606">
        <w:t>charakteru</w:t>
      </w:r>
      <w:r w:rsidR="00C87011">
        <w:t>.</w:t>
      </w:r>
    </w:p>
    <w:p w14:paraId="52B93C50" w14:textId="77777777" w:rsidR="00EF5606" w:rsidRDefault="00EF5606" w:rsidP="00E7360D">
      <w:pPr>
        <w:pStyle w:val="NORMLN0"/>
      </w:pPr>
    </w:p>
    <w:p w14:paraId="274BBB54" w14:textId="6237D406" w:rsidR="00C87011" w:rsidRDefault="00962A95" w:rsidP="00E7360D">
      <w:pPr>
        <w:pStyle w:val="NORMLN0"/>
      </w:pPr>
      <w:r>
        <w:t>Z </w:t>
      </w:r>
      <w:r w:rsidR="00EF5606">
        <w:t xml:space="preserve">hlediska sjednocení </w:t>
      </w:r>
      <w:r w:rsidR="00AD10FE">
        <w:t>úrovně provozování</w:t>
      </w:r>
      <w:r w:rsidR="00EF5606">
        <w:t xml:space="preserve"> infrastruktury by se měl regulátor zaměřit </w:t>
      </w:r>
      <w:r w:rsidR="00846EA8">
        <w:t>nejen</w:t>
      </w:r>
      <w:r w:rsidR="00D81222">
        <w:t xml:space="preserve"> </w:t>
      </w:r>
      <w:r>
        <w:t>na </w:t>
      </w:r>
      <w:r w:rsidR="00D81222">
        <w:t>vyžadování p</w:t>
      </w:r>
      <w:r w:rsidR="00846EA8">
        <w:t>lnění legislativních povinností</w:t>
      </w:r>
      <w:r w:rsidR="00D81222">
        <w:t xml:space="preserve">, ale také </w:t>
      </w:r>
      <w:r>
        <w:t>na </w:t>
      </w:r>
      <w:r w:rsidR="00AD10FE">
        <w:t>hlubší přehodnocení vztahu mezi kvalit</w:t>
      </w:r>
      <w:r w:rsidR="003E5FC4">
        <w:t>ou</w:t>
      </w:r>
      <w:r w:rsidR="00AD10FE">
        <w:t xml:space="preserve"> provozování a charakterem provozovatele</w:t>
      </w:r>
      <w:r w:rsidR="00846EA8">
        <w:t>. Znamená to, že při rozhodování o  regulačních opatření je třeba brát v potaz</w:t>
      </w:r>
      <w:r w:rsidR="00AD10FE">
        <w:t xml:space="preserve"> model provozování</w:t>
      </w:r>
      <w:r w:rsidR="00846EA8">
        <w:t xml:space="preserve"> VIM</w:t>
      </w:r>
      <w:r w:rsidR="00AD10FE">
        <w:t xml:space="preserve">, velikost provozovatele a </w:t>
      </w:r>
      <w:r w:rsidR="00846EA8">
        <w:t>jeho reálné možnosti</w:t>
      </w:r>
      <w:r w:rsidR="00AD10FE">
        <w:t xml:space="preserve"> zavádět mezinárodně ověřené proces</w:t>
      </w:r>
      <w:r w:rsidR="00846EA8">
        <w:t xml:space="preserve">y zvyšující efektivitu provozu </w:t>
      </w:r>
      <w:r w:rsidR="003E5FC4">
        <w:t>s</w:t>
      </w:r>
      <w:r w:rsidR="00A56272">
        <w:t> </w:t>
      </w:r>
      <w:r w:rsidR="003E5FC4">
        <w:t xml:space="preserve">přihlédnutím </w:t>
      </w:r>
      <w:r>
        <w:t>k </w:t>
      </w:r>
      <w:r w:rsidR="00AD10FE">
        <w:t>dostupnost</w:t>
      </w:r>
      <w:r w:rsidR="003E5FC4">
        <w:t>i</w:t>
      </w:r>
      <w:r w:rsidR="00AD10FE">
        <w:t xml:space="preserve"> zdrojů a znalostí. </w:t>
      </w:r>
    </w:p>
    <w:p w14:paraId="5C3EB35D" w14:textId="77777777" w:rsidR="00D81222" w:rsidRDefault="00D81222">
      <w:pPr>
        <w:spacing w:before="0" w:after="160" w:line="259" w:lineRule="auto"/>
        <w:contextualSpacing w:val="0"/>
        <w:jc w:val="left"/>
        <w:rPr>
          <w:rFonts w:eastAsia="Times New Roman"/>
          <w:noProof/>
          <w:color w:val="243F60"/>
          <w:szCs w:val="24"/>
        </w:rPr>
      </w:pPr>
      <w:r>
        <w:rPr>
          <w:rFonts w:eastAsia="Times New Roman"/>
          <w:noProof/>
          <w:color w:val="243F60"/>
          <w:szCs w:val="24"/>
        </w:rPr>
        <w:br w:type="page"/>
      </w:r>
    </w:p>
    <w:p w14:paraId="6C73CB74" w14:textId="77777777" w:rsidR="00331B50" w:rsidRPr="00331B50" w:rsidRDefault="00331B50" w:rsidP="007027ED">
      <w:pPr>
        <w:spacing w:before="0" w:after="0"/>
        <w:contextualSpacing w:val="0"/>
        <w:jc w:val="left"/>
        <w:rPr>
          <w:rFonts w:eastAsia="Times New Roman"/>
          <w:noProof/>
          <w:vanish/>
          <w:color w:val="243F60"/>
          <w:szCs w:val="24"/>
          <w:specVanish/>
        </w:rPr>
      </w:pPr>
    </w:p>
    <w:p w14:paraId="315104B9" w14:textId="77777777" w:rsidR="00BC42EB" w:rsidRDefault="00331B50" w:rsidP="00BC42EB">
      <w:pPr>
        <w:pStyle w:val="Nadpis1"/>
      </w:pPr>
      <w:r>
        <w:rPr>
          <w:rFonts w:asciiTheme="minorHAnsi" w:hAnsiTheme="minorHAnsi"/>
          <w:noProof/>
        </w:rPr>
        <w:t xml:space="preserve"> </w:t>
      </w:r>
      <w:bookmarkStart w:id="115" w:name="_Toc34210420"/>
      <w:r w:rsidR="00BC42EB" w:rsidRPr="002D776E">
        <w:rPr>
          <w:noProof/>
        </w:rPr>
        <w:t xml:space="preserve">Příloha </w:t>
      </w:r>
      <w:r w:rsidR="00BC42EB">
        <w:rPr>
          <w:noProof/>
        </w:rPr>
        <w:t xml:space="preserve">č. </w:t>
      </w:r>
      <w:r w:rsidR="00BC42EB" w:rsidRPr="002D776E">
        <w:rPr>
          <w:noProof/>
        </w:rPr>
        <w:t xml:space="preserve">1 - </w:t>
      </w:r>
      <w:r w:rsidR="00BC42EB" w:rsidRPr="002D776E">
        <w:t>Základní</w:t>
      </w:r>
      <w:r w:rsidR="00BC42EB" w:rsidRPr="002D776E">
        <w:rPr>
          <w:noProof/>
        </w:rPr>
        <w:t xml:space="preserve"> východiska a postupy</w:t>
      </w:r>
      <w:bookmarkEnd w:id="115"/>
      <w:r w:rsidR="00BC42EB" w:rsidRPr="002D776E">
        <w:rPr>
          <w:noProof/>
        </w:rPr>
        <w:t xml:space="preserve"> </w:t>
      </w:r>
      <w:bookmarkStart w:id="116" w:name="_Toc502677192"/>
    </w:p>
    <w:p w14:paraId="0C2EF01F" w14:textId="77777777" w:rsidR="00BC42EB" w:rsidRPr="00C62639" w:rsidRDefault="00BC42EB" w:rsidP="00BC42EB">
      <w:pPr>
        <w:pStyle w:val="Nadpis2"/>
        <w:ind w:left="375"/>
        <w:rPr>
          <w:noProof/>
        </w:rPr>
      </w:pPr>
      <w:bookmarkStart w:id="117" w:name="_Toc34210421"/>
      <w:r w:rsidRPr="00C62639">
        <w:rPr>
          <w:noProof/>
        </w:rPr>
        <w:t>Stručná charakteristika rozdílů analyzovaných modelů provozování a jejich podskupin</w:t>
      </w:r>
      <w:r>
        <w:rPr>
          <w:noProof/>
        </w:rPr>
        <w:t>.</w:t>
      </w:r>
      <w:bookmarkEnd w:id="117"/>
    </w:p>
    <w:p w14:paraId="7FBE909A" w14:textId="7A0FB3A7" w:rsidR="00BC42EB" w:rsidRDefault="00BC42EB" w:rsidP="00BC42EB">
      <w:pPr>
        <w:pStyle w:val="NORMLN0"/>
        <w:ind w:firstLine="375"/>
      </w:pPr>
      <w:r w:rsidRPr="00A5162E">
        <w:t xml:space="preserve">Jednotlivé modely provozování byly identifikovány </w:t>
      </w:r>
      <w:r w:rsidR="00962A95">
        <w:t>na </w:t>
      </w:r>
      <w:r w:rsidRPr="00A5162E">
        <w:t xml:space="preserve">základě informací obsažených </w:t>
      </w:r>
      <w:r w:rsidR="00962A95">
        <w:t>na </w:t>
      </w:r>
      <w:r w:rsidRPr="00A5162E">
        <w:t>Porovnáních. Těmit</w:t>
      </w:r>
      <w:r w:rsidR="00962A95">
        <w:t>o </w:t>
      </w:r>
      <w:r w:rsidRPr="00A5162E">
        <w:t>informacemi byly: IČ</w:t>
      </w:r>
      <w:r w:rsidR="00962A95">
        <w:t>O </w:t>
      </w:r>
      <w:r w:rsidRPr="00A5162E">
        <w:t>vlastníka VIM, IČ</w:t>
      </w:r>
      <w:r w:rsidR="00962A95">
        <w:t>O </w:t>
      </w:r>
      <w:r w:rsidRPr="00A5162E">
        <w:t>provozovatele VIM a IČ</w:t>
      </w:r>
      <w:r w:rsidR="00962A95">
        <w:t>O </w:t>
      </w:r>
      <w:r w:rsidRPr="00A5162E">
        <w:t>příjemce vodnéh</w:t>
      </w:r>
      <w:r w:rsidR="00962A95">
        <w:t>o </w:t>
      </w:r>
      <w:r w:rsidRPr="00A5162E">
        <w:t xml:space="preserve">a stočného. </w:t>
      </w:r>
    </w:p>
    <w:p w14:paraId="4CBE5EC1" w14:textId="77777777" w:rsidR="00BC42EB" w:rsidRPr="00C62639" w:rsidRDefault="00BC42EB" w:rsidP="00BC42EB">
      <w:pPr>
        <w:pStyle w:val="Normlnzprva"/>
        <w:rPr>
          <w:rFonts w:asciiTheme="minorHAnsi" w:hAnsiTheme="minorHAnsi"/>
          <w:noProof/>
        </w:rPr>
      </w:pPr>
    </w:p>
    <w:tbl>
      <w:tblPr>
        <w:tblpPr w:leftFromText="141" w:rightFromText="141" w:vertAnchor="text" w:horzAnchor="margin" w:tblpXSpec="center" w:tblpY="11"/>
        <w:tblW w:w="94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49"/>
        <w:gridCol w:w="6344"/>
      </w:tblGrid>
      <w:tr w:rsidR="00BC42EB" w:rsidRPr="00934258" w14:paraId="6844BBA2" w14:textId="77777777" w:rsidTr="00FE3F65">
        <w:trPr>
          <w:tblHeader/>
        </w:trPr>
        <w:tc>
          <w:tcPr>
            <w:tcW w:w="223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8064A2"/>
            <w:vAlign w:val="center"/>
          </w:tcPr>
          <w:p w14:paraId="3E45E0DD" w14:textId="77777777" w:rsidR="00BC42EB" w:rsidRPr="00934258" w:rsidRDefault="00BC42EB" w:rsidP="00FE3F65">
            <w:pPr>
              <w:spacing w:before="0" w:after="0" w:line="160" w:lineRule="atLeast"/>
              <w:contextualSpacing w:val="0"/>
              <w:jc w:val="center"/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 PROVOZOVÁNÍ</w:t>
            </w:r>
          </w:p>
        </w:tc>
        <w:tc>
          <w:tcPr>
            <w:tcW w:w="7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8064A2"/>
            <w:vAlign w:val="center"/>
          </w:tcPr>
          <w:p w14:paraId="19D05475" w14:textId="2244A2A7" w:rsidR="00BC42EB" w:rsidRPr="00934258" w:rsidRDefault="00BC42EB" w:rsidP="00FE3F65">
            <w:pPr>
              <w:spacing w:before="0" w:after="0" w:line="160" w:lineRule="atLeast"/>
              <w:contextualSpacing w:val="0"/>
              <w:jc w:val="center"/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  <w:t xml:space="preserve">Charakteristika </w:t>
            </w:r>
            <w:r w:rsidR="00962A95"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  <w:t>z </w:t>
            </w:r>
            <w:r w:rsidRPr="00934258"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  <w:t>hlediska potřeb benchmarkingu</w:t>
            </w:r>
          </w:p>
        </w:tc>
      </w:tr>
      <w:tr w:rsidR="00BC42EB" w:rsidRPr="00934258" w14:paraId="4DC53475" w14:textId="77777777" w:rsidTr="00FE3F65">
        <w:tc>
          <w:tcPr>
            <w:tcW w:w="2235" w:type="dxa"/>
            <w:tcBorders>
              <w:left w:val="single" w:sz="4" w:space="0" w:color="FFFFFF"/>
            </w:tcBorders>
            <w:shd w:val="clear" w:color="auto" w:fill="8064A2"/>
          </w:tcPr>
          <w:p w14:paraId="2FDF195C" w14:textId="77777777" w:rsidR="00BC42EB" w:rsidRPr="00934258" w:rsidRDefault="00BC42EB" w:rsidP="00FE3F65">
            <w:pPr>
              <w:spacing w:before="0" w:after="0" w:line="160" w:lineRule="atLeast"/>
              <w:contextualSpacing w:val="0"/>
              <w:rPr>
                <w:rFonts w:ascii="Calibri Light" w:hAnsi="Calibri Light"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SMÍŠENÝ </w:t>
            </w:r>
          </w:p>
        </w:tc>
        <w:tc>
          <w:tcPr>
            <w:tcW w:w="7258" w:type="dxa"/>
            <w:shd w:val="clear" w:color="auto" w:fill="CCC0D9"/>
          </w:tcPr>
          <w:p w14:paraId="1CDC9A4B" w14:textId="16012118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provozovatel je stejný právní subjekt. </w:t>
            </w:r>
          </w:p>
          <w:p w14:paraId="5617E7BE" w14:textId="5BCCF250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(vlastníci) infrastruktury vloží svůj VIM d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obchodní společnosti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(a.s., s.r.o., k.s.), která tent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majete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 a zároveň provozuje. Obchodní společnost má práv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výběr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stočného. </w:t>
            </w:r>
          </w:p>
          <w:p w14:paraId="6E223C36" w14:textId="6DA8DF69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Původní vlastníci VIM dohlížejí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kvalitu a efektivitu služeb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v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rámci svých akcionářských prá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v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prá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v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společníka. </w:t>
            </w:r>
          </w:p>
          <w:p w14:paraId="326CDBCE" w14:textId="279D21FE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Obchodní společnost je odpovědná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a také opravy a údržbu.</w:t>
            </w:r>
          </w:p>
          <w:p w14:paraId="15392ECD" w14:textId="07526DE7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je stejné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 a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příjemce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stočnéh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jedná se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některou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forem obchodních společností.</w:t>
            </w:r>
          </w:p>
        </w:tc>
      </w:tr>
      <w:tr w:rsidR="00BC42EB" w:rsidRPr="00934258" w14:paraId="6E5F7ECA" w14:textId="77777777" w:rsidTr="00FE3F65">
        <w:tc>
          <w:tcPr>
            <w:tcW w:w="2235" w:type="dxa"/>
            <w:tcBorders>
              <w:left w:val="single" w:sz="4" w:space="0" w:color="FFFFFF"/>
            </w:tcBorders>
            <w:shd w:val="clear" w:color="auto" w:fill="8064A2"/>
          </w:tcPr>
          <w:p w14:paraId="217A3902" w14:textId="77777777" w:rsidR="00BC42EB" w:rsidRDefault="00BC42EB" w:rsidP="00FE3F65">
            <w:pPr>
              <w:spacing w:before="0" w:after="0" w:line="160" w:lineRule="atLeast"/>
              <w:contextualSpacing w:val="0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OBEC PROVOZUJE SAMA</w:t>
            </w:r>
          </w:p>
          <w:p w14:paraId="68E9C6A9" w14:textId="42E5EE5B" w:rsidR="00BC42EB" w:rsidRPr="00934258" w:rsidRDefault="00BC42EB" w:rsidP="00FE3F65">
            <w:pPr>
              <w:spacing w:before="0" w:after="0" w:line="160" w:lineRule="atLeast"/>
              <w:contextualSpacing w:val="0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(PODSKUPI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NA </w:t>
            </w:r>
            <w:r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SMÍŠENÉH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 </w:t>
            </w:r>
            <w:r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MODELU PROVOZOVÁNÍ)</w:t>
            </w:r>
          </w:p>
        </w:tc>
        <w:tc>
          <w:tcPr>
            <w:tcW w:w="7258" w:type="dxa"/>
            <w:shd w:val="clear" w:color="auto" w:fill="E5DFEC"/>
          </w:tcPr>
          <w:p w14:paraId="6B771F6D" w14:textId="324D920C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Obec si svůj VIM provozuje vlastním jménem,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vlastní účet a vlastní odpovědnost. </w:t>
            </w:r>
          </w:p>
          <w:p w14:paraId="53FD973A" w14:textId="2744C9B5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Obec má práv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výběr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stočného. </w:t>
            </w:r>
          </w:p>
          <w:p w14:paraId="429F6503" w14:textId="7984DBBA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Některé činnosti 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odborný dozor mohou vykonávat externí dodavatelé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základě smlouvy.</w:t>
            </w:r>
          </w:p>
          <w:p w14:paraId="77F2EEDD" w14:textId="261367ED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Obec nese odpovědnost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kvalitu a efektivitu služeb. Je také odpověd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rozvoj, obnovu, opravy a údržbu VIM. </w:t>
            </w:r>
          </w:p>
          <w:p w14:paraId="3DC29F21" w14:textId="1CC190E0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je stejné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 a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příjemce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stočnéh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jedná se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obec, městys, města 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sdružení zřízená municipálními subjekty. </w:t>
            </w:r>
          </w:p>
        </w:tc>
      </w:tr>
      <w:tr w:rsidR="00BC42EB" w:rsidRPr="00934258" w14:paraId="4BF40474" w14:textId="77777777" w:rsidTr="00FE3F65">
        <w:tc>
          <w:tcPr>
            <w:tcW w:w="2235" w:type="dxa"/>
            <w:tcBorders>
              <w:left w:val="single" w:sz="4" w:space="0" w:color="FFFFFF"/>
            </w:tcBorders>
            <w:shd w:val="clear" w:color="auto" w:fill="8064A2"/>
          </w:tcPr>
          <w:p w14:paraId="6090085D" w14:textId="77777777" w:rsidR="00BC42EB" w:rsidRPr="00934258" w:rsidRDefault="00BC42EB" w:rsidP="00FE3F65">
            <w:pPr>
              <w:spacing w:before="0" w:after="0" w:line="160" w:lineRule="atLeast"/>
              <w:contextualSpacing w:val="0"/>
              <w:rPr>
                <w:rFonts w:ascii="Calibri Light" w:hAnsi="Calibri Light"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ODDÍLNÝ </w:t>
            </w:r>
          </w:p>
        </w:tc>
        <w:tc>
          <w:tcPr>
            <w:tcW w:w="7258" w:type="dxa"/>
            <w:shd w:val="clear" w:color="auto" w:fill="CCC0D9"/>
          </w:tcPr>
          <w:p w14:paraId="109DB0BA" w14:textId="160B5E59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VIM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provozovatel jsou dva 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odlišné právní subjekty.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</w:p>
          <w:p w14:paraId="0C919A5A" w14:textId="485AB2F5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Mezi vlastníkem a provozovatelem je uzavřená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smlouva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nájmu a provozování VIM. </w:t>
            </w:r>
          </w:p>
          <w:p w14:paraId="48DB2CD0" w14:textId="2441B2B4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kvalitu a efektivitu provozování VIM.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poskytnutou službu mu náleží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odmě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ve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formě práva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výběr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stočného. </w:t>
            </w:r>
          </w:p>
          <w:p w14:paraId="1B52F14B" w14:textId="25B34B11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hradí vlastníku VIM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nájemné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užívání VIM. </w:t>
            </w:r>
          </w:p>
          <w:p w14:paraId="57FF99E5" w14:textId="25E54E66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je 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VIM.</w:t>
            </w:r>
          </w:p>
          <w:p w14:paraId="03BFC342" w14:textId="1D65C7AF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opravy a údržbu VIM.</w:t>
            </w:r>
          </w:p>
          <w:p w14:paraId="6EB25F04" w14:textId="4FD740B5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je rozdílné od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 a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příjemce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stočnéh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je stejné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provozovatele. Může se jednat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dvě samostatné obchodní společnosti 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kombinaci municipálníh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právníh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subjektu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VIM a obchodní společnosti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provozovatele VIM. </w:t>
            </w:r>
          </w:p>
        </w:tc>
      </w:tr>
      <w:tr w:rsidR="00BC42EB" w:rsidRPr="00934258" w14:paraId="29A71BD8" w14:textId="77777777" w:rsidTr="00FE3F65">
        <w:tc>
          <w:tcPr>
            <w:tcW w:w="2235" w:type="dxa"/>
            <w:tcBorders>
              <w:left w:val="single" w:sz="4" w:space="0" w:color="FFFFFF"/>
            </w:tcBorders>
            <w:shd w:val="clear" w:color="auto" w:fill="8064A2"/>
          </w:tcPr>
          <w:p w14:paraId="6B5BB479" w14:textId="77777777" w:rsidR="00BC42EB" w:rsidRPr="00934258" w:rsidRDefault="00BC42EB" w:rsidP="00FE3F65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  <w:t>VLASTNICKÝ</w:t>
            </w:r>
            <w:r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 </w:t>
            </w:r>
          </w:p>
          <w:p w14:paraId="38277A19" w14:textId="77777777" w:rsidR="00BC42EB" w:rsidRPr="00934258" w:rsidRDefault="00BC42EB" w:rsidP="00FE3F65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</w:p>
          <w:p w14:paraId="5D83D989" w14:textId="40E91903" w:rsidR="00BC42EB" w:rsidRPr="00934258" w:rsidRDefault="00BC42EB" w:rsidP="00FE3F65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(PODSKUPI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ODDÍLNÉH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MODELU PROVOZOVÁNÍ)</w:t>
            </w:r>
          </w:p>
        </w:tc>
        <w:tc>
          <w:tcPr>
            <w:tcW w:w="7258" w:type="dxa"/>
            <w:shd w:val="clear" w:color="auto" w:fill="E5DFEC"/>
          </w:tcPr>
          <w:p w14:paraId="263D4F69" w14:textId="20DE15EB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VIM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provozovatel jsou dva rozdílné právní subjekty.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VIM je zřizovatelem provozovatele a je 100% vlastníkem, tj. majetkově provozovatele ovládá. </w:t>
            </w:r>
          </w:p>
          <w:p w14:paraId="191C458A" w14:textId="778674EB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Mezi vlastníkem a provozovatelem je uzavřená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smlouva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nájmu a provozování VIM,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provozuje VIM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základě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lastRenderedPageBreak/>
              <w:t>jinéh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pověření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.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(Čast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se jedná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účelově založené obchodní společnosti 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např. technické služby města/obce).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 </w:t>
            </w:r>
          </w:p>
          <w:p w14:paraId="6CA4832A" w14:textId="1AF75AE2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kvalitu a efektivitu provozování VIM.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poskytnutou službu mu náleží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odmě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ve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formě práva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výběr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stočného. </w:t>
            </w:r>
          </w:p>
          <w:p w14:paraId="7E48DFC2" w14:textId="55E1E36D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hradí vlastníku VIM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nájemné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užívání VIM. </w:t>
            </w:r>
          </w:p>
          <w:p w14:paraId="4CBD1F45" w14:textId="09EB6195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je 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VIM.</w:t>
            </w:r>
          </w:p>
          <w:p w14:paraId="0E657568" w14:textId="30F9A045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opravy a údržbu VIM.</w:t>
            </w:r>
          </w:p>
          <w:p w14:paraId="6555DA5D" w14:textId="1ADC3553" w:rsidR="00BC42EB" w:rsidRPr="00934258" w:rsidRDefault="00BC42EB" w:rsidP="00FE3F65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je rozdílné od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 a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příjemce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stočnéh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je stejné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provozovatele. Může se jednat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dvě samostatné obchodní společnosti 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kombinaci municipálníh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právníh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subjektu (vlastní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VIM)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a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obchodní společnosti neb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organizace zřízené municipálním vlastníkem VIM (provozovatel).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</w:p>
        </w:tc>
      </w:tr>
      <w:tr w:rsidR="00BC42EB" w:rsidRPr="00934258" w14:paraId="59D99651" w14:textId="77777777" w:rsidTr="00BC42EB">
        <w:tc>
          <w:tcPr>
            <w:tcW w:w="2235" w:type="dxa"/>
            <w:tcBorders>
              <w:left w:val="single" w:sz="4" w:space="0" w:color="FFFFFF"/>
            </w:tcBorders>
            <w:shd w:val="clear" w:color="auto" w:fill="8064A2"/>
          </w:tcPr>
          <w:p w14:paraId="0AE40331" w14:textId="77777777" w:rsidR="00BC42EB" w:rsidRPr="00934258" w:rsidRDefault="00BC42EB" w:rsidP="00BC42EB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  <w:lastRenderedPageBreak/>
              <w:t>SERVISNÍ SMLOUVY</w:t>
            </w:r>
            <w:r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 </w:t>
            </w:r>
          </w:p>
          <w:p w14:paraId="685B1A7B" w14:textId="77777777" w:rsidR="00BC42EB" w:rsidRPr="00934258" w:rsidRDefault="00BC42EB" w:rsidP="00BC42EB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</w:p>
          <w:p w14:paraId="0A13DCEB" w14:textId="7BE6DFB2" w:rsidR="00BC42EB" w:rsidRPr="00934258" w:rsidRDefault="00BC42EB" w:rsidP="00BC42EB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(PODSKUPI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ODDÍLNÉH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MODELU PROVOZOVÁNÍ)</w:t>
            </w:r>
          </w:p>
        </w:tc>
        <w:tc>
          <w:tcPr>
            <w:tcW w:w="7258" w:type="dxa"/>
            <w:shd w:val="clear" w:color="auto" w:fill="CCC0D9"/>
          </w:tcPr>
          <w:p w14:paraId="370EDCFE" w14:textId="6498F97C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VIM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provozovatel jsou dva rozdílné subjekty be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majetkovéh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ro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pojení. </w:t>
            </w:r>
          </w:p>
          <w:p w14:paraId="5040C9E6" w14:textId="77777777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Mezi vlastníkem a provozovatelem je uzavřená </w:t>
            </w:r>
            <w:r w:rsidRPr="00BC42EB">
              <w:rPr>
                <w:rFonts w:ascii="Calibri Light" w:hAnsi="Calibri Light"/>
                <w:noProof/>
                <w:sz w:val="20"/>
                <w:szCs w:val="20"/>
              </w:rPr>
              <w:t>servisní smlouva.</w:t>
            </w:r>
          </w:p>
          <w:p w14:paraId="608E5D49" w14:textId="5584AE9D" w:rsidR="00BC42EB" w:rsidRPr="00934258" w:rsidRDefault="00962A95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="00BC42EB" w:rsidRPr="00934258">
              <w:rPr>
                <w:rFonts w:ascii="Calibri Light" w:hAnsi="Calibri Light"/>
                <w:noProof/>
                <w:sz w:val="20"/>
                <w:szCs w:val="20"/>
              </w:rPr>
              <w:t>základě servisní smlouvy hradí vlastní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="00BC42EB"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VIM provozovateli </w:t>
            </w:r>
            <w:r w:rsidR="00BC42EB" w:rsidRPr="00BC42EB">
              <w:rPr>
                <w:rFonts w:ascii="Calibri Light" w:hAnsi="Calibri Light"/>
                <w:noProof/>
                <w:sz w:val="20"/>
                <w:szCs w:val="20"/>
              </w:rPr>
              <w:t xml:space="preserve">odměnu 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="00BC42EB" w:rsidRPr="00BC42EB">
              <w:rPr>
                <w:rFonts w:ascii="Calibri Light" w:hAnsi="Calibri Light"/>
                <w:noProof/>
                <w:sz w:val="20"/>
                <w:szCs w:val="20"/>
              </w:rPr>
              <w:t xml:space="preserve">provozování </w:t>
            </w:r>
          </w:p>
          <w:p w14:paraId="509DA677" w14:textId="1E365A14" w:rsidR="00BC42EB" w:rsidRPr="002E3CB1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</w:t>
            </w:r>
            <w:r w:rsidRPr="00BC42EB">
              <w:rPr>
                <w:rFonts w:ascii="Calibri Light" w:hAnsi="Calibri Light"/>
                <w:noProof/>
                <w:sz w:val="20"/>
                <w:szCs w:val="20"/>
              </w:rPr>
              <w:t xml:space="preserve">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kvalitu a efektivitu provozování VIM. </w:t>
            </w:r>
          </w:p>
          <w:p w14:paraId="4B08011E" w14:textId="4CF0F6E3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VIM je příjemcem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stočného. </w:t>
            </w:r>
          </w:p>
          <w:p w14:paraId="0D1FA63B" w14:textId="48B45014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je 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rozvoj a obnovu VIM a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ve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většině případů hradí i opravy VIM realizované provozovatelem. </w:t>
            </w:r>
          </w:p>
          <w:p w14:paraId="1238E01B" w14:textId="3336532F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údržbu VIM.</w:t>
            </w:r>
          </w:p>
          <w:p w14:paraId="2AFA27E7" w14:textId="1DA9268D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je rozdílné od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 a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příjemce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stočnéh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je stejné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vlastníka VIM. </w:t>
            </w:r>
          </w:p>
        </w:tc>
      </w:tr>
      <w:tr w:rsidR="00BC42EB" w:rsidRPr="00934258" w14:paraId="5872CDFE" w14:textId="77777777" w:rsidTr="00FE3F65">
        <w:tc>
          <w:tcPr>
            <w:tcW w:w="2235" w:type="dxa"/>
            <w:tcBorders>
              <w:left w:val="single" w:sz="4" w:space="0" w:color="FFFFFF"/>
            </w:tcBorders>
            <w:shd w:val="clear" w:color="auto" w:fill="8064A2"/>
          </w:tcPr>
          <w:p w14:paraId="0B68939F" w14:textId="77777777" w:rsidR="00BC42EB" w:rsidRPr="00934258" w:rsidRDefault="00BC42EB" w:rsidP="00BC42EB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  <w:t xml:space="preserve">KOMBINOVANÝ </w:t>
            </w:r>
          </w:p>
          <w:p w14:paraId="45F3E758" w14:textId="77777777" w:rsidR="00BC42EB" w:rsidRPr="00934258" w:rsidRDefault="00BC42EB" w:rsidP="00BC42EB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</w:pPr>
          </w:p>
          <w:p w14:paraId="38FEF7BB" w14:textId="67DEA72E" w:rsidR="00BC42EB" w:rsidRPr="00934258" w:rsidRDefault="00BC42EB" w:rsidP="00BC42EB">
            <w:pPr>
              <w:spacing w:before="0" w:after="0" w:line="160" w:lineRule="atLeast"/>
              <w:contextualSpacing w:val="0"/>
              <w:jc w:val="left"/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18"/>
                <w:szCs w:val="20"/>
              </w:rPr>
              <w:t>(KOMBIMACE ODDÍLNÉH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18"/>
                <w:szCs w:val="20"/>
              </w:rPr>
              <w:t>O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18"/>
                <w:szCs w:val="20"/>
              </w:rPr>
              <w:t>A SMÍŠENÉH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18"/>
                <w:szCs w:val="20"/>
              </w:rPr>
              <w:t>O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18"/>
                <w:szCs w:val="20"/>
              </w:rPr>
              <w:t>MODELU PROVOZOVÁNÍ)</w:t>
            </w:r>
          </w:p>
        </w:tc>
        <w:tc>
          <w:tcPr>
            <w:tcW w:w="7258" w:type="dxa"/>
            <w:shd w:val="clear" w:color="auto" w:fill="E5DFEC"/>
          </w:tcPr>
          <w:p w14:paraId="287295D4" w14:textId="3A689A6A" w:rsidR="00BC42EB" w:rsidRPr="00934258" w:rsidRDefault="00BC42EB" w:rsidP="00BC42EB">
            <w:pPr>
              <w:pStyle w:val="Odstavecseseznamem"/>
              <w:numPr>
                <w:ilvl w:val="0"/>
                <w:numId w:val="4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 zároveň provozuje část VIM,</w:t>
            </w:r>
            <w:r w:rsidR="00BD5FF3">
              <w:rPr>
                <w:rFonts w:ascii="Calibri Light" w:hAnsi="Calibri Light"/>
                <w:noProof/>
                <w:sz w:val="20"/>
                <w:szCs w:val="20"/>
              </w:rPr>
              <w:t xml:space="preserve"> ke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kterému má vlastnické práva, takže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k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hodnotě tohot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VIM vytváří odpisy, které jsou součástí ceny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pro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vodné a stočné.</w:t>
            </w:r>
          </w:p>
          <w:p w14:paraId="4EEAB823" w14:textId="4B310107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Mezi vlastníkem a provozovatelem je uzavřená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smlouva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nájmu a provozování VIM. </w:t>
            </w:r>
          </w:p>
          <w:p w14:paraId="1DA6F38E" w14:textId="39CAD9C5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Provozovatel je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odpovědný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kvalitu a efektivitu provozování VIM.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Za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poskytnutou službu mu náleží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odmě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ve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formě práva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výběr 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a stočného. </w:t>
            </w:r>
          </w:p>
          <w:p w14:paraId="28DA4416" w14:textId="624CB977" w:rsidR="00BC42EB" w:rsidRPr="00934258" w:rsidRDefault="00BC42EB" w:rsidP="00BC42EB">
            <w:pPr>
              <w:pStyle w:val="Odstavecseseznamem"/>
              <w:numPr>
                <w:ilvl w:val="0"/>
                <w:numId w:val="3"/>
              </w:numPr>
              <w:spacing w:before="0" w:after="0" w:line="160" w:lineRule="atLeast"/>
              <w:ind w:left="459"/>
              <w:contextualSpacing w:val="0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vlastníka je rozdílné od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 a 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příjemce vodnéh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a stočnéh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je stejné jak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provozovatele.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IČ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 xml:space="preserve">provozovatele je 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Porovnání uveden</w:t>
            </w:r>
            <w:r w:rsidR="00962A95">
              <w:rPr>
                <w:rFonts w:ascii="Calibri Light" w:hAnsi="Calibri Light"/>
                <w:i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i/>
                <w:noProof/>
                <w:sz w:val="20"/>
                <w:szCs w:val="20"/>
              </w:rPr>
              <w:t>i mezi vlastníky související provozované infrastruktury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.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 xml:space="preserve"> </w:t>
            </w:r>
          </w:p>
        </w:tc>
      </w:tr>
    </w:tbl>
    <w:p w14:paraId="4755667C" w14:textId="5FD8E9D0" w:rsidR="00BC42EB" w:rsidRDefault="00BC42EB" w:rsidP="00BC42EB"/>
    <w:p w14:paraId="1F8EC8AD" w14:textId="77777777" w:rsidR="000E0178" w:rsidRDefault="000E0178" w:rsidP="00BC42EB"/>
    <w:p w14:paraId="32497B63" w14:textId="7ABBEA2C" w:rsidR="00BC42EB" w:rsidRPr="00331FCA" w:rsidRDefault="0027331C" w:rsidP="00BC42EB">
      <w:pPr>
        <w:pStyle w:val="Nadpis2"/>
        <w:ind w:left="375"/>
      </w:pPr>
      <w:bookmarkStart w:id="118" w:name="_Toc34210422"/>
      <w:r>
        <w:rPr>
          <w:rFonts w:asciiTheme="minorHAnsi" w:hAnsiTheme="minorHAnsi"/>
          <w:noProof/>
        </w:rPr>
        <w:t>V</w:t>
      </w:r>
      <w:bookmarkStart w:id="119" w:name="_Toc31206332"/>
      <w:r w:rsidR="00BC42EB" w:rsidRPr="00331FCA">
        <w:t xml:space="preserve">ýpočet roční výše potřeby akumulace finančních prostředků </w:t>
      </w:r>
      <w:r w:rsidR="00962A95">
        <w:t>na </w:t>
      </w:r>
      <w:r w:rsidR="00BC42EB" w:rsidRPr="00331FCA">
        <w:t>obnovu</w:t>
      </w:r>
      <w:bookmarkEnd w:id="119"/>
      <w:bookmarkEnd w:id="118"/>
    </w:p>
    <w:p w14:paraId="480F64B9" w14:textId="6AAD938B" w:rsidR="00BC42EB" w:rsidRDefault="00BC42EB" w:rsidP="00BC42EB">
      <w:pPr>
        <w:spacing w:after="360"/>
        <w:ind w:firstLine="576"/>
        <w:rPr>
          <w:rFonts w:asciiTheme="minorHAnsi" w:hAnsiTheme="minorHAnsi"/>
        </w:rPr>
      </w:pPr>
      <w:r>
        <w:rPr>
          <w:rFonts w:asciiTheme="minorHAnsi" w:hAnsiTheme="minorHAnsi"/>
        </w:rPr>
        <w:t>Před prvním zpracováním be</w:t>
      </w:r>
      <w:r w:rsidR="00A56272">
        <w:rPr>
          <w:rFonts w:asciiTheme="minorHAnsi" w:hAnsiTheme="minorHAnsi"/>
        </w:rPr>
        <w:t>n</w:t>
      </w:r>
      <w:r>
        <w:rPr>
          <w:rFonts w:asciiTheme="minorHAnsi" w:hAnsiTheme="minorHAnsi"/>
        </w:rPr>
        <w:t>chmarkingových projektů M</w:t>
      </w:r>
      <w:r w:rsidR="00962A95">
        <w:rPr>
          <w:rFonts w:asciiTheme="minorHAnsi" w:hAnsiTheme="minorHAnsi"/>
        </w:rPr>
        <w:t>Ze </w:t>
      </w:r>
      <w:r>
        <w:rPr>
          <w:rFonts w:asciiTheme="minorHAnsi" w:hAnsiTheme="minorHAnsi"/>
        </w:rPr>
        <w:t>byl</w:t>
      </w:r>
      <w:r w:rsidR="00962A95">
        <w:rPr>
          <w:rFonts w:asciiTheme="minorHAnsi" w:hAnsiTheme="minorHAnsi"/>
        </w:rPr>
        <w:t>o </w:t>
      </w:r>
      <w:r>
        <w:rPr>
          <w:rFonts w:asciiTheme="minorHAnsi" w:hAnsiTheme="minorHAnsi"/>
        </w:rPr>
        <w:t>možné se setkat</w:t>
      </w:r>
      <w:r w:rsidRPr="00331FCA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> </w:t>
      </w:r>
      <w:r w:rsidRPr="00331FCA">
        <w:rPr>
          <w:rFonts w:asciiTheme="minorHAnsi" w:hAnsiTheme="minorHAnsi"/>
        </w:rPr>
        <w:t>generalizací</w:t>
      </w:r>
      <w:r>
        <w:rPr>
          <w:rFonts w:asciiTheme="minorHAnsi" w:hAnsiTheme="minorHAnsi"/>
        </w:rPr>
        <w:t xml:space="preserve"> stanovení potřebné výše minimálních P</w:t>
      </w:r>
      <w:r w:rsidR="00962A95">
        <w:rPr>
          <w:rFonts w:asciiTheme="minorHAnsi" w:hAnsiTheme="minorHAnsi"/>
        </w:rPr>
        <w:t>O </w:t>
      </w:r>
      <w:r>
        <w:rPr>
          <w:rFonts w:asciiTheme="minorHAnsi" w:hAnsiTheme="minorHAnsi"/>
        </w:rPr>
        <w:t xml:space="preserve">VIM </w:t>
      </w:r>
      <w:r w:rsidR="00962A95">
        <w:rPr>
          <w:rFonts w:asciiTheme="minorHAnsi" w:hAnsiTheme="minorHAnsi"/>
        </w:rPr>
        <w:t>na </w:t>
      </w:r>
      <w:r>
        <w:rPr>
          <w:rFonts w:asciiTheme="minorHAnsi" w:hAnsiTheme="minorHAnsi"/>
        </w:rPr>
        <w:t xml:space="preserve">1,4% podíl </w:t>
      </w:r>
      <w:r w:rsidR="00962A95">
        <w:rPr>
          <w:rFonts w:asciiTheme="minorHAnsi" w:hAnsiTheme="minorHAnsi"/>
        </w:rPr>
        <w:t>z </w:t>
      </w:r>
      <w:r>
        <w:rPr>
          <w:rFonts w:asciiTheme="minorHAnsi" w:hAnsiTheme="minorHAnsi"/>
        </w:rPr>
        <w:t xml:space="preserve">hodnoty VIM </w:t>
      </w:r>
      <w:r w:rsidR="00962A95">
        <w:rPr>
          <w:rFonts w:asciiTheme="minorHAnsi" w:hAnsiTheme="minorHAnsi"/>
        </w:rPr>
        <w:t>v </w:t>
      </w:r>
      <w:r>
        <w:rPr>
          <w:rFonts w:asciiTheme="minorHAnsi" w:hAnsiTheme="minorHAnsi"/>
        </w:rPr>
        <w:t xml:space="preserve">reprodukčních cenách podle orientačních ukazatelů průměrně </w:t>
      </w:r>
      <w:r w:rsidR="00962A95">
        <w:rPr>
          <w:rFonts w:asciiTheme="minorHAnsi" w:hAnsiTheme="minorHAnsi"/>
        </w:rPr>
        <w:t>za </w:t>
      </w:r>
      <w:r>
        <w:rPr>
          <w:rFonts w:asciiTheme="minorHAnsi" w:hAnsiTheme="minorHAnsi"/>
        </w:rPr>
        <w:t>celý</w:t>
      </w:r>
      <w:r w:rsidRPr="00331F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VIM</w:t>
      </w:r>
      <w:r w:rsidRPr="00331FCA">
        <w:rPr>
          <w:rFonts w:asciiTheme="minorHAnsi" w:hAnsiTheme="minorHAnsi"/>
        </w:rPr>
        <w:t>. Tent</w:t>
      </w:r>
      <w:r w:rsidR="00962A95">
        <w:rPr>
          <w:rFonts w:asciiTheme="minorHAnsi" w:hAnsiTheme="minorHAnsi"/>
        </w:rPr>
        <w:t>o </w:t>
      </w:r>
      <w:r w:rsidRPr="00331FCA">
        <w:rPr>
          <w:rFonts w:asciiTheme="minorHAnsi" w:hAnsiTheme="minorHAnsi"/>
        </w:rPr>
        <w:t xml:space="preserve">přístup je </w:t>
      </w:r>
      <w:r w:rsidR="00962A95">
        <w:rPr>
          <w:rFonts w:asciiTheme="minorHAnsi" w:hAnsiTheme="minorHAnsi"/>
        </w:rPr>
        <w:t>z </w:t>
      </w:r>
      <w:r w:rsidRPr="00331FCA">
        <w:rPr>
          <w:rFonts w:asciiTheme="minorHAnsi" w:hAnsiTheme="minorHAnsi"/>
        </w:rPr>
        <w:t xml:space="preserve">podstaty benchmarkingu zavádějící a nedostačující.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>úče</w:t>
      </w:r>
      <w:r>
        <w:rPr>
          <w:rFonts w:asciiTheme="minorHAnsi" w:hAnsiTheme="minorHAnsi"/>
        </w:rPr>
        <w:t>ly vlastnickéh</w:t>
      </w:r>
      <w:r w:rsidR="00962A95">
        <w:rPr>
          <w:rFonts w:asciiTheme="minorHAnsi" w:hAnsiTheme="minorHAnsi"/>
        </w:rPr>
        <w:t>o </w:t>
      </w:r>
      <w:r>
        <w:rPr>
          <w:rFonts w:asciiTheme="minorHAnsi" w:hAnsiTheme="minorHAnsi"/>
        </w:rPr>
        <w:t>benchmarkingu je</w:t>
      </w:r>
      <w:r w:rsidRPr="00331FCA">
        <w:rPr>
          <w:rFonts w:asciiTheme="minorHAnsi" w:hAnsiTheme="minorHAnsi"/>
        </w:rPr>
        <w:t xml:space="preserve"> nutné stanovit minimální částku</w:t>
      </w:r>
      <w:r>
        <w:rPr>
          <w:rFonts w:asciiTheme="minorHAnsi" w:hAnsiTheme="minorHAnsi"/>
        </w:rPr>
        <w:t xml:space="preserve"> p</w:t>
      </w:r>
      <w:r w:rsidRPr="00331FCA">
        <w:rPr>
          <w:rFonts w:asciiTheme="minorHAnsi" w:hAnsiTheme="minorHAnsi"/>
        </w:rPr>
        <w:t xml:space="preserve">otřebnou </w:t>
      </w:r>
      <w:r w:rsidR="00962A95">
        <w:rPr>
          <w:rFonts w:asciiTheme="minorHAnsi" w:hAnsiTheme="minorHAnsi"/>
        </w:rPr>
        <w:t>na </w:t>
      </w:r>
      <w:r w:rsidRPr="00331FCA">
        <w:rPr>
          <w:rFonts w:asciiTheme="minorHAnsi" w:hAnsiTheme="minorHAnsi"/>
        </w:rPr>
        <w:t xml:space="preserve">obnovu </w:t>
      </w:r>
      <w:r>
        <w:rPr>
          <w:rFonts w:asciiTheme="minorHAnsi" w:hAnsiTheme="minorHAnsi"/>
        </w:rPr>
        <w:t xml:space="preserve">VIM přesněji. </w:t>
      </w:r>
      <w:r w:rsidR="00962A95">
        <w:rPr>
          <w:rFonts w:asciiTheme="minorHAnsi" w:hAnsiTheme="minorHAnsi"/>
        </w:rPr>
        <w:t>Z </w:t>
      </w:r>
      <w:r w:rsidRPr="00331FCA">
        <w:rPr>
          <w:rFonts w:asciiTheme="minorHAnsi" w:hAnsiTheme="minorHAnsi"/>
        </w:rPr>
        <w:t>tohot</w:t>
      </w:r>
      <w:r w:rsidR="00962A95">
        <w:rPr>
          <w:rFonts w:asciiTheme="minorHAnsi" w:hAnsiTheme="minorHAnsi"/>
        </w:rPr>
        <w:t>o </w:t>
      </w:r>
      <w:r w:rsidRPr="00331FCA">
        <w:rPr>
          <w:rFonts w:asciiTheme="minorHAnsi" w:hAnsiTheme="minorHAnsi"/>
        </w:rPr>
        <w:t xml:space="preserve">důvodu byla roční částka potřebná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>pokrytí obnovy vyčísle</w:t>
      </w:r>
      <w:r w:rsidR="00962A95">
        <w:rPr>
          <w:rFonts w:asciiTheme="minorHAnsi" w:hAnsiTheme="minorHAnsi"/>
        </w:rPr>
        <w:t>na </w:t>
      </w:r>
      <w:r w:rsidRPr="00331FCA">
        <w:rPr>
          <w:rFonts w:asciiTheme="minorHAnsi" w:hAnsiTheme="minorHAnsi"/>
        </w:rPr>
        <w:t xml:space="preserve">zvlášť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>každé Porovnání, a t</w:t>
      </w:r>
      <w:r w:rsidR="00962A95">
        <w:rPr>
          <w:rFonts w:asciiTheme="minorHAnsi" w:hAnsiTheme="minorHAnsi"/>
        </w:rPr>
        <w:t>o </w:t>
      </w:r>
      <w:r w:rsidRPr="00331FCA">
        <w:rPr>
          <w:rFonts w:asciiTheme="minorHAnsi" w:hAnsiTheme="minorHAnsi"/>
        </w:rPr>
        <w:t xml:space="preserve">způsobem popsaným </w:t>
      </w:r>
      <w:r w:rsidR="00962A95">
        <w:rPr>
          <w:rFonts w:asciiTheme="minorHAnsi" w:hAnsiTheme="minorHAnsi"/>
        </w:rPr>
        <w:t>ve </w:t>
      </w:r>
      <w:r w:rsidRPr="00331FCA">
        <w:rPr>
          <w:rFonts w:asciiTheme="minorHAnsi" w:hAnsiTheme="minorHAnsi"/>
        </w:rPr>
        <w:t xml:space="preserve">vyhlášce č. 428/2001 Sb., kterou se provádí zákon č. 274/2001 Sb., </w:t>
      </w:r>
      <w:r w:rsidR="00962A95">
        <w:rPr>
          <w:rFonts w:asciiTheme="minorHAnsi" w:hAnsiTheme="minorHAnsi"/>
        </w:rPr>
        <w:t>O </w:t>
      </w:r>
      <w:r w:rsidRPr="00331FCA">
        <w:rPr>
          <w:rFonts w:asciiTheme="minorHAnsi" w:hAnsiTheme="minorHAnsi"/>
        </w:rPr>
        <w:t xml:space="preserve">vodovodech a kanalizacích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 xml:space="preserve">veřejnou potřebu, </w:t>
      </w:r>
      <w:r w:rsidR="00962A95">
        <w:rPr>
          <w:rFonts w:asciiTheme="minorHAnsi" w:hAnsiTheme="minorHAnsi"/>
        </w:rPr>
        <w:t>ve </w:t>
      </w:r>
      <w:r w:rsidRPr="00331FCA">
        <w:rPr>
          <w:rFonts w:asciiTheme="minorHAnsi" w:hAnsiTheme="minorHAnsi"/>
        </w:rPr>
        <w:t xml:space="preserve">znění pozdějších předpisů. Výpočet vychází </w:t>
      </w:r>
      <w:r w:rsidR="00962A95">
        <w:rPr>
          <w:rFonts w:asciiTheme="minorHAnsi" w:hAnsiTheme="minorHAnsi"/>
        </w:rPr>
        <w:t>z </w:t>
      </w:r>
      <w:r w:rsidRPr="00331FCA">
        <w:rPr>
          <w:rFonts w:asciiTheme="minorHAnsi" w:hAnsiTheme="minorHAnsi"/>
        </w:rPr>
        <w:t xml:space="preserve">životností uvedených </w:t>
      </w:r>
      <w:r w:rsidR="00962A95">
        <w:rPr>
          <w:rFonts w:asciiTheme="minorHAnsi" w:hAnsiTheme="minorHAnsi"/>
        </w:rPr>
        <w:t>v </w:t>
      </w:r>
      <w:r w:rsidRPr="00331FCA">
        <w:rPr>
          <w:rFonts w:asciiTheme="minorHAnsi" w:hAnsiTheme="minorHAnsi"/>
        </w:rPr>
        <w:t>tomt</w:t>
      </w:r>
      <w:r w:rsidR="00962A95">
        <w:rPr>
          <w:rFonts w:asciiTheme="minorHAnsi" w:hAnsiTheme="minorHAnsi"/>
        </w:rPr>
        <w:t>o </w:t>
      </w:r>
      <w:r w:rsidRPr="00331FCA">
        <w:rPr>
          <w:rFonts w:asciiTheme="minorHAnsi" w:hAnsiTheme="minorHAnsi"/>
        </w:rPr>
        <w:t xml:space="preserve">zákoně, tj. 80 let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 xml:space="preserve">vodovodní řady, 45 let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 xml:space="preserve">úpravny vody, popř. vodní zdroje, 90 let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 xml:space="preserve">kanalizační stoky a stokovou síť, 40 let </w:t>
      </w:r>
      <w:r w:rsidR="00962A95">
        <w:rPr>
          <w:rFonts w:asciiTheme="minorHAnsi" w:hAnsiTheme="minorHAnsi"/>
        </w:rPr>
        <w:lastRenderedPageBreak/>
        <w:t>pro </w:t>
      </w:r>
      <w:r w:rsidRPr="00331FCA">
        <w:rPr>
          <w:rFonts w:asciiTheme="minorHAnsi" w:hAnsiTheme="minorHAnsi"/>
        </w:rPr>
        <w:t>čistírny odpadních vod a </w:t>
      </w:r>
      <w:r w:rsidR="00962A95">
        <w:rPr>
          <w:rFonts w:asciiTheme="minorHAnsi" w:hAnsiTheme="minorHAnsi"/>
        </w:rPr>
        <w:t>z </w:t>
      </w:r>
      <w:r w:rsidRPr="00331FCA">
        <w:rPr>
          <w:rFonts w:asciiTheme="minorHAnsi" w:hAnsiTheme="minorHAnsi"/>
        </w:rPr>
        <w:t xml:space="preserve">hodnoty majetku </w:t>
      </w:r>
      <w:r w:rsidR="00962A95">
        <w:rPr>
          <w:rFonts w:asciiTheme="minorHAnsi" w:hAnsiTheme="minorHAnsi"/>
        </w:rPr>
        <w:t>v </w:t>
      </w:r>
      <w:r w:rsidRPr="00331FCA">
        <w:rPr>
          <w:rFonts w:asciiTheme="minorHAnsi" w:hAnsiTheme="minorHAnsi"/>
        </w:rPr>
        <w:t xml:space="preserve">reprodukční pořizovací ceně uváděné </w:t>
      </w:r>
      <w:r w:rsidR="00962A95">
        <w:rPr>
          <w:rFonts w:asciiTheme="minorHAnsi" w:hAnsiTheme="minorHAnsi"/>
        </w:rPr>
        <w:t>ve </w:t>
      </w:r>
      <w:r w:rsidRPr="00331FCA">
        <w:rPr>
          <w:rFonts w:asciiTheme="minorHAnsi" w:hAnsiTheme="minorHAnsi"/>
        </w:rPr>
        <w:t>VÚME i </w:t>
      </w:r>
      <w:r w:rsidR="00962A95">
        <w:rPr>
          <w:rFonts w:asciiTheme="minorHAnsi" w:hAnsiTheme="minorHAnsi"/>
        </w:rPr>
        <w:t>ve </w:t>
      </w:r>
      <w:r w:rsidRPr="00331FCA">
        <w:rPr>
          <w:rFonts w:asciiTheme="minorHAnsi" w:hAnsiTheme="minorHAnsi"/>
        </w:rPr>
        <w:t>vyúčtování.</w:t>
      </w:r>
    </w:p>
    <w:p w14:paraId="1197EC4B" w14:textId="77777777" w:rsidR="00BC42EB" w:rsidRPr="00331FCA" w:rsidRDefault="00BC42EB" w:rsidP="00BC42EB">
      <w:pPr>
        <w:spacing w:after="360"/>
        <w:ind w:firstLine="576"/>
        <w:rPr>
          <w:rFonts w:asciiTheme="minorHAnsi" w:hAnsiTheme="minorHAnsi"/>
        </w:rPr>
      </w:pPr>
    </w:p>
    <w:p w14:paraId="10E1C5A5" w14:textId="78F0DE33" w:rsidR="00BC42EB" w:rsidRPr="00331FCA" w:rsidRDefault="00BC42EB" w:rsidP="00BC42EB">
      <w:pPr>
        <w:spacing w:after="360"/>
        <w:rPr>
          <w:rFonts w:asciiTheme="minorHAnsi" w:hAnsiTheme="minorHAnsi"/>
        </w:rPr>
      </w:pPr>
      <w:r w:rsidRPr="00331FCA">
        <w:rPr>
          <w:rFonts w:asciiTheme="minorHAnsi" w:hAnsiTheme="minorHAnsi"/>
        </w:rPr>
        <w:t xml:space="preserve">Výpočet procenta </w:t>
      </w:r>
      <w:r w:rsidR="00962A95">
        <w:rPr>
          <w:rFonts w:asciiTheme="minorHAnsi" w:hAnsiTheme="minorHAnsi"/>
        </w:rPr>
        <w:t>pro </w:t>
      </w:r>
      <w:r w:rsidRPr="00331FCA">
        <w:rPr>
          <w:rFonts w:asciiTheme="minorHAnsi" w:hAnsiTheme="minorHAnsi"/>
        </w:rPr>
        <w:t>akumulaci prostředků:</w:t>
      </w:r>
    </w:p>
    <w:p w14:paraId="40680D07" w14:textId="77777777" w:rsidR="00BC42EB" w:rsidRPr="00331FCA" w:rsidRDefault="00A37FCB" w:rsidP="00BC42EB">
      <w:pPr>
        <w:spacing w:before="240" w:after="360"/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%</m:t>
              </m:r>
            </m:e>
            <m:sub>
              <m:r>
                <w:rPr>
                  <w:rFonts w:ascii="Cambria Math" w:hAnsi="Cambria Math"/>
                </w:rPr>
                <m:t>OBN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72C8A752" w14:textId="6D08E2B6" w:rsidR="00BC42EB" w:rsidRPr="00331FCA" w:rsidRDefault="00A37FCB" w:rsidP="00BC42EB">
      <w:pPr>
        <w:rPr>
          <w:rFonts w:asciiTheme="minorHAnsi" w:hAnsiTheme="minorHAnsi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%</m:t>
            </m:r>
          </m:e>
          <m:sub>
            <m:r>
              <w:rPr>
                <w:rFonts w:ascii="Cambria Math" w:hAnsi="Cambria Math"/>
              </w:rPr>
              <m:t>OBN</m:t>
            </m:r>
          </m:sub>
        </m:sSub>
      </m:oMath>
      <w:r w:rsidR="00BC42EB" w:rsidRPr="00331FCA">
        <w:rPr>
          <w:rFonts w:asciiTheme="minorHAnsi" w:eastAsiaTheme="minorEastAsia" w:hAnsiTheme="minorHAnsi"/>
        </w:rPr>
        <w:t xml:space="preserve"> </w:t>
      </w:r>
      <w:r w:rsidR="00BC42EB" w:rsidRPr="00331FCA">
        <w:rPr>
          <w:rFonts w:asciiTheme="minorHAnsi" w:eastAsiaTheme="minorEastAsia" w:hAnsiTheme="minorHAnsi"/>
        </w:rPr>
        <w:tab/>
        <w:t>- procent</w:t>
      </w:r>
      <w:r w:rsidR="00962A95">
        <w:rPr>
          <w:rFonts w:asciiTheme="minorHAnsi" w:eastAsiaTheme="minorEastAsia" w:hAnsiTheme="minorHAnsi"/>
        </w:rPr>
        <w:t>o z </w:t>
      </w:r>
      <w:r w:rsidR="00BC42EB" w:rsidRPr="00331FCA">
        <w:rPr>
          <w:rFonts w:asciiTheme="minorHAnsi" w:eastAsiaTheme="minorEastAsia" w:hAnsiTheme="minorHAnsi"/>
        </w:rPr>
        <w:t xml:space="preserve">hodnoty majetku, které je třeba akumulovat </w:t>
      </w:r>
      <w:r w:rsidR="00962A95">
        <w:rPr>
          <w:rFonts w:asciiTheme="minorHAnsi" w:eastAsiaTheme="minorEastAsia" w:hAnsiTheme="minorHAnsi"/>
        </w:rPr>
        <w:t>za </w:t>
      </w:r>
      <w:r w:rsidR="00BC42EB" w:rsidRPr="00331FCA">
        <w:rPr>
          <w:rFonts w:asciiTheme="minorHAnsi" w:eastAsiaTheme="minorEastAsia" w:hAnsiTheme="minorHAnsi"/>
        </w:rPr>
        <w:t>1 ro</w:t>
      </w:r>
      <w:r w:rsidR="00962A95">
        <w:rPr>
          <w:rFonts w:asciiTheme="minorHAnsi" w:eastAsiaTheme="minorEastAsia" w:hAnsiTheme="minorHAnsi"/>
        </w:rPr>
        <w:t>k </w:t>
      </w:r>
      <m:oMath>
        <m:r>
          <w:rPr>
            <w:rFonts w:ascii="Cambria Math" w:hAnsi="Cambria Math"/>
          </w:rPr>
          <m:t>[%]</m:t>
        </m:r>
      </m:oMath>
    </w:p>
    <w:p w14:paraId="16C7F691" w14:textId="77777777" w:rsidR="00BC42EB" w:rsidRPr="00331FCA" w:rsidRDefault="00A37FCB" w:rsidP="00BC42EB">
      <w:pPr>
        <w:rPr>
          <w:rFonts w:asciiTheme="minorHAnsi" w:hAnsiTheme="minorHAnsi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Ž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BC42EB" w:rsidRPr="00331FCA">
        <w:rPr>
          <w:rFonts w:asciiTheme="minorHAnsi" w:eastAsiaTheme="minorEastAsia" w:hAnsiTheme="minorHAnsi"/>
        </w:rPr>
        <w:t>…</w:t>
      </w:r>
      <w:r w:rsidR="00BC42EB" w:rsidRPr="00331FCA">
        <w:rPr>
          <w:rFonts w:asciiTheme="minorHAnsi" w:eastAsiaTheme="minorEastAsia" w:hAnsiTheme="minorHAnsi"/>
        </w:rPr>
        <w:tab/>
        <w:t xml:space="preserve">- teoretická životnost infrastruktury </w:t>
      </w:r>
      <m:oMath>
        <m:r>
          <w:rPr>
            <w:rFonts w:ascii="Cambria Math" w:hAnsi="Cambria Math"/>
          </w:rPr>
          <m:t>[roky]</m:t>
        </m:r>
      </m:oMath>
    </w:p>
    <w:p w14:paraId="104AE33C" w14:textId="688C3F99" w:rsidR="00BC42EB" w:rsidRPr="00331FCA" w:rsidRDefault="00A37FCB" w:rsidP="00BC42EB">
      <w:pPr>
        <w:spacing w:after="360"/>
        <w:ind w:left="705" w:hanging="705"/>
        <w:rPr>
          <w:rFonts w:asciiTheme="minorHAnsi" w:eastAsiaTheme="minorEastAsia" w:hAnsiTheme="minorHAnsi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BC42EB" w:rsidRPr="00331FCA">
        <w:rPr>
          <w:rFonts w:asciiTheme="minorHAnsi" w:eastAsiaTheme="minorEastAsia" w:hAnsiTheme="minorHAnsi"/>
        </w:rPr>
        <w:t>…</w:t>
      </w:r>
      <w:r w:rsidR="00BC42EB" w:rsidRPr="00331FCA">
        <w:rPr>
          <w:rFonts w:asciiTheme="minorHAnsi" w:eastAsiaTheme="minorEastAsia" w:hAnsiTheme="minorHAnsi"/>
        </w:rPr>
        <w:tab/>
        <w:t xml:space="preserve">- hodnota majetku </w:t>
      </w:r>
      <w:r w:rsidR="00962A95">
        <w:rPr>
          <w:rFonts w:asciiTheme="minorHAnsi" w:eastAsiaTheme="minorEastAsia" w:hAnsiTheme="minorHAnsi"/>
        </w:rPr>
        <w:t>v </w:t>
      </w:r>
      <w:r w:rsidR="00BC42EB" w:rsidRPr="00331FCA">
        <w:rPr>
          <w:rFonts w:asciiTheme="minorHAnsi" w:eastAsiaTheme="minorEastAsia" w:hAnsiTheme="minorHAnsi"/>
        </w:rPr>
        <w:t xml:space="preserve">reprodukční pořizovací ceně </w:t>
      </w:r>
      <m:oMath>
        <m:r>
          <w:rPr>
            <w:rFonts w:ascii="Cambria Math" w:hAnsi="Cambria Math"/>
          </w:rPr>
          <m:t>[mil. Kč]</m:t>
        </m:r>
      </m:oMath>
      <w:r w:rsidR="00BC42EB" w:rsidRPr="00331FCA">
        <w:rPr>
          <w:rFonts w:asciiTheme="minorHAnsi" w:eastAsiaTheme="minorEastAsia" w:hAnsiTheme="minorHAnsi"/>
        </w:rPr>
        <w:t xml:space="preserve"> (</w:t>
      </w:r>
      <w:r w:rsidR="00962A95">
        <w:rPr>
          <w:rFonts w:asciiTheme="minorHAnsi" w:eastAsiaTheme="minorEastAsia" w:hAnsiTheme="minorHAnsi"/>
        </w:rPr>
        <w:t>pro </w:t>
      </w:r>
      <w:r w:rsidR="00BC42EB" w:rsidRPr="00331FCA">
        <w:rPr>
          <w:rFonts w:asciiTheme="minorHAnsi" w:eastAsiaTheme="minorEastAsia" w:hAnsiTheme="minorHAnsi"/>
        </w:rPr>
        <w:t>vodovod</w:t>
      </w:r>
      <w:r w:rsidR="00BC42EB" w:rsidRPr="00331FCA">
        <w:rPr>
          <w:rFonts w:asciiTheme="minorHAnsi" w:eastAsiaTheme="minorEastAsia" w:hAnsiTheme="minorHAnsi"/>
        </w:rPr>
        <w:br/>
        <w:t xml:space="preserve">je H1 - vodovodní síť a H2 - úpravny vody; </w:t>
      </w:r>
      <w:r w:rsidR="00962A95">
        <w:rPr>
          <w:rFonts w:asciiTheme="minorHAnsi" w:eastAsiaTheme="minorEastAsia" w:hAnsiTheme="minorHAnsi"/>
        </w:rPr>
        <w:t>pro </w:t>
      </w:r>
      <w:r w:rsidR="00BC42EB" w:rsidRPr="00331FCA">
        <w:rPr>
          <w:rFonts w:asciiTheme="minorHAnsi" w:eastAsiaTheme="minorEastAsia" w:hAnsiTheme="minorHAnsi"/>
        </w:rPr>
        <w:t>kanalizaci je H1 - kanalizační síť</w:t>
      </w:r>
      <w:r w:rsidR="00BC42EB" w:rsidRPr="00331FCA">
        <w:rPr>
          <w:rFonts w:asciiTheme="minorHAnsi" w:eastAsiaTheme="minorEastAsia" w:hAnsiTheme="minorHAnsi"/>
        </w:rPr>
        <w:br/>
        <w:t>a H2 - čistír</w:t>
      </w:r>
      <w:r w:rsidR="00962A95">
        <w:rPr>
          <w:rFonts w:asciiTheme="minorHAnsi" w:eastAsiaTheme="minorEastAsia" w:hAnsiTheme="minorHAnsi"/>
        </w:rPr>
        <w:t>na </w:t>
      </w:r>
      <w:r w:rsidR="00BC42EB" w:rsidRPr="00331FCA">
        <w:rPr>
          <w:rFonts w:asciiTheme="minorHAnsi" w:eastAsiaTheme="minorEastAsia" w:hAnsiTheme="minorHAnsi"/>
        </w:rPr>
        <w:t>odpadních vod)</w:t>
      </w:r>
    </w:p>
    <w:p w14:paraId="23FC1E02" w14:textId="77777777" w:rsidR="00BC42EB" w:rsidRPr="00331FCA" w:rsidRDefault="00BC42EB" w:rsidP="00BC42EB">
      <w:pPr>
        <w:spacing w:after="360"/>
        <w:ind w:left="705" w:hanging="705"/>
        <w:rPr>
          <w:rFonts w:asciiTheme="minorHAnsi" w:hAnsiTheme="minorHAnsi"/>
        </w:rPr>
      </w:pPr>
    </w:p>
    <w:p w14:paraId="1A1808D2" w14:textId="3882631C" w:rsidR="00BC42EB" w:rsidRPr="00331FCA" w:rsidRDefault="00BC42EB" w:rsidP="00BC42EB">
      <w:pPr>
        <w:spacing w:after="200" w:line="276" w:lineRule="auto"/>
        <w:rPr>
          <w:rFonts w:asciiTheme="minorHAnsi" w:eastAsiaTheme="minorEastAsia" w:hAnsiTheme="minorHAnsi"/>
        </w:rPr>
      </w:pPr>
      <w:r w:rsidRPr="00331FCA">
        <w:rPr>
          <w:rFonts w:asciiTheme="minorHAnsi" w:eastAsiaTheme="minorEastAsia" w:hAnsiTheme="minorHAnsi"/>
        </w:rPr>
        <w:t xml:space="preserve">Výše </w:t>
      </w:r>
      <w:r>
        <w:rPr>
          <w:rFonts w:asciiTheme="minorHAnsi" w:eastAsiaTheme="minorEastAsia" w:hAnsiTheme="minorHAnsi"/>
        </w:rPr>
        <w:t>P</w:t>
      </w:r>
      <w:r w:rsidR="00962A95">
        <w:rPr>
          <w:rFonts w:asciiTheme="minorHAnsi" w:eastAsiaTheme="minorEastAsia" w:hAnsiTheme="minorHAnsi"/>
        </w:rPr>
        <w:t>O </w:t>
      </w:r>
      <w:r w:rsidRPr="00331FCA">
        <w:rPr>
          <w:rFonts w:asciiTheme="minorHAnsi" w:eastAsiaTheme="minorEastAsia" w:hAnsiTheme="minorHAnsi"/>
        </w:rPr>
        <w:t>majetku, kterou je třeba každý ro</w:t>
      </w:r>
      <w:r w:rsidR="00962A95">
        <w:rPr>
          <w:rFonts w:asciiTheme="minorHAnsi" w:eastAsiaTheme="minorEastAsia" w:hAnsiTheme="minorHAnsi"/>
        </w:rPr>
        <w:t>k </w:t>
      </w:r>
      <w:r w:rsidRPr="00331FCA">
        <w:rPr>
          <w:rFonts w:asciiTheme="minorHAnsi" w:eastAsiaTheme="minorEastAsia" w:hAnsiTheme="minorHAnsi"/>
        </w:rPr>
        <w:t>akumulovat, se vypočítá jak</w:t>
      </w:r>
      <w:r w:rsidR="00962A95">
        <w:rPr>
          <w:rFonts w:asciiTheme="minorHAnsi" w:eastAsiaTheme="minorEastAsia" w:hAnsiTheme="minorHAnsi"/>
        </w:rPr>
        <w:t>o </w:t>
      </w:r>
      <w:r w:rsidRPr="00331FCA">
        <w:rPr>
          <w:rFonts w:asciiTheme="minorHAnsi" w:eastAsiaTheme="minorEastAsia" w:hAnsiTheme="minorHAnsi"/>
        </w:rPr>
        <w:t>procent</w:t>
      </w:r>
      <w:r w:rsidR="00962A95">
        <w:rPr>
          <w:rFonts w:asciiTheme="minorHAnsi" w:eastAsiaTheme="minorEastAsia" w:hAnsiTheme="minorHAnsi"/>
        </w:rPr>
        <w:t>o z </w:t>
      </w:r>
      <w:r w:rsidRPr="00331FCA">
        <w:rPr>
          <w:rFonts w:asciiTheme="minorHAnsi" w:eastAsiaTheme="minorEastAsia" w:hAnsiTheme="minorHAnsi"/>
        </w:rPr>
        <w:t>hodnoty majetku subjektu:</w:t>
      </w:r>
    </w:p>
    <w:p w14:paraId="27172ED1" w14:textId="77777777" w:rsidR="00BC42EB" w:rsidRPr="00331FCA" w:rsidRDefault="00BC42EB" w:rsidP="00BC42EB">
      <w:pPr>
        <w:spacing w:before="240" w:after="360"/>
        <w:rPr>
          <w:rFonts w:asciiTheme="minorHAnsi" w:eastAsiaTheme="minorEastAsia" w:hAnsiTheme="minorHAnsi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OBN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%</m:t>
              </m:r>
            </m:e>
            <m:sub>
              <m:r>
                <w:rPr>
                  <w:rFonts w:ascii="Cambria Math" w:hAnsi="Cambria Math"/>
                </w:rPr>
                <m:t>OBN</m:t>
              </m:r>
            </m:sub>
          </m:sSub>
          <m:r>
            <w:rPr>
              <w:rFonts w:ascii="Cambria Math" w:hAnsi="Cambria Math"/>
            </w:rPr>
            <m:t>*H</m:t>
          </m:r>
          <m:r>
            <m:rPr>
              <m:sty m:val="p"/>
            </m:rPr>
            <w:rPr>
              <w:rFonts w:asciiTheme="minorHAnsi" w:eastAsiaTheme="minorEastAsia" w:hAnsiTheme="minorHAnsi"/>
            </w:rPr>
            <w:br/>
          </m:r>
        </m:oMath>
      </m:oMathPara>
    </w:p>
    <w:p w14:paraId="3F6BC930" w14:textId="76B9B90B" w:rsidR="00BC42EB" w:rsidRPr="00331FCA" w:rsidRDefault="00A37FCB" w:rsidP="00BC42EB">
      <w:pPr>
        <w:rPr>
          <w:rFonts w:asciiTheme="minorHAnsi" w:hAnsiTheme="minorHAnsi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OBN</m:t>
            </m:r>
          </m:sub>
        </m:sSub>
      </m:oMath>
      <w:r w:rsidR="00BC42EB" w:rsidRPr="00331FCA">
        <w:rPr>
          <w:rFonts w:asciiTheme="minorHAnsi" w:eastAsiaTheme="minorEastAsia" w:hAnsiTheme="minorHAnsi"/>
        </w:rPr>
        <w:t>…</w:t>
      </w:r>
      <w:r w:rsidR="00BC42EB" w:rsidRPr="00331FCA">
        <w:rPr>
          <w:rFonts w:asciiTheme="minorHAnsi" w:eastAsiaTheme="minorEastAsia" w:hAnsiTheme="minorHAnsi"/>
        </w:rPr>
        <w:tab/>
        <w:t xml:space="preserve">- prostředky, které je třeba akumulovat </w:t>
      </w:r>
      <w:r w:rsidR="00962A95">
        <w:rPr>
          <w:rFonts w:asciiTheme="minorHAnsi" w:eastAsiaTheme="minorEastAsia" w:hAnsiTheme="minorHAnsi"/>
        </w:rPr>
        <w:t>za </w:t>
      </w:r>
      <w:r w:rsidR="00BC42EB" w:rsidRPr="00331FCA">
        <w:rPr>
          <w:rFonts w:asciiTheme="minorHAnsi" w:eastAsiaTheme="minorEastAsia" w:hAnsiTheme="minorHAnsi"/>
        </w:rPr>
        <w:t>1 ro</w:t>
      </w:r>
      <w:r w:rsidR="00962A95">
        <w:rPr>
          <w:rFonts w:asciiTheme="minorHAnsi" w:eastAsiaTheme="minorEastAsia" w:hAnsiTheme="minorHAnsi"/>
        </w:rPr>
        <w:t>k </w:t>
      </w:r>
      <m:oMath>
        <m:r>
          <w:rPr>
            <w:rFonts w:ascii="Cambria Math" w:hAnsi="Cambria Math"/>
          </w:rPr>
          <m:t>[mil. Kč]</m:t>
        </m:r>
      </m:oMath>
    </w:p>
    <w:p w14:paraId="2512184C" w14:textId="76EB16DC" w:rsidR="00BC42EB" w:rsidRPr="00331FCA" w:rsidRDefault="00A37FCB" w:rsidP="00BC42EB">
      <w:pPr>
        <w:rPr>
          <w:rFonts w:asciiTheme="minorHAnsi" w:hAnsiTheme="minorHAnsi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%</m:t>
            </m:r>
          </m:e>
          <m:sub>
            <m:r>
              <w:rPr>
                <w:rFonts w:ascii="Cambria Math" w:hAnsi="Cambria Math"/>
              </w:rPr>
              <m:t>OBN</m:t>
            </m:r>
          </m:sub>
        </m:sSub>
      </m:oMath>
      <w:r w:rsidR="00BC42EB" w:rsidRPr="00331FCA">
        <w:rPr>
          <w:rFonts w:asciiTheme="minorHAnsi" w:eastAsiaTheme="minorEastAsia" w:hAnsiTheme="minorHAnsi"/>
        </w:rPr>
        <w:t>…-</w:t>
      </w:r>
      <w:r w:rsidR="00BC42EB" w:rsidRPr="00331FCA">
        <w:rPr>
          <w:rFonts w:asciiTheme="minorHAnsi" w:hAnsiTheme="minorHAnsi"/>
        </w:rPr>
        <w:t xml:space="preserve"> </w:t>
      </w:r>
      <w:r w:rsidR="00BC42EB" w:rsidRPr="00331FCA">
        <w:rPr>
          <w:rFonts w:asciiTheme="minorHAnsi" w:eastAsiaTheme="minorEastAsia" w:hAnsiTheme="minorHAnsi"/>
        </w:rPr>
        <w:t>procent</w:t>
      </w:r>
      <w:r w:rsidR="00962A95">
        <w:rPr>
          <w:rFonts w:asciiTheme="minorHAnsi" w:eastAsiaTheme="minorEastAsia" w:hAnsiTheme="minorHAnsi"/>
        </w:rPr>
        <w:t>o z </w:t>
      </w:r>
      <w:r w:rsidR="00BC42EB" w:rsidRPr="00331FCA">
        <w:rPr>
          <w:rFonts w:asciiTheme="minorHAnsi" w:eastAsiaTheme="minorEastAsia" w:hAnsiTheme="minorHAnsi"/>
        </w:rPr>
        <w:t xml:space="preserve">hodnoty majetku, které je třeba akumulovat </w:t>
      </w:r>
      <w:r w:rsidR="00962A95">
        <w:rPr>
          <w:rFonts w:asciiTheme="minorHAnsi" w:eastAsiaTheme="minorEastAsia" w:hAnsiTheme="minorHAnsi"/>
        </w:rPr>
        <w:t>za </w:t>
      </w:r>
      <w:r w:rsidR="00BC42EB" w:rsidRPr="00331FCA">
        <w:rPr>
          <w:rFonts w:asciiTheme="minorHAnsi" w:eastAsiaTheme="minorEastAsia" w:hAnsiTheme="minorHAnsi"/>
        </w:rPr>
        <w:t>1 ro</w:t>
      </w:r>
      <w:r w:rsidR="00962A95">
        <w:rPr>
          <w:rFonts w:asciiTheme="minorHAnsi" w:eastAsiaTheme="minorEastAsia" w:hAnsiTheme="minorHAnsi"/>
        </w:rPr>
        <w:t>k </w:t>
      </w:r>
      <m:oMath>
        <m:r>
          <w:rPr>
            <w:rFonts w:ascii="Cambria Math" w:hAnsi="Cambria Math"/>
          </w:rPr>
          <m:t>[%]</m:t>
        </m:r>
      </m:oMath>
    </w:p>
    <w:p w14:paraId="423AD7A1" w14:textId="68AE3E40" w:rsidR="00BC42EB" w:rsidRPr="00331FCA" w:rsidRDefault="00BC42EB" w:rsidP="00BC42EB">
      <w:pPr>
        <w:spacing w:after="360"/>
        <w:rPr>
          <w:rFonts w:asciiTheme="minorHAnsi" w:hAnsiTheme="minorHAnsi"/>
        </w:rPr>
      </w:pPr>
      <m:oMath>
        <m:r>
          <w:rPr>
            <w:rFonts w:ascii="Cambria Math" w:eastAsiaTheme="minorEastAsia" w:hAnsi="Cambria Math"/>
          </w:rPr>
          <m:t>H</m:t>
        </m:r>
      </m:oMath>
      <w:r w:rsidRPr="00331FCA">
        <w:rPr>
          <w:rFonts w:asciiTheme="minorHAnsi" w:eastAsiaTheme="minorEastAsia" w:hAnsiTheme="minorHAnsi"/>
        </w:rPr>
        <w:t xml:space="preserve">… </w:t>
      </w:r>
      <w:r w:rsidRPr="00331FCA">
        <w:rPr>
          <w:rFonts w:asciiTheme="minorHAnsi" w:eastAsiaTheme="minorEastAsia" w:hAnsiTheme="minorHAnsi"/>
        </w:rPr>
        <w:tab/>
        <w:t xml:space="preserve">- hodnota majetku </w:t>
      </w:r>
      <w:r w:rsidR="00962A95">
        <w:rPr>
          <w:rFonts w:asciiTheme="minorHAnsi" w:eastAsiaTheme="minorEastAsia" w:hAnsiTheme="minorHAnsi"/>
        </w:rPr>
        <w:t>v </w:t>
      </w:r>
      <w:r w:rsidRPr="00331FCA">
        <w:rPr>
          <w:rFonts w:asciiTheme="minorHAnsi" w:eastAsiaTheme="minorEastAsia" w:hAnsiTheme="minorHAnsi"/>
        </w:rPr>
        <w:t xml:space="preserve">reprodukční pořizovací ceně </w:t>
      </w:r>
      <m:oMath>
        <m:r>
          <w:rPr>
            <w:rFonts w:ascii="Cambria Math" w:hAnsi="Cambria Math"/>
          </w:rPr>
          <m:t>[mil. Kč]</m:t>
        </m:r>
      </m:oMath>
    </w:p>
    <w:p w14:paraId="6B671AAE" w14:textId="77777777" w:rsidR="005C4853" w:rsidRDefault="00BC42EB" w:rsidP="00BC42EB">
      <w:pPr>
        <w:pStyle w:val="normlntextvodstavcch"/>
        <w:rPr>
          <w:rFonts w:eastAsiaTheme="minorEastAsia"/>
        </w:rPr>
      </w:pPr>
      <w:r w:rsidRPr="00331FCA">
        <w:t>Jelikož se i </w:t>
      </w:r>
      <w:r w:rsidR="00962A95">
        <w:t>v </w:t>
      </w:r>
      <w:r w:rsidRPr="00331FCA">
        <w:t xml:space="preserve">očištěných datech objevují rozsáhlé nesrovnalosti mezi databázemi VÚME a POROVNÁNÍMI týkající se hodnoty VIM </w:t>
      </w:r>
      <w:r w:rsidR="00962A95">
        <w:t>v </w:t>
      </w:r>
      <w:r w:rsidRPr="00331FCA">
        <w:t>reprodukční pořizovací ceně, byl</w:t>
      </w:r>
      <w:r w:rsidR="00962A95">
        <w:t>o </w:t>
      </w:r>
      <w:r w:rsidRPr="00331FCA">
        <w:t xml:space="preserve">stanoveno, že hodnoty VIM použité </w:t>
      </w:r>
      <w:r w:rsidR="00962A95">
        <w:t>pro </w:t>
      </w:r>
      <w:r w:rsidRPr="00331FCA">
        <w:t>výpočet POBN budou vycházet</w:t>
      </w:r>
      <w:r w:rsidRPr="00331FCA">
        <w:rPr>
          <w:rFonts w:eastAsiaTheme="minorEastAsia"/>
        </w:rPr>
        <w:t xml:space="preserve"> </w:t>
      </w:r>
      <w:r w:rsidR="00962A95">
        <w:rPr>
          <w:rFonts w:eastAsiaTheme="minorEastAsia"/>
        </w:rPr>
        <w:t>z </w:t>
      </w:r>
      <w:r w:rsidRPr="00331FCA">
        <w:rPr>
          <w:rFonts w:eastAsiaTheme="minorEastAsia"/>
        </w:rPr>
        <w:t xml:space="preserve">hodnoty uvedené </w:t>
      </w:r>
      <w:r w:rsidR="00962A95">
        <w:rPr>
          <w:rFonts w:eastAsiaTheme="minorEastAsia"/>
        </w:rPr>
        <w:t>ve </w:t>
      </w:r>
      <w:r w:rsidRPr="00331FCA">
        <w:rPr>
          <w:rFonts w:eastAsiaTheme="minorEastAsia"/>
        </w:rPr>
        <w:t>VÚME, která je prvotním zdrojem tét</w:t>
      </w:r>
      <w:r w:rsidR="00962A95">
        <w:rPr>
          <w:rFonts w:eastAsiaTheme="minorEastAsia"/>
        </w:rPr>
        <w:t>o </w:t>
      </w:r>
      <w:r w:rsidRPr="00331FCA">
        <w:rPr>
          <w:rFonts w:eastAsiaTheme="minorEastAsia"/>
        </w:rPr>
        <w:t>informace.</w:t>
      </w:r>
    </w:p>
    <w:p w14:paraId="592132A1" w14:textId="30636842" w:rsidR="005C4853" w:rsidRPr="005C4853" w:rsidRDefault="005C4853" w:rsidP="005C4853">
      <w:pPr>
        <w:pStyle w:val="normlntextvodstavcch"/>
      </w:pPr>
      <w:r>
        <w:rPr>
          <w:rFonts w:eastAsiaTheme="minorEastAsia"/>
        </w:rPr>
        <w:t xml:space="preserve">V případě, že </w:t>
      </w:r>
      <w:r>
        <w:t>vykázaný majetek souvisí s více Porovnáními, je nutné jeho hodnotu rozdělit. Zde může dojít ke zkreslení celkové hodnoty majetku a ukazatelů s ní souvisejících. Protože MZe nemá k dispozici přesnou přepočítanou hodnotu majetku, která souvisí s jednotlivými Porovnáními, je postupováno tak, že u jednoznačných případů je rozpočtovou základnou fakturované množství a u nejednoznačných počet souvisejících Porovnání, resp. cen.</w:t>
      </w:r>
    </w:p>
    <w:p w14:paraId="423A2E25" w14:textId="1F07E2FC" w:rsidR="00BC42EB" w:rsidRPr="00B678E3" w:rsidRDefault="005C4853" w:rsidP="00571447">
      <w:pPr>
        <w:pStyle w:val="normlntextvodstavcch"/>
      </w:pPr>
      <w:r>
        <w:rPr>
          <w:rFonts w:eastAsiaTheme="minorEastAsia"/>
        </w:rPr>
        <w:t xml:space="preserve"> </w:t>
      </w:r>
    </w:p>
    <w:p w14:paraId="4D0921B9" w14:textId="65F8B84F" w:rsidR="00BC42EB" w:rsidRPr="00C62639" w:rsidRDefault="0027331C" w:rsidP="00BC42EB">
      <w:pPr>
        <w:pStyle w:val="Nadpis2"/>
        <w:ind w:left="375"/>
        <w:rPr>
          <w:rFonts w:asciiTheme="minorHAnsi" w:hAnsiTheme="minorHAnsi"/>
          <w:noProof/>
        </w:rPr>
      </w:pPr>
      <w:bookmarkStart w:id="120" w:name="_Toc963466"/>
      <w:bookmarkStart w:id="121" w:name="_Toc34210423"/>
      <w:r>
        <w:rPr>
          <w:rFonts w:asciiTheme="minorHAnsi" w:hAnsiTheme="minorHAnsi"/>
          <w:noProof/>
        </w:rPr>
        <w:t>V</w:t>
      </w:r>
      <w:r w:rsidR="00BC42EB" w:rsidRPr="00C62639">
        <w:rPr>
          <w:rFonts w:asciiTheme="minorHAnsi" w:hAnsiTheme="minorHAnsi"/>
          <w:noProof/>
        </w:rPr>
        <w:t>ýpoč</w:t>
      </w:r>
      <w:r>
        <w:rPr>
          <w:rFonts w:asciiTheme="minorHAnsi" w:hAnsiTheme="minorHAnsi"/>
          <w:noProof/>
        </w:rPr>
        <w:t>et</w:t>
      </w:r>
      <w:r w:rsidR="00BC42EB" w:rsidRPr="00C62639">
        <w:rPr>
          <w:rFonts w:asciiTheme="minorHAnsi" w:hAnsiTheme="minorHAnsi"/>
          <w:noProof/>
        </w:rPr>
        <w:t xml:space="preserve"> skutečn</w:t>
      </w:r>
      <w:r>
        <w:rPr>
          <w:rFonts w:asciiTheme="minorHAnsi" w:hAnsiTheme="minorHAnsi"/>
          <w:noProof/>
        </w:rPr>
        <w:t>ě</w:t>
      </w:r>
      <w:r w:rsidR="00BC42EB" w:rsidRPr="00C62639">
        <w:rPr>
          <w:rFonts w:asciiTheme="minorHAnsi" w:hAnsiTheme="minorHAnsi"/>
          <w:noProof/>
        </w:rPr>
        <w:t xml:space="preserve"> dosažené výše </w:t>
      </w:r>
      <w:r>
        <w:rPr>
          <w:rFonts w:asciiTheme="minorHAnsi" w:hAnsiTheme="minorHAnsi"/>
          <w:noProof/>
        </w:rPr>
        <w:t>P</w:t>
      </w:r>
      <w:r w:rsidR="00962A95">
        <w:rPr>
          <w:rFonts w:asciiTheme="minorHAnsi" w:hAnsiTheme="minorHAnsi"/>
          <w:noProof/>
        </w:rPr>
        <w:t>O pro </w:t>
      </w:r>
      <w:r w:rsidR="00BC42EB" w:rsidRPr="00C62639">
        <w:rPr>
          <w:rFonts w:asciiTheme="minorHAnsi" w:hAnsiTheme="minorHAnsi"/>
          <w:noProof/>
        </w:rPr>
        <w:t>jednotlivé modely provozování a jejich podskupiny</w:t>
      </w:r>
      <w:bookmarkEnd w:id="116"/>
      <w:bookmarkEnd w:id="120"/>
      <w:bookmarkEnd w:id="121"/>
    </w:p>
    <w:p w14:paraId="597EB300" w14:textId="27DFBC15" w:rsidR="00BC42EB" w:rsidRDefault="00962A95" w:rsidP="00BC42EB">
      <w:pPr>
        <w:pStyle w:val="NORMLN0"/>
      </w:pPr>
      <w:r>
        <w:t>Při </w:t>
      </w:r>
      <w:r w:rsidR="00BC42EB" w:rsidRPr="00E141EB">
        <w:t xml:space="preserve">hodnocení plnění povinnosti vlastníka VIM zabezpečovat obnovu VIM </w:t>
      </w:r>
      <w:r>
        <w:t>v </w:t>
      </w:r>
      <w:r w:rsidR="00BC42EB" w:rsidRPr="00E141EB">
        <w:t xml:space="preserve">souladu s §8 odst. 1, zák. č. 274/2001 Sb. se projekt zaměřuje </w:t>
      </w:r>
      <w:r>
        <w:t>na </w:t>
      </w:r>
      <w:r w:rsidR="00BC42EB" w:rsidRPr="00E141EB">
        <w:t xml:space="preserve">skutečnost, zda byla výše skutečně generovaných </w:t>
      </w:r>
      <w:r w:rsidR="00A27033">
        <w:t>P</w:t>
      </w:r>
      <w:r>
        <w:t>O </w:t>
      </w:r>
      <w:r w:rsidR="00BC42EB" w:rsidRPr="00E141EB">
        <w:t>rov</w:t>
      </w:r>
      <w:r>
        <w:t>na </w:t>
      </w:r>
      <w:r w:rsidR="00BC42EB" w:rsidRPr="00E141EB">
        <w:t>neb</w:t>
      </w:r>
      <w:r>
        <w:t>o </w:t>
      </w:r>
      <w:r w:rsidR="00BC42EB" w:rsidRPr="00E141EB">
        <w:t xml:space="preserve">vyšší </w:t>
      </w:r>
      <w:r>
        <w:t>než </w:t>
      </w:r>
      <w:r w:rsidR="00BC42EB" w:rsidRPr="00E141EB">
        <w:t xml:space="preserve">vypočtená výše teoretické roční potřeby akumulace finančních </w:t>
      </w:r>
      <w:r w:rsidR="00A27033">
        <w:t>PO</w:t>
      </w:r>
      <w:r w:rsidR="00BC42EB" w:rsidRPr="00E141EB">
        <w:t xml:space="preserve">. </w:t>
      </w:r>
    </w:p>
    <w:p w14:paraId="4D3F4519" w14:textId="17D11A15" w:rsidR="00A56272" w:rsidRDefault="00A56272" w:rsidP="00BC42EB">
      <w:pPr>
        <w:pStyle w:val="NORMLN0"/>
      </w:pPr>
    </w:p>
    <w:p w14:paraId="6CA5F584" w14:textId="33786CF9" w:rsidR="00BC42EB" w:rsidRDefault="00BC42EB" w:rsidP="00BC42EB">
      <w:pPr>
        <w:pStyle w:val="NORMLN0"/>
      </w:pPr>
      <w:r w:rsidRPr="00E141EB">
        <w:lastRenderedPageBreak/>
        <w:t xml:space="preserve">Výpočet skutečně generovaných </w:t>
      </w:r>
      <w:r w:rsidR="00A27033">
        <w:t>P</w:t>
      </w:r>
      <w:r w:rsidR="00962A95">
        <w:t>O v </w:t>
      </w:r>
      <w:r w:rsidRPr="00E141EB">
        <w:t>daném roce se liší podle aplikovanéh</w:t>
      </w:r>
      <w:r w:rsidR="00962A95">
        <w:t>o </w:t>
      </w:r>
      <w:r w:rsidRPr="00E141EB">
        <w:t xml:space="preserve">modelu provozování a je uveden </w:t>
      </w:r>
      <w:r w:rsidR="00962A95">
        <w:t>v </w:t>
      </w:r>
      <w:r w:rsidRPr="00E141EB">
        <w:t xml:space="preserve">následující tabulce (čísla odpovídají příslušným řádkům </w:t>
      </w:r>
      <w:r w:rsidR="00962A95">
        <w:t>v </w:t>
      </w:r>
      <w:r w:rsidRPr="00E141EB">
        <w:t>Porovnání):</w:t>
      </w:r>
    </w:p>
    <w:tbl>
      <w:tblPr>
        <w:tblpPr w:leftFromText="141" w:rightFromText="141" w:vertAnchor="text" w:horzAnchor="margin" w:tblpY="11"/>
        <w:tblW w:w="94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49"/>
        <w:gridCol w:w="6344"/>
      </w:tblGrid>
      <w:tr w:rsidR="00BC42EB" w:rsidRPr="00934258" w14:paraId="0093CF82" w14:textId="77777777" w:rsidTr="00FE3F65">
        <w:trPr>
          <w:tblHeader/>
        </w:trPr>
        <w:tc>
          <w:tcPr>
            <w:tcW w:w="240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8064A2"/>
            <w:vAlign w:val="center"/>
          </w:tcPr>
          <w:p w14:paraId="35C8C616" w14:textId="77777777" w:rsidR="00BC42EB" w:rsidRPr="00934258" w:rsidRDefault="00BC42EB" w:rsidP="00FE3F65">
            <w:pPr>
              <w:spacing w:before="0" w:after="0" w:line="240" w:lineRule="atLeast"/>
              <w:jc w:val="center"/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 PROVOZOVÁNÍ</w:t>
            </w:r>
          </w:p>
        </w:tc>
        <w:tc>
          <w:tcPr>
            <w:tcW w:w="708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8064A2"/>
            <w:vAlign w:val="center"/>
          </w:tcPr>
          <w:p w14:paraId="7263FAA7" w14:textId="77777777" w:rsidR="00BC42EB" w:rsidRPr="00934258" w:rsidRDefault="00BC42EB" w:rsidP="00FE3F65">
            <w:pPr>
              <w:spacing w:after="0" w:line="240" w:lineRule="atLeast"/>
              <w:jc w:val="center"/>
              <w:rPr>
                <w:rFonts w:ascii="Calibri Light" w:hAnsi="Calibri Light"/>
                <w:b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VÝPOČET SKUTEČNĚ GENEROVANÝCH PROSTŘEDKŮ</w:t>
            </w:r>
          </w:p>
        </w:tc>
      </w:tr>
      <w:tr w:rsidR="00BC42EB" w:rsidRPr="00934258" w14:paraId="72209113" w14:textId="77777777" w:rsidTr="00FE3F65">
        <w:tc>
          <w:tcPr>
            <w:tcW w:w="2405" w:type="dxa"/>
            <w:tcBorders>
              <w:left w:val="single" w:sz="4" w:space="0" w:color="FFFFFF"/>
            </w:tcBorders>
            <w:shd w:val="clear" w:color="auto" w:fill="8064A2"/>
          </w:tcPr>
          <w:p w14:paraId="418C6500" w14:textId="77777777" w:rsidR="00BC42EB" w:rsidRPr="00934258" w:rsidRDefault="00BC42EB" w:rsidP="00FE3F65">
            <w:pPr>
              <w:spacing w:after="0" w:line="240" w:lineRule="atLeast"/>
              <w:rPr>
                <w:rFonts w:ascii="Calibri Light" w:hAnsi="Calibri Light"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SMÍŠENÝ </w:t>
            </w:r>
          </w:p>
        </w:tc>
        <w:tc>
          <w:tcPr>
            <w:tcW w:w="7088" w:type="dxa"/>
            <w:shd w:val="clear" w:color="auto" w:fill="CCC0D9"/>
          </w:tcPr>
          <w:p w14:paraId="420B8260" w14:textId="14AF1429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4.1 Odpisy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4E9565DB" w14:textId="29CAE857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+ 4.2 Opravy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majetku*</w:t>
            </w:r>
          </w:p>
          <w:p w14:paraId="54715940" w14:textId="7C013D6F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+ 4.4 Prostředky obnovy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1B79CC29" w14:textId="77777777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+ 13. Záporný kalkulační zisk**</w:t>
            </w:r>
          </w:p>
          <w:p w14:paraId="2A9A078E" w14:textId="3807A80A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+ 15. Podíl kladnéh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kalkulačníh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</w:tc>
      </w:tr>
      <w:tr w:rsidR="00BC42EB" w:rsidRPr="00934258" w14:paraId="2CD08D45" w14:textId="77777777" w:rsidTr="00FE3F65">
        <w:tc>
          <w:tcPr>
            <w:tcW w:w="2405" w:type="dxa"/>
            <w:tcBorders>
              <w:left w:val="single" w:sz="4" w:space="0" w:color="FFFFFF"/>
            </w:tcBorders>
            <w:shd w:val="clear" w:color="auto" w:fill="8064A2"/>
          </w:tcPr>
          <w:p w14:paraId="666A7279" w14:textId="77777777" w:rsidR="00BC42EB" w:rsidRPr="00934258" w:rsidRDefault="00BC42EB" w:rsidP="00FE3F65">
            <w:pPr>
              <w:spacing w:after="0" w:line="240" w:lineRule="atLeast"/>
              <w:rPr>
                <w:rFonts w:ascii="Calibri Light" w:hAnsi="Calibri Light"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ODDÍLNÝ </w:t>
            </w:r>
          </w:p>
        </w:tc>
        <w:tc>
          <w:tcPr>
            <w:tcW w:w="7088" w:type="dxa"/>
            <w:shd w:val="clear" w:color="auto" w:fill="E5DFEC"/>
          </w:tcPr>
          <w:p w14:paraId="1CB66D71" w14:textId="0C402006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4.3 Nájem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1D914798" w14:textId="487562D6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+ 4.2 Opravy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majetku* </w:t>
            </w:r>
          </w:p>
          <w:p w14:paraId="697446E4" w14:textId="21A2B830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+ 15. Podíl kladnéh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kalkulačníh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majetku </w:t>
            </w:r>
          </w:p>
        </w:tc>
      </w:tr>
      <w:tr w:rsidR="00BC42EB" w:rsidRPr="00934258" w14:paraId="6DF6A1D9" w14:textId="77777777" w:rsidTr="00FE3F65">
        <w:trPr>
          <w:trHeight w:val="883"/>
        </w:trPr>
        <w:tc>
          <w:tcPr>
            <w:tcW w:w="2405" w:type="dxa"/>
            <w:tcBorders>
              <w:left w:val="single" w:sz="4" w:space="0" w:color="FFFFFF"/>
            </w:tcBorders>
            <w:shd w:val="clear" w:color="auto" w:fill="8064A2"/>
          </w:tcPr>
          <w:p w14:paraId="57C84DE2" w14:textId="77777777" w:rsidR="00BC42EB" w:rsidRDefault="00BC42EB" w:rsidP="00FE3F65">
            <w:pPr>
              <w:spacing w:after="0" w:line="240" w:lineRule="atLeast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  <w:t>VLASTNICKÝ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 </w:t>
            </w:r>
          </w:p>
          <w:p w14:paraId="3A60AB52" w14:textId="386EC816" w:rsidR="00BC42EB" w:rsidRPr="00934258" w:rsidRDefault="00BC42EB" w:rsidP="00FE3F65">
            <w:pPr>
              <w:spacing w:after="0" w:line="240" w:lineRule="atLeast"/>
              <w:jc w:val="left"/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(PODSKUPI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ODDÍLNÉH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MODELU PROVOZOVÁNÍ)</w:t>
            </w:r>
          </w:p>
        </w:tc>
        <w:tc>
          <w:tcPr>
            <w:tcW w:w="7088" w:type="dxa"/>
            <w:shd w:val="clear" w:color="auto" w:fill="CCC0D9"/>
          </w:tcPr>
          <w:p w14:paraId="299948EC" w14:textId="235C9662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4.3 Nájem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788F614B" w14:textId="11FE5612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+ 4.2 Opravy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majetku* </w:t>
            </w:r>
          </w:p>
          <w:p w14:paraId="2F94791A" w14:textId="71065E91" w:rsidR="00BC42EB" w:rsidRPr="00934258" w:rsidRDefault="00BC42EB" w:rsidP="00FE3F65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+ 15. Podíl kladnéh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kalkulačníh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</w:tc>
      </w:tr>
      <w:tr w:rsidR="00BC42EB" w:rsidRPr="00934258" w14:paraId="353F5350" w14:textId="77777777" w:rsidTr="00BC42EB">
        <w:trPr>
          <w:trHeight w:val="883"/>
        </w:trPr>
        <w:tc>
          <w:tcPr>
            <w:tcW w:w="2405" w:type="dxa"/>
            <w:tcBorders>
              <w:left w:val="single" w:sz="4" w:space="0" w:color="FFFFFF"/>
            </w:tcBorders>
            <w:shd w:val="clear" w:color="auto" w:fill="8064A2"/>
          </w:tcPr>
          <w:p w14:paraId="29AC0602" w14:textId="2F0AC94D" w:rsidR="00BC42EB" w:rsidRPr="00BC42EB" w:rsidRDefault="00BC42EB" w:rsidP="00BC42EB">
            <w:pPr>
              <w:spacing w:after="0" w:line="240" w:lineRule="atLeast"/>
              <w:jc w:val="left"/>
              <w:rPr>
                <w:rFonts w:ascii="Calibri Light" w:hAnsi="Calibri Light"/>
                <w:bCs/>
                <w:i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i/>
                <w:noProof/>
                <w:color w:val="FFFFFF"/>
                <w:sz w:val="20"/>
                <w:szCs w:val="20"/>
              </w:rPr>
              <w:t>SERVISNÍ SMLOUVY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 xml:space="preserve"> (PODSKUPI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ODDÍLNÉH</w:t>
            </w:r>
            <w:r w:rsidR="00962A95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MODELU PROVOZOVÁNÍ)</w:t>
            </w:r>
          </w:p>
        </w:tc>
        <w:tc>
          <w:tcPr>
            <w:tcW w:w="7088" w:type="dxa"/>
            <w:shd w:val="clear" w:color="auto" w:fill="E5DFEC"/>
          </w:tcPr>
          <w:p w14:paraId="476F3E16" w14:textId="6C43C001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4.1 Odpisy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11ADB726" w14:textId="2409EDD8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+ 4.2 Opravy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majetku*</w:t>
            </w:r>
          </w:p>
          <w:p w14:paraId="5057E886" w14:textId="1DDA5797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+ 4.4 Prostředky obnovy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57802D9A" w14:textId="77777777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+ 13. Záporný kalkulační zisk**</w:t>
            </w:r>
          </w:p>
          <w:p w14:paraId="6B624D60" w14:textId="27626156" w:rsidR="00BC42EB" w:rsidRPr="00BC42EB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+ 15. Podíl kladnéh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kalkulačníh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</w:tc>
      </w:tr>
      <w:tr w:rsidR="00BC42EB" w:rsidRPr="00934258" w14:paraId="46A558CD" w14:textId="77777777" w:rsidTr="00FE3F65">
        <w:trPr>
          <w:trHeight w:val="883"/>
        </w:trPr>
        <w:tc>
          <w:tcPr>
            <w:tcW w:w="2405" w:type="dxa"/>
            <w:tcBorders>
              <w:left w:val="single" w:sz="4" w:space="0" w:color="FFFFFF"/>
            </w:tcBorders>
            <w:shd w:val="clear" w:color="auto" w:fill="8064A2"/>
          </w:tcPr>
          <w:p w14:paraId="596BEC38" w14:textId="77777777" w:rsidR="00BC42EB" w:rsidRPr="00BC42EB" w:rsidRDefault="00BC42EB" w:rsidP="00BC42EB">
            <w:pPr>
              <w:spacing w:after="0" w:line="240" w:lineRule="atLeast"/>
              <w:jc w:val="left"/>
              <w:rPr>
                <w:rFonts w:ascii="Calibri Light" w:hAnsi="Calibri Light"/>
                <w:bCs/>
                <w:i/>
                <w:noProof/>
                <w:color w:val="FFFFFF"/>
                <w:sz w:val="20"/>
                <w:szCs w:val="20"/>
              </w:rPr>
            </w:pPr>
            <w:r w:rsidRPr="00934258">
              <w:rPr>
                <w:rFonts w:ascii="Calibri Light" w:hAnsi="Calibri Light"/>
                <w:b/>
                <w:bCs/>
                <w:noProof/>
                <w:color w:val="FFFFFF"/>
                <w:sz w:val="20"/>
                <w:szCs w:val="20"/>
              </w:rPr>
              <w:t>KOMBINOVANÝ</w:t>
            </w:r>
          </w:p>
        </w:tc>
        <w:tc>
          <w:tcPr>
            <w:tcW w:w="7088" w:type="dxa"/>
            <w:shd w:val="clear" w:color="auto" w:fill="CCC0D9"/>
          </w:tcPr>
          <w:p w14:paraId="1C51F71D" w14:textId="2CFD66BB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 4.1 Odpisy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0F81D40D" w14:textId="0B74B5B3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+ 4.2 Opravy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majetku*</w:t>
            </w:r>
          </w:p>
          <w:p w14:paraId="02B0B943" w14:textId="0AFEC1E4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+ 4.3 Nájem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50BFFE34" w14:textId="258751A8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+ 4.4 Prostředky obnovy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  <w:p w14:paraId="7087F9F1" w14:textId="77777777" w:rsidR="00BC42EB" w:rsidRPr="00934258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+ 13. Záporný kalkulační zisk**</w:t>
            </w:r>
          </w:p>
          <w:p w14:paraId="2B8C765B" w14:textId="2F237C31" w:rsidR="00BC42EB" w:rsidRPr="00BC42EB" w:rsidRDefault="00BC42EB" w:rsidP="00BC42EB">
            <w:pPr>
              <w:spacing w:before="0" w:after="40" w:line="240" w:lineRule="atLeast"/>
              <w:jc w:val="left"/>
              <w:rPr>
                <w:rFonts w:ascii="Calibri Light" w:hAnsi="Calibri Light"/>
                <w:noProof/>
                <w:sz w:val="20"/>
                <w:szCs w:val="20"/>
              </w:rPr>
            </w:pP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+ 15. Podíl kladnéh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kalkulačníh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 xml:space="preserve">zisku 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na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rozvoj a obnovu infrastrukturníh</w:t>
            </w:r>
            <w:r w:rsidR="00962A95">
              <w:rPr>
                <w:rFonts w:ascii="Calibri Light" w:hAnsi="Calibri Light"/>
                <w:noProof/>
                <w:sz w:val="20"/>
                <w:szCs w:val="20"/>
              </w:rPr>
              <w:t>o </w:t>
            </w:r>
            <w:r w:rsidRPr="00934258">
              <w:rPr>
                <w:rFonts w:ascii="Calibri Light" w:hAnsi="Calibri Light"/>
                <w:noProof/>
                <w:sz w:val="20"/>
                <w:szCs w:val="20"/>
              </w:rPr>
              <w:t>majetku</w:t>
            </w:r>
          </w:p>
        </w:tc>
      </w:tr>
    </w:tbl>
    <w:p w14:paraId="504C7ED9" w14:textId="46522D76" w:rsidR="00BC42EB" w:rsidRPr="00C62639" w:rsidRDefault="00BC42EB" w:rsidP="00BC42EB">
      <w:pPr>
        <w:pStyle w:val="NORMLN0"/>
        <w:spacing w:before="0" w:after="0"/>
        <w:ind w:left="142" w:hanging="142"/>
        <w:rPr>
          <w:rFonts w:asciiTheme="minorHAnsi" w:hAnsiTheme="minorHAnsi"/>
          <w:noProof/>
          <w:sz w:val="18"/>
        </w:rPr>
      </w:pPr>
      <w:r w:rsidRPr="00C62639">
        <w:rPr>
          <w:rFonts w:asciiTheme="minorHAnsi" w:hAnsiTheme="minorHAnsi"/>
          <w:noProof/>
          <w:sz w:val="18"/>
        </w:rPr>
        <w:t>*</w:t>
      </w:r>
      <w:r w:rsidRPr="00C62639">
        <w:rPr>
          <w:rFonts w:asciiTheme="minorHAnsi" w:hAnsiTheme="minorHAnsi"/>
          <w:i/>
          <w:noProof/>
          <w:sz w:val="18"/>
        </w:rPr>
        <w:t>Opravy infrastrukturníh</w:t>
      </w:r>
      <w:r w:rsidR="00962A95">
        <w:rPr>
          <w:rFonts w:asciiTheme="minorHAnsi" w:hAnsiTheme="minorHAnsi"/>
          <w:i/>
          <w:noProof/>
          <w:sz w:val="18"/>
        </w:rPr>
        <w:t>o </w:t>
      </w:r>
      <w:r w:rsidRPr="00C62639">
        <w:rPr>
          <w:rFonts w:asciiTheme="minorHAnsi" w:hAnsiTheme="minorHAnsi"/>
          <w:i/>
          <w:noProof/>
          <w:sz w:val="18"/>
        </w:rPr>
        <w:t>majetku</w:t>
      </w:r>
      <w:r w:rsidRPr="00C62639">
        <w:rPr>
          <w:rFonts w:asciiTheme="minorHAnsi" w:hAnsiTheme="minorHAnsi"/>
          <w:noProof/>
          <w:sz w:val="18"/>
        </w:rPr>
        <w:t xml:space="preserve"> jsou započtené d</w:t>
      </w:r>
      <w:r w:rsidR="00962A95">
        <w:rPr>
          <w:rFonts w:asciiTheme="minorHAnsi" w:hAnsiTheme="minorHAnsi"/>
          <w:noProof/>
          <w:sz w:val="18"/>
        </w:rPr>
        <w:t>o </w:t>
      </w:r>
      <w:r w:rsidR="00A27033">
        <w:rPr>
          <w:rFonts w:asciiTheme="minorHAnsi" w:hAnsiTheme="minorHAnsi"/>
          <w:noProof/>
          <w:sz w:val="18"/>
        </w:rPr>
        <w:t>P</w:t>
      </w:r>
      <w:r w:rsidR="00962A95">
        <w:rPr>
          <w:rFonts w:asciiTheme="minorHAnsi" w:hAnsiTheme="minorHAnsi"/>
          <w:noProof/>
          <w:sz w:val="18"/>
        </w:rPr>
        <w:t>O v </w:t>
      </w:r>
      <w:r w:rsidRPr="00C62639">
        <w:rPr>
          <w:rFonts w:asciiTheme="minorHAnsi" w:hAnsiTheme="minorHAnsi"/>
          <w:noProof/>
          <w:sz w:val="18"/>
        </w:rPr>
        <w:t>celé výši</w:t>
      </w:r>
      <w:r w:rsidR="00A27033">
        <w:rPr>
          <w:rFonts w:asciiTheme="minorHAnsi" w:hAnsiTheme="minorHAnsi"/>
          <w:noProof/>
          <w:sz w:val="18"/>
        </w:rPr>
        <w:t>, protože</w:t>
      </w:r>
      <w:r w:rsidRPr="00C62639">
        <w:rPr>
          <w:rFonts w:asciiTheme="minorHAnsi" w:hAnsiTheme="minorHAnsi"/>
          <w:noProof/>
          <w:sz w:val="18"/>
        </w:rPr>
        <w:t xml:space="preserve"> M</w:t>
      </w:r>
      <w:r w:rsidR="00962A95">
        <w:rPr>
          <w:rFonts w:asciiTheme="minorHAnsi" w:hAnsiTheme="minorHAnsi"/>
          <w:noProof/>
          <w:sz w:val="18"/>
        </w:rPr>
        <w:t>Ze </w:t>
      </w:r>
      <w:r w:rsidRPr="00C62639">
        <w:rPr>
          <w:rFonts w:asciiTheme="minorHAnsi" w:hAnsiTheme="minorHAnsi"/>
          <w:noProof/>
          <w:sz w:val="18"/>
        </w:rPr>
        <w:t xml:space="preserve">nemá informaci </w:t>
      </w:r>
      <w:r w:rsidR="00962A95">
        <w:rPr>
          <w:rFonts w:asciiTheme="minorHAnsi" w:hAnsiTheme="minorHAnsi"/>
          <w:noProof/>
          <w:sz w:val="18"/>
        </w:rPr>
        <w:t>o </w:t>
      </w:r>
      <w:r w:rsidRPr="00C62639">
        <w:rPr>
          <w:rFonts w:asciiTheme="minorHAnsi" w:hAnsiTheme="minorHAnsi"/>
          <w:noProof/>
          <w:sz w:val="18"/>
        </w:rPr>
        <w:t>výši opra</w:t>
      </w:r>
      <w:r w:rsidR="00962A95">
        <w:rPr>
          <w:rFonts w:asciiTheme="minorHAnsi" w:hAnsiTheme="minorHAnsi"/>
          <w:noProof/>
          <w:sz w:val="18"/>
        </w:rPr>
        <w:t>v </w:t>
      </w:r>
      <w:r w:rsidRPr="00C62639">
        <w:rPr>
          <w:rFonts w:asciiTheme="minorHAnsi" w:hAnsiTheme="minorHAnsi"/>
          <w:noProof/>
          <w:sz w:val="18"/>
        </w:rPr>
        <w:t>s charakterem obnovy.</w:t>
      </w:r>
    </w:p>
    <w:p w14:paraId="21AB2486" w14:textId="12EE6A08" w:rsidR="00BC42EB" w:rsidRDefault="00BC42EB" w:rsidP="00BC42EB">
      <w:pPr>
        <w:pStyle w:val="NORMLN0"/>
        <w:spacing w:before="0" w:after="0"/>
        <w:ind w:left="142" w:hanging="142"/>
        <w:rPr>
          <w:rFonts w:asciiTheme="minorHAnsi" w:hAnsiTheme="minorHAnsi"/>
          <w:noProof/>
          <w:sz w:val="18"/>
        </w:rPr>
      </w:pPr>
      <w:r w:rsidRPr="00C62639">
        <w:rPr>
          <w:rFonts w:asciiTheme="minorHAnsi" w:hAnsiTheme="minorHAnsi"/>
          <w:noProof/>
          <w:sz w:val="18"/>
        </w:rPr>
        <w:t xml:space="preserve">** </w:t>
      </w:r>
      <w:r w:rsidRPr="00C62639">
        <w:rPr>
          <w:rFonts w:asciiTheme="minorHAnsi" w:hAnsiTheme="minorHAnsi"/>
          <w:i/>
          <w:noProof/>
          <w:sz w:val="18"/>
        </w:rPr>
        <w:t>Záporný kalkulační zis</w:t>
      </w:r>
      <w:r w:rsidR="00962A95">
        <w:rPr>
          <w:rFonts w:asciiTheme="minorHAnsi" w:hAnsiTheme="minorHAnsi"/>
          <w:i/>
          <w:noProof/>
          <w:sz w:val="18"/>
        </w:rPr>
        <w:t>k </w:t>
      </w:r>
      <w:r w:rsidRPr="00C62639">
        <w:rPr>
          <w:rFonts w:asciiTheme="minorHAnsi" w:hAnsiTheme="minorHAnsi"/>
          <w:noProof/>
          <w:sz w:val="18"/>
        </w:rPr>
        <w:t xml:space="preserve">ponižuje výši generovaných prostředků </w:t>
      </w:r>
      <w:r w:rsidR="00962A95">
        <w:rPr>
          <w:rFonts w:asciiTheme="minorHAnsi" w:hAnsiTheme="minorHAnsi"/>
          <w:noProof/>
          <w:sz w:val="18"/>
        </w:rPr>
        <w:t>na </w:t>
      </w:r>
      <w:r w:rsidRPr="00C62639">
        <w:rPr>
          <w:rFonts w:asciiTheme="minorHAnsi" w:hAnsiTheme="minorHAnsi"/>
          <w:noProof/>
          <w:sz w:val="18"/>
        </w:rPr>
        <w:t xml:space="preserve">obnovu. </w:t>
      </w:r>
    </w:p>
    <w:p w14:paraId="3DA4EC6A" w14:textId="77777777" w:rsidR="00BC42EB" w:rsidRDefault="00BC42EB" w:rsidP="00BC42EB">
      <w:pPr>
        <w:pStyle w:val="NORMLN0"/>
        <w:spacing w:before="0" w:after="0"/>
        <w:ind w:left="142" w:hanging="142"/>
        <w:rPr>
          <w:rFonts w:asciiTheme="minorHAnsi" w:hAnsiTheme="minorHAnsi"/>
          <w:noProof/>
          <w:sz w:val="18"/>
        </w:rPr>
      </w:pPr>
    </w:p>
    <w:p w14:paraId="080C3292" w14:textId="3409D201" w:rsidR="001A51C4" w:rsidRPr="001A51C4" w:rsidRDefault="001A51C4" w:rsidP="001A51C4">
      <w:pPr>
        <w:pStyle w:val="Nadpis2"/>
      </w:pPr>
      <w:r>
        <w:t xml:space="preserve"> </w:t>
      </w:r>
      <w:bookmarkStart w:id="122" w:name="_Toc34210424"/>
      <w:r>
        <w:t>Postup výpočtu ukazatele - t</w:t>
      </w:r>
      <w:r w:rsidRPr="0083729F">
        <w:t>eoretická ce</w:t>
      </w:r>
      <w:r>
        <w:t>na pro </w:t>
      </w:r>
      <w:r w:rsidRPr="0083729F">
        <w:t xml:space="preserve">vodné a stočné </w:t>
      </w:r>
      <w:r w:rsidRPr="001A51C4">
        <w:t>při pokrytí PO a nulovém zisku</w:t>
      </w:r>
      <w:bookmarkEnd w:id="122"/>
      <w:r w:rsidRPr="001A51C4">
        <w:t xml:space="preserve"> </w:t>
      </w:r>
    </w:p>
    <w:p w14:paraId="0FF29EF4" w14:textId="77777777" w:rsidR="001A51C4" w:rsidRDefault="001A51C4" w:rsidP="001A51C4">
      <w:pPr>
        <w:ind w:firstLine="375"/>
      </w:pPr>
      <w:r>
        <w:t xml:space="preserve">V následujících tabulkách je uveden přehled postupu výpočtu Teoretické ceny (liší se v závislosti na modelu provozování) a hodnota sociálně únosných cen pro vodné a stočné podle jednotlivých krajů. </w:t>
      </w:r>
    </w:p>
    <w:p w14:paraId="69C8B6C7" w14:textId="77777777" w:rsidR="001A51C4" w:rsidRPr="00301CF4" w:rsidRDefault="001A51C4" w:rsidP="001A51C4">
      <w:pPr>
        <w:ind w:left="375"/>
      </w:pPr>
    </w:p>
    <w:tbl>
      <w:tblPr>
        <w:tblStyle w:val="Svtlmkatabulky1"/>
        <w:tblW w:w="5865" w:type="pct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2933"/>
        <w:gridCol w:w="943"/>
        <w:gridCol w:w="4963"/>
      </w:tblGrid>
      <w:tr w:rsidR="001A51C4" w:rsidRPr="00183C78" w14:paraId="32F5A5F8" w14:textId="77777777" w:rsidTr="001C0012">
        <w:trPr>
          <w:trHeight w:val="497"/>
          <w:tblHeader/>
          <w:jc w:val="center"/>
        </w:trPr>
        <w:tc>
          <w:tcPr>
            <w:tcW w:w="1790" w:type="dxa"/>
            <w:shd w:val="clear" w:color="auto" w:fill="899CFB"/>
            <w:vAlign w:val="center"/>
          </w:tcPr>
          <w:p w14:paraId="5418DCB7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  <w:t>Model Provozování</w:t>
            </w:r>
          </w:p>
        </w:tc>
        <w:tc>
          <w:tcPr>
            <w:tcW w:w="2932" w:type="dxa"/>
            <w:shd w:val="clear" w:color="auto" w:fill="899CFB"/>
            <w:vAlign w:val="center"/>
          </w:tcPr>
          <w:p w14:paraId="58D82BF3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  <w:t>Ukazatel</w:t>
            </w:r>
          </w:p>
        </w:tc>
        <w:tc>
          <w:tcPr>
            <w:tcW w:w="943" w:type="dxa"/>
            <w:shd w:val="clear" w:color="auto" w:fill="899CFB"/>
            <w:vAlign w:val="center"/>
          </w:tcPr>
          <w:p w14:paraId="781AF073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  <w:t>Jednotka</w:t>
            </w:r>
          </w:p>
        </w:tc>
        <w:tc>
          <w:tcPr>
            <w:tcW w:w="4962" w:type="dxa"/>
            <w:shd w:val="clear" w:color="auto" w:fill="899CFB"/>
            <w:vAlign w:val="center"/>
          </w:tcPr>
          <w:p w14:paraId="3C87708D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b/>
                <w:iCs/>
                <w:smallCaps/>
                <w:color w:val="FFFFFF" w:themeColor="background1"/>
                <w:sz w:val="20"/>
                <w:szCs w:val="16"/>
                <w:lang w:eastAsia="cs-CZ"/>
              </w:rPr>
              <w:t>Postup výpočtu</w:t>
            </w:r>
          </w:p>
        </w:tc>
      </w:tr>
      <w:tr w:rsidR="001A51C4" w:rsidRPr="00301CF4" w14:paraId="0E214D2F" w14:textId="77777777" w:rsidTr="001A51C4">
        <w:trPr>
          <w:trHeight w:val="939"/>
          <w:jc w:val="center"/>
        </w:trPr>
        <w:tc>
          <w:tcPr>
            <w:tcW w:w="1790" w:type="dxa"/>
            <w:shd w:val="clear" w:color="auto" w:fill="F4EFFF"/>
            <w:vAlign w:val="center"/>
          </w:tcPr>
          <w:p w14:paraId="14ECDF48" w14:textId="77777777" w:rsidR="001A51C4" w:rsidRPr="00DA18D2" w:rsidRDefault="001A51C4" w:rsidP="001A51C4">
            <w:pPr>
              <w:spacing w:before="0" w:after="0"/>
              <w:contextualSpacing w:val="0"/>
              <w:jc w:val="left"/>
              <w:rPr>
                <w:rFonts w:eastAsia="Times New Roman"/>
                <w:iCs/>
                <w:smallCaps/>
                <w:sz w:val="20"/>
                <w:szCs w:val="20"/>
                <w:lang w:eastAsia="cs-CZ"/>
              </w:rPr>
            </w:pPr>
            <w:r w:rsidRPr="00DA18D2">
              <w:rPr>
                <w:rFonts w:eastAsia="Times New Roman"/>
                <w:iCs/>
                <w:smallCaps/>
                <w:sz w:val="20"/>
                <w:szCs w:val="20"/>
                <w:lang w:eastAsia="cs-CZ"/>
              </w:rPr>
              <w:t>Oddílný model provozování</w:t>
            </w:r>
          </w:p>
        </w:tc>
        <w:tc>
          <w:tcPr>
            <w:tcW w:w="2932" w:type="dxa"/>
            <w:shd w:val="clear" w:color="auto" w:fill="F4EFFF"/>
            <w:vAlign w:val="center"/>
            <w:hideMark/>
          </w:tcPr>
          <w:p w14:paraId="5E3E8BDF" w14:textId="77777777" w:rsidR="001A51C4" w:rsidRPr="00DA18D2" w:rsidRDefault="001A51C4" w:rsidP="001A51C4">
            <w:pPr>
              <w:spacing w:before="0" w:after="0"/>
              <w:contextualSpacing w:val="0"/>
              <w:jc w:val="left"/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Teoretická ce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na pro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 xml:space="preserve">vodné a stočné 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při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pokrytí prostředků obnovy a nulovém zisku - oddílný model</w:t>
            </w:r>
          </w:p>
        </w:tc>
        <w:tc>
          <w:tcPr>
            <w:tcW w:w="943" w:type="dxa"/>
            <w:shd w:val="clear" w:color="auto" w:fill="F4EFFF"/>
            <w:vAlign w:val="center"/>
            <w:hideMark/>
          </w:tcPr>
          <w:p w14:paraId="2088C520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Kč/m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4962" w:type="dxa"/>
            <w:shd w:val="clear" w:color="auto" w:fill="F4EFFF"/>
            <w:hideMark/>
          </w:tcPr>
          <w:p w14:paraId="39FF31AB" w14:textId="77777777" w:rsidR="001A51C4" w:rsidRPr="0007473E" w:rsidRDefault="001A51C4" w:rsidP="001A51C4">
            <w:pPr>
              <w:rPr>
                <w:i/>
                <w:sz w:val="20"/>
                <w:szCs w:val="20"/>
              </w:rPr>
            </w:pPr>
            <w:r w:rsidRPr="0007473E">
              <w:rPr>
                <w:i/>
                <w:sz w:val="20"/>
                <w:szCs w:val="20"/>
              </w:rPr>
              <w:t>(10 Úplné vlastní náklady +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7473E">
              <w:rPr>
                <w:i/>
                <w:sz w:val="20"/>
                <w:szCs w:val="20"/>
              </w:rPr>
              <w:t>kladný rozdíl mezi výší minimálních prostředků obnovy VIM a součtu 4.2 opravy infrastrukturníh</w:t>
            </w:r>
            <w:r>
              <w:rPr>
                <w:i/>
                <w:sz w:val="20"/>
                <w:szCs w:val="20"/>
              </w:rPr>
              <w:t>o </w:t>
            </w:r>
            <w:r w:rsidRPr="0007473E">
              <w:rPr>
                <w:i/>
                <w:sz w:val="20"/>
                <w:szCs w:val="20"/>
              </w:rPr>
              <w:t>majetku + 4.3 nájem infrastrukturníh</w:t>
            </w:r>
            <w:r>
              <w:rPr>
                <w:i/>
                <w:sz w:val="20"/>
                <w:szCs w:val="20"/>
              </w:rPr>
              <w:t>o </w:t>
            </w:r>
            <w:r w:rsidRPr="0007473E">
              <w:rPr>
                <w:i/>
                <w:sz w:val="20"/>
                <w:szCs w:val="20"/>
              </w:rPr>
              <w:t>majetku) / D. Voda fakturovaní celkem</w:t>
            </w:r>
          </w:p>
        </w:tc>
      </w:tr>
      <w:tr w:rsidR="001A51C4" w:rsidRPr="00301CF4" w14:paraId="0CA5DFDB" w14:textId="77777777" w:rsidTr="001A51C4">
        <w:trPr>
          <w:trHeight w:val="1121"/>
          <w:jc w:val="center"/>
        </w:trPr>
        <w:tc>
          <w:tcPr>
            <w:tcW w:w="1790" w:type="dxa"/>
            <w:shd w:val="clear" w:color="auto" w:fill="D3DBFD"/>
            <w:vAlign w:val="center"/>
          </w:tcPr>
          <w:p w14:paraId="2E9AB24E" w14:textId="77777777" w:rsidR="001A51C4" w:rsidRPr="00DA18D2" w:rsidRDefault="001A51C4" w:rsidP="001A51C4">
            <w:pPr>
              <w:spacing w:before="0" w:after="0"/>
              <w:contextualSpacing w:val="0"/>
              <w:jc w:val="left"/>
              <w:rPr>
                <w:rFonts w:eastAsia="Times New Roman"/>
                <w:iCs/>
                <w:smallCaps/>
                <w:sz w:val="20"/>
                <w:szCs w:val="20"/>
                <w:lang w:eastAsia="cs-CZ"/>
              </w:rPr>
            </w:pPr>
            <w:r w:rsidRPr="00DA18D2">
              <w:rPr>
                <w:rFonts w:eastAsia="Times New Roman"/>
                <w:iCs/>
                <w:smallCaps/>
                <w:sz w:val="20"/>
                <w:szCs w:val="20"/>
                <w:lang w:eastAsia="cs-CZ"/>
              </w:rPr>
              <w:lastRenderedPageBreak/>
              <w:t>Smíšený model provozování a oddílný model provozování se servisní smlouvou</w:t>
            </w:r>
          </w:p>
        </w:tc>
        <w:tc>
          <w:tcPr>
            <w:tcW w:w="2932" w:type="dxa"/>
            <w:shd w:val="clear" w:color="auto" w:fill="D3DBFD"/>
            <w:vAlign w:val="center"/>
            <w:hideMark/>
          </w:tcPr>
          <w:p w14:paraId="7FB736F2" w14:textId="77777777" w:rsidR="001A51C4" w:rsidRPr="00DA18D2" w:rsidRDefault="001A51C4" w:rsidP="001A51C4">
            <w:pPr>
              <w:spacing w:before="0" w:after="0"/>
              <w:contextualSpacing w:val="0"/>
              <w:jc w:val="left"/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Teoretická ce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na pro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 xml:space="preserve">vodné a stočné 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při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pokrytí prostředků obnovy a nulovém zisku - smíšený model neb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o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 xml:space="preserve">servisní smlouva 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v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oddílném modelu</w:t>
            </w:r>
          </w:p>
        </w:tc>
        <w:tc>
          <w:tcPr>
            <w:tcW w:w="943" w:type="dxa"/>
            <w:shd w:val="clear" w:color="auto" w:fill="D3DBFD"/>
            <w:vAlign w:val="center"/>
            <w:hideMark/>
          </w:tcPr>
          <w:p w14:paraId="32C3CF3C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Kč/m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4962" w:type="dxa"/>
            <w:shd w:val="clear" w:color="auto" w:fill="D3DBFD"/>
            <w:hideMark/>
          </w:tcPr>
          <w:p w14:paraId="1CF20B3D" w14:textId="77777777" w:rsidR="001A51C4" w:rsidRPr="0007473E" w:rsidRDefault="001A51C4" w:rsidP="001A51C4">
            <w:pPr>
              <w:rPr>
                <w:i/>
                <w:sz w:val="20"/>
                <w:szCs w:val="20"/>
              </w:rPr>
            </w:pPr>
            <w:r w:rsidRPr="0007473E">
              <w:rPr>
                <w:i/>
                <w:sz w:val="20"/>
                <w:szCs w:val="20"/>
              </w:rPr>
              <w:t>(10 Úplné vlastní náklady + kladný rozdíl mezi výší minimálních prostředků obnovy VIM a součtu 4.1 odpisy + 4.2 opravy infrastrukturníh</w:t>
            </w:r>
            <w:r>
              <w:rPr>
                <w:i/>
                <w:sz w:val="20"/>
                <w:szCs w:val="20"/>
              </w:rPr>
              <w:t>o </w:t>
            </w:r>
            <w:r w:rsidRPr="0007473E">
              <w:rPr>
                <w:i/>
                <w:sz w:val="20"/>
                <w:szCs w:val="20"/>
              </w:rPr>
              <w:t>majetku + 4.4 prostředky obnovy infrastruktury) / D. Voda fakturovaní celkem</w:t>
            </w:r>
          </w:p>
        </w:tc>
      </w:tr>
      <w:tr w:rsidR="001A51C4" w:rsidRPr="00301CF4" w14:paraId="6B6F9A66" w14:textId="77777777" w:rsidTr="001A51C4">
        <w:trPr>
          <w:trHeight w:val="558"/>
          <w:jc w:val="center"/>
        </w:trPr>
        <w:tc>
          <w:tcPr>
            <w:tcW w:w="1790" w:type="dxa"/>
            <w:shd w:val="clear" w:color="auto" w:fill="F4EFFF"/>
            <w:vAlign w:val="center"/>
          </w:tcPr>
          <w:p w14:paraId="52898CFB" w14:textId="77777777" w:rsidR="001A51C4" w:rsidRPr="00DA18D2" w:rsidRDefault="001A51C4" w:rsidP="001A51C4">
            <w:pPr>
              <w:spacing w:before="0" w:after="0"/>
              <w:contextualSpacing w:val="0"/>
              <w:jc w:val="left"/>
              <w:rPr>
                <w:rFonts w:eastAsia="Times New Roman"/>
                <w:iCs/>
                <w:smallCaps/>
                <w:sz w:val="20"/>
                <w:szCs w:val="20"/>
                <w:lang w:eastAsia="cs-CZ"/>
              </w:rPr>
            </w:pPr>
            <w:r w:rsidRPr="00DA18D2">
              <w:rPr>
                <w:rFonts w:eastAsia="Times New Roman"/>
                <w:iCs/>
                <w:smallCaps/>
                <w:sz w:val="20"/>
                <w:szCs w:val="20"/>
                <w:lang w:eastAsia="cs-CZ"/>
              </w:rPr>
              <w:t>Kombinovaný model provozování</w:t>
            </w:r>
          </w:p>
        </w:tc>
        <w:tc>
          <w:tcPr>
            <w:tcW w:w="2932" w:type="dxa"/>
            <w:shd w:val="clear" w:color="auto" w:fill="F4EFFF"/>
            <w:vAlign w:val="center"/>
            <w:hideMark/>
          </w:tcPr>
          <w:p w14:paraId="01F24A69" w14:textId="77777777" w:rsidR="001A51C4" w:rsidRPr="00DA18D2" w:rsidRDefault="001A51C4" w:rsidP="001A51C4">
            <w:pPr>
              <w:spacing w:before="0" w:after="0"/>
              <w:contextualSpacing w:val="0"/>
              <w:jc w:val="left"/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Teoretická ce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na pro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 xml:space="preserve">vodné a stočné </w:t>
            </w:r>
            <w:r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při 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pokrytí prostředků obnovy a nulovém zisku - kombinovaný model</w:t>
            </w:r>
          </w:p>
        </w:tc>
        <w:tc>
          <w:tcPr>
            <w:tcW w:w="943" w:type="dxa"/>
            <w:shd w:val="clear" w:color="auto" w:fill="F4EFFF"/>
            <w:vAlign w:val="center"/>
            <w:hideMark/>
          </w:tcPr>
          <w:p w14:paraId="471D4DB9" w14:textId="77777777" w:rsidR="001A51C4" w:rsidRPr="00DA18D2" w:rsidRDefault="001A51C4" w:rsidP="001A51C4">
            <w:pPr>
              <w:spacing w:before="0" w:after="0"/>
              <w:contextualSpacing w:val="0"/>
              <w:jc w:val="center"/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</w:pPr>
            <w:r w:rsidRPr="00DA18D2">
              <w:rPr>
                <w:rFonts w:eastAsia="Times New Roman"/>
                <w:i/>
                <w:iCs/>
                <w:sz w:val="20"/>
                <w:szCs w:val="16"/>
                <w:lang w:eastAsia="cs-CZ"/>
              </w:rPr>
              <w:t>Kč/m</w:t>
            </w:r>
            <w:r w:rsidRPr="00DA18D2">
              <w:rPr>
                <w:rFonts w:eastAsia="Times New Roman"/>
                <w:i/>
                <w:iCs/>
                <w:sz w:val="20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4962" w:type="dxa"/>
            <w:shd w:val="clear" w:color="auto" w:fill="F4EFFF"/>
            <w:hideMark/>
          </w:tcPr>
          <w:p w14:paraId="4A3B9929" w14:textId="77777777" w:rsidR="001A51C4" w:rsidRPr="0007473E" w:rsidRDefault="001A51C4" w:rsidP="001A51C4">
            <w:pPr>
              <w:rPr>
                <w:i/>
                <w:sz w:val="20"/>
                <w:szCs w:val="20"/>
              </w:rPr>
            </w:pPr>
            <w:r w:rsidRPr="0007473E">
              <w:rPr>
                <w:i/>
                <w:sz w:val="20"/>
                <w:szCs w:val="20"/>
              </w:rPr>
              <w:t>(10 Úplné vlastní náklady + kladný rozdíl mezi výší minimálních prostředků obnovy VIM a součtu 4.1 odpisy + 4.2 opravy infrastrukturníh</w:t>
            </w:r>
            <w:r>
              <w:rPr>
                <w:i/>
                <w:sz w:val="20"/>
                <w:szCs w:val="20"/>
              </w:rPr>
              <w:t>o </w:t>
            </w:r>
            <w:r w:rsidRPr="0007473E">
              <w:rPr>
                <w:i/>
                <w:sz w:val="20"/>
                <w:szCs w:val="20"/>
              </w:rPr>
              <w:t>majetku + 4.3 nájem infrastrukturníh</w:t>
            </w:r>
            <w:r>
              <w:rPr>
                <w:i/>
                <w:sz w:val="20"/>
                <w:szCs w:val="20"/>
              </w:rPr>
              <w:t>o </w:t>
            </w:r>
            <w:r w:rsidRPr="0007473E">
              <w:rPr>
                <w:i/>
                <w:sz w:val="20"/>
                <w:szCs w:val="20"/>
              </w:rPr>
              <w:t>majetku + 4.4 prostředky obnovy infrastruktury) / D. Voda fakturovaní celkem</w:t>
            </w:r>
          </w:p>
        </w:tc>
      </w:tr>
    </w:tbl>
    <w:p w14:paraId="770CC487" w14:textId="3CCFDB34" w:rsidR="00BC42EB" w:rsidRDefault="00BC42EB" w:rsidP="001A51C4">
      <w:pPr>
        <w:rPr>
          <w:rFonts w:asciiTheme="minorHAnsi" w:hAnsiTheme="minorHAnsi"/>
          <w:noProof/>
          <w:sz w:val="18"/>
        </w:rPr>
      </w:pPr>
    </w:p>
    <w:p w14:paraId="3FDC723E" w14:textId="3DA2A35C" w:rsidR="00BC42EB" w:rsidRDefault="00BC42EB" w:rsidP="00BC42EB">
      <w:pPr>
        <w:pStyle w:val="Nadpis1"/>
        <w:rPr>
          <w:noProof/>
        </w:rPr>
      </w:pPr>
      <w:bookmarkStart w:id="123" w:name="_Toc34210425"/>
      <w:r>
        <w:rPr>
          <w:noProof/>
        </w:rPr>
        <w:t>Příloha č. 2 – Voda nefakturovaná a ztráty</w:t>
      </w:r>
      <w:bookmarkEnd w:id="123"/>
    </w:p>
    <w:p w14:paraId="07179077" w14:textId="7B1F44DF" w:rsidR="00BC42EB" w:rsidRPr="00971B17" w:rsidRDefault="00BC42EB" w:rsidP="00971B17">
      <w:pPr>
        <w:pStyle w:val="NORMLN0"/>
      </w:pPr>
      <w:r w:rsidRPr="00971B17">
        <w:t xml:space="preserve">Provozovatelé </w:t>
      </w:r>
      <w:r w:rsidR="00962A95">
        <w:t>při </w:t>
      </w:r>
      <w:r w:rsidRPr="00971B17">
        <w:t xml:space="preserve">řízení vodárenských systémů používají </w:t>
      </w:r>
      <w:r w:rsidR="00962A95">
        <w:t>pro </w:t>
      </w:r>
      <w:r w:rsidRPr="00971B17">
        <w:t xml:space="preserve">zvyšování efektivity a kvality provozu kromě jiných i ukazatele: množství nefakturované vody a ztráty vody. Množství vody nefakturované je rozdílový ukazatel mezi množstvím vody </w:t>
      </w:r>
      <w:r w:rsidR="00962A95">
        <w:t>k </w:t>
      </w:r>
      <w:r w:rsidRPr="00971B17">
        <w:t xml:space="preserve">realizaci a množstvím vody fakturované (tj. měřené objemy). Ztráty vody </w:t>
      </w:r>
      <w:r w:rsidR="00962A95">
        <w:t>v </w:t>
      </w:r>
      <w:r w:rsidRPr="00971B17">
        <w:t>trubní síti tvoří část množství nefakturované vody p</w:t>
      </w:r>
      <w:r w:rsidR="00962A95">
        <w:t>o </w:t>
      </w:r>
      <w:r w:rsidRPr="00971B17">
        <w:t xml:space="preserve">odečtení množství vlastní spotřeby (pozn. podle vyhlášky č. 428/2001 Sb. jde </w:t>
      </w:r>
      <w:r w:rsidR="00962A95">
        <w:t>o </w:t>
      </w:r>
      <w:r w:rsidRPr="00971B17">
        <w:t xml:space="preserve">množství vody využité provozovatelem </w:t>
      </w:r>
      <w:r w:rsidR="00962A95">
        <w:t>pro </w:t>
      </w:r>
      <w:r w:rsidRPr="00971B17">
        <w:t xml:space="preserve">potřebu provozu </w:t>
      </w:r>
      <w:r w:rsidR="00962A95">
        <w:t>k </w:t>
      </w:r>
      <w:r w:rsidRPr="00971B17">
        <w:t xml:space="preserve">proplachování vodovodní sítě, kanalizační sítě, voda spotřebovaná </w:t>
      </w:r>
      <w:r w:rsidR="00962A95">
        <w:t>v </w:t>
      </w:r>
      <w:r w:rsidRPr="00971B17">
        <w:t>provozních střediscích apod.). Podle vyhlášky</w:t>
      </w:r>
      <w:r w:rsidR="00371EFB" w:rsidRPr="00971B17">
        <w:t xml:space="preserve"> </w:t>
      </w:r>
      <w:r w:rsidRPr="00971B17">
        <w:t>č. 428/2001 Sb. jsou ztráty vody způsobené:</w:t>
      </w:r>
    </w:p>
    <w:p w14:paraId="2E0DD3D6" w14:textId="59698BC3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 xml:space="preserve">únikem </w:t>
      </w:r>
      <w:r w:rsidR="00962A95">
        <w:t>v </w:t>
      </w:r>
      <w:r w:rsidRPr="00971B17">
        <w:t>důsledku netěsnosti spojů potrubí neb</w:t>
      </w:r>
      <w:r w:rsidR="00962A95">
        <w:t>o </w:t>
      </w:r>
      <w:r w:rsidRPr="00971B17">
        <w:t xml:space="preserve">armatur, </w:t>
      </w:r>
    </w:p>
    <w:p w14:paraId="638491D5" w14:textId="3DD4A49A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 xml:space="preserve">dále únikem vody </w:t>
      </w:r>
      <w:r w:rsidR="00962A95">
        <w:t>při </w:t>
      </w:r>
      <w:r w:rsidRPr="00971B17">
        <w:t>haváriích a přečerpání vodojemů,</w:t>
      </w:r>
    </w:p>
    <w:p w14:paraId="6FDB7117" w14:textId="2FF9D2A6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>ztráty vody vzniklé nepřesností vodoměrů,</w:t>
      </w:r>
    </w:p>
    <w:p w14:paraId="508E81F4" w14:textId="094AEEF8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 xml:space="preserve">vyššími odběry </w:t>
      </w:r>
      <w:r w:rsidR="00962A95">
        <w:t>než </w:t>
      </w:r>
      <w:r w:rsidRPr="00971B17">
        <w:t xml:space="preserve">odpovídají fakturaci podle ročních směrných čísel, </w:t>
      </w:r>
    </w:p>
    <w:p w14:paraId="061C5E90" w14:textId="63032B18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>ztráty způsobené odcizením vody.</w:t>
      </w:r>
    </w:p>
    <w:p w14:paraId="09646387" w14:textId="77777777" w:rsidR="00BC42EB" w:rsidRPr="00971B17" w:rsidRDefault="00BC42EB" w:rsidP="00971B17">
      <w:pPr>
        <w:pStyle w:val="NORMLN0"/>
      </w:pPr>
    </w:p>
    <w:p w14:paraId="6B4AE1C5" w14:textId="0D170C32" w:rsidR="00BC42EB" w:rsidRPr="00971B17" w:rsidRDefault="00962A95" w:rsidP="00971B17">
      <w:pPr>
        <w:pStyle w:val="NORMLN0"/>
      </w:pPr>
      <w:r>
        <w:t>V </w:t>
      </w:r>
      <w:r w:rsidR="00BC42EB" w:rsidRPr="00971B17">
        <w:t>mezinárodní praxi se setkáváme s podrobnějším členěním ztrát:</w:t>
      </w:r>
    </w:p>
    <w:p w14:paraId="32C43775" w14:textId="14704481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 xml:space="preserve">zjevné (komerční) ztráty </w:t>
      </w:r>
      <w:r w:rsidR="00971B17" w:rsidRPr="00971B17">
        <w:t>– ztráty vzniklé nepřesností vod</w:t>
      </w:r>
      <w:r w:rsidRPr="00971B17">
        <w:t xml:space="preserve">oměrů, vyšší odběry </w:t>
      </w:r>
      <w:r w:rsidR="00962A95">
        <w:t>než </w:t>
      </w:r>
      <w:r w:rsidRPr="00971B17">
        <w:t>odpovídající fakturaci podle směrných čísel, ztráty způsobené odcizením vody,</w:t>
      </w:r>
    </w:p>
    <w:p w14:paraId="2C9044C5" w14:textId="6AA53981" w:rsidR="00BC42EB" w:rsidRPr="00971B17" w:rsidRDefault="00BC42EB" w:rsidP="00971B17">
      <w:pPr>
        <w:pStyle w:val="NORMLN0"/>
        <w:numPr>
          <w:ilvl w:val="0"/>
          <w:numId w:val="39"/>
        </w:numPr>
      </w:pPr>
      <w:r w:rsidRPr="00971B17">
        <w:t xml:space="preserve">skutečné (fyzické) ztráty – úniky </w:t>
      </w:r>
      <w:r w:rsidR="00962A95">
        <w:t>v </w:t>
      </w:r>
      <w:r w:rsidR="007F71DB" w:rsidRPr="00971B17">
        <w:t>důsledk</w:t>
      </w:r>
      <w:r w:rsidR="007F71DB">
        <w:t>ů</w:t>
      </w:r>
      <w:r w:rsidRPr="00971B17">
        <w:t xml:space="preserve"> netěsností spojů potrubí neb</w:t>
      </w:r>
      <w:r w:rsidR="00962A95">
        <w:t>o </w:t>
      </w:r>
      <w:r w:rsidRPr="00971B17">
        <w:t xml:space="preserve">armatur, úniky vody </w:t>
      </w:r>
      <w:r w:rsidR="00962A95">
        <w:t>při </w:t>
      </w:r>
      <w:r w:rsidRPr="00971B17">
        <w:t>haváriích a přečerpání vodojemu.</w:t>
      </w:r>
    </w:p>
    <w:p w14:paraId="35AAF50F" w14:textId="77777777" w:rsidR="00BC42EB" w:rsidRPr="00971B17" w:rsidRDefault="00BC42EB" w:rsidP="00971B17">
      <w:pPr>
        <w:pStyle w:val="NORMLN0"/>
      </w:pPr>
    </w:p>
    <w:p w14:paraId="7A8822D4" w14:textId="6E1D1AF9" w:rsidR="00BC42EB" w:rsidRPr="00971B17" w:rsidRDefault="00BC42EB" w:rsidP="00971B17">
      <w:pPr>
        <w:pStyle w:val="NORMLN0"/>
      </w:pPr>
      <w:r w:rsidRPr="00971B17">
        <w:t>Program snižování množství nefakturované vody má prokazatelný vli</w:t>
      </w:r>
      <w:r w:rsidR="00962A95">
        <w:t>v </w:t>
      </w:r>
      <w:r w:rsidRPr="00971B17">
        <w:t xml:space="preserve">na: </w:t>
      </w:r>
    </w:p>
    <w:p w14:paraId="53AD0BD0" w14:textId="2AF9CC43" w:rsidR="00BC42EB" w:rsidRDefault="00BC42EB" w:rsidP="00971B17">
      <w:pPr>
        <w:pStyle w:val="NORMLN0"/>
        <w:numPr>
          <w:ilvl w:val="0"/>
          <w:numId w:val="40"/>
        </w:numPr>
        <w:rPr>
          <w:noProof/>
        </w:rPr>
      </w:pPr>
      <w:r w:rsidRPr="00026490">
        <w:rPr>
          <w:noProof/>
        </w:rPr>
        <w:t>efektivit</w:t>
      </w:r>
      <w:r>
        <w:rPr>
          <w:noProof/>
        </w:rPr>
        <w:t>u</w:t>
      </w:r>
      <w:r w:rsidRPr="00026490">
        <w:rPr>
          <w:noProof/>
        </w:rPr>
        <w:t xml:space="preserve"> využívání vodních zdrojů a investic</w:t>
      </w:r>
      <w:r>
        <w:rPr>
          <w:noProof/>
        </w:rPr>
        <w:t>e</w:t>
      </w:r>
      <w:r w:rsidRPr="00026490">
        <w:rPr>
          <w:noProof/>
        </w:rPr>
        <w:t xml:space="preserve"> d</w:t>
      </w:r>
      <w:r w:rsidR="00962A95">
        <w:rPr>
          <w:noProof/>
        </w:rPr>
        <w:t>o </w:t>
      </w:r>
      <w:r w:rsidRPr="00026490">
        <w:rPr>
          <w:noProof/>
        </w:rPr>
        <w:t>nákladnéh</w:t>
      </w:r>
      <w:r w:rsidR="00962A95">
        <w:rPr>
          <w:noProof/>
        </w:rPr>
        <w:t>o </w:t>
      </w:r>
      <w:r w:rsidRPr="00026490">
        <w:rPr>
          <w:noProof/>
        </w:rPr>
        <w:t xml:space="preserve">rozšiřování </w:t>
      </w:r>
      <w:r>
        <w:rPr>
          <w:noProof/>
        </w:rPr>
        <w:t>kapacity vodních zdrojů,</w:t>
      </w:r>
    </w:p>
    <w:p w14:paraId="30AAFA83" w14:textId="77777777" w:rsidR="00BC42EB" w:rsidRDefault="00BC42EB" w:rsidP="00971B17">
      <w:pPr>
        <w:pStyle w:val="NORMLN0"/>
        <w:numPr>
          <w:ilvl w:val="0"/>
          <w:numId w:val="40"/>
        </w:numPr>
        <w:rPr>
          <w:noProof/>
        </w:rPr>
      </w:pPr>
      <w:r w:rsidRPr="000F4BA7">
        <w:rPr>
          <w:noProof/>
        </w:rPr>
        <w:t>úspor</w:t>
      </w:r>
      <w:r>
        <w:rPr>
          <w:noProof/>
        </w:rPr>
        <w:t>y</w:t>
      </w:r>
      <w:r w:rsidRPr="000F4BA7">
        <w:rPr>
          <w:noProof/>
        </w:rPr>
        <w:t xml:space="preserve"> energi</w:t>
      </w:r>
      <w:r>
        <w:rPr>
          <w:noProof/>
        </w:rPr>
        <w:t>í</w:t>
      </w:r>
      <w:r w:rsidRPr="000F4BA7">
        <w:rPr>
          <w:noProof/>
        </w:rPr>
        <w:t xml:space="preserve"> a odolnost vůči klimat</w:t>
      </w:r>
      <w:r>
        <w:rPr>
          <w:noProof/>
        </w:rPr>
        <w:t>ickým změnám,</w:t>
      </w:r>
    </w:p>
    <w:p w14:paraId="2A59462A" w14:textId="77777777" w:rsidR="00BC42EB" w:rsidRDefault="00BC42EB" w:rsidP="00971B17">
      <w:pPr>
        <w:pStyle w:val="NORMLN0"/>
        <w:numPr>
          <w:ilvl w:val="0"/>
          <w:numId w:val="40"/>
        </w:numPr>
        <w:rPr>
          <w:noProof/>
        </w:rPr>
      </w:pPr>
      <w:r w:rsidRPr="000F4BA7">
        <w:rPr>
          <w:noProof/>
        </w:rPr>
        <w:t>zlepšení kvality služeb a spokojenost zákazníků</w:t>
      </w:r>
      <w:r>
        <w:rPr>
          <w:noProof/>
        </w:rPr>
        <w:t>,</w:t>
      </w:r>
    </w:p>
    <w:p w14:paraId="3DE5732E" w14:textId="77777777" w:rsidR="00BC42EB" w:rsidRDefault="00BC42EB" w:rsidP="00971B17">
      <w:pPr>
        <w:pStyle w:val="NORMLN0"/>
        <w:numPr>
          <w:ilvl w:val="0"/>
          <w:numId w:val="40"/>
        </w:numPr>
        <w:rPr>
          <w:noProof/>
        </w:rPr>
      </w:pPr>
      <w:r w:rsidRPr="000F4BA7">
        <w:rPr>
          <w:noProof/>
        </w:rPr>
        <w:t>zlepšen</w:t>
      </w:r>
      <w:r>
        <w:rPr>
          <w:noProof/>
        </w:rPr>
        <w:t>í</w:t>
      </w:r>
      <w:r w:rsidRPr="000F4BA7">
        <w:rPr>
          <w:noProof/>
        </w:rPr>
        <w:t xml:space="preserve"> finanční životaschopnost</w:t>
      </w:r>
      <w:r>
        <w:rPr>
          <w:noProof/>
        </w:rPr>
        <w:t>i provozovatele.</w:t>
      </w:r>
    </w:p>
    <w:sectPr w:rsidR="00BC42EB">
      <w:footerReference w:type="default" r:id="rId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040C" w14:textId="77777777" w:rsidR="00F64C3C" w:rsidRDefault="00F64C3C" w:rsidP="002C657D">
      <w:pPr>
        <w:spacing w:before="0" w:after="0"/>
      </w:pPr>
      <w:r>
        <w:separator/>
      </w:r>
    </w:p>
  </w:endnote>
  <w:endnote w:type="continuationSeparator" w:id="0">
    <w:p w14:paraId="60A0B382" w14:textId="77777777" w:rsidR="00F64C3C" w:rsidRDefault="00F64C3C" w:rsidP="002C65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FA73E" w14:textId="77777777" w:rsidR="00F64C3C" w:rsidRPr="00683E07" w:rsidRDefault="00F64C3C">
    <w:pPr>
      <w:pStyle w:val="Zpat"/>
      <w:jc w:val="right"/>
      <w:rPr>
        <w:rFonts w:ascii="Calibri Light" w:hAnsi="Calibri Light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722196"/>
      <w:docPartObj>
        <w:docPartGallery w:val="Page Numbers (Bottom of Page)"/>
        <w:docPartUnique/>
      </w:docPartObj>
    </w:sdtPr>
    <w:sdtEndPr>
      <w:rPr>
        <w:rFonts w:ascii="Calibri Light" w:hAnsi="Calibri Light"/>
        <w:szCs w:val="18"/>
      </w:rPr>
    </w:sdtEndPr>
    <w:sdtContent>
      <w:p w14:paraId="0B2EF992" w14:textId="04D755D3" w:rsidR="00F64C3C" w:rsidRPr="00694C62" w:rsidRDefault="00F64C3C" w:rsidP="00FC764C">
        <w:pPr>
          <w:pStyle w:val="Zpat"/>
        </w:pPr>
        <w:r w:rsidRPr="00762B0A">
          <w:t xml:space="preserve">Zpráva </w:t>
        </w:r>
        <w:r>
          <w:t>z </w:t>
        </w:r>
        <w:r w:rsidRPr="00762B0A">
          <w:t xml:space="preserve">benchmarkingu </w:t>
        </w:r>
        <w:r>
          <w:t>za </w:t>
        </w:r>
        <w:r w:rsidRPr="00762B0A">
          <w:t>ro</w:t>
        </w:r>
        <w:r>
          <w:t>k </w:t>
        </w:r>
        <w:r w:rsidRPr="00762B0A">
          <w:t>201</w:t>
        </w:r>
        <w:r>
          <w:t>8</w:t>
        </w:r>
        <w:r>
          <w:ptab w:relativeTo="margin" w:alignment="right" w:leader="none"/>
        </w:r>
        <w:r w:rsidRPr="00FB717A">
          <w:rPr>
            <w:rFonts w:ascii="Calibri Light" w:hAnsi="Calibri Light"/>
            <w:i w:val="0"/>
            <w:sz w:val="22"/>
            <w:szCs w:val="18"/>
          </w:rPr>
          <w:fldChar w:fldCharType="begin"/>
        </w:r>
        <w:r w:rsidRPr="00FB717A">
          <w:rPr>
            <w:rFonts w:ascii="Calibri Light" w:hAnsi="Calibri Light"/>
            <w:i w:val="0"/>
            <w:sz w:val="22"/>
            <w:szCs w:val="18"/>
          </w:rPr>
          <w:instrText>PAGE   \* MERGEFORMAT</w:instrText>
        </w:r>
        <w:r w:rsidRPr="00FB717A">
          <w:rPr>
            <w:rFonts w:ascii="Calibri Light" w:hAnsi="Calibri Light"/>
            <w:i w:val="0"/>
            <w:sz w:val="22"/>
            <w:szCs w:val="18"/>
          </w:rPr>
          <w:fldChar w:fldCharType="separate"/>
        </w:r>
        <w:r w:rsidR="00A37FCB">
          <w:rPr>
            <w:rFonts w:ascii="Calibri Light" w:hAnsi="Calibri Light"/>
            <w:i w:val="0"/>
            <w:noProof/>
            <w:sz w:val="22"/>
            <w:szCs w:val="18"/>
          </w:rPr>
          <w:t>88</w:t>
        </w:r>
        <w:r w:rsidRPr="00FB717A">
          <w:rPr>
            <w:rFonts w:ascii="Calibri Light" w:hAnsi="Calibri Light"/>
            <w:i w:val="0"/>
            <w:sz w:val="22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CE818" w14:textId="39C40DDE" w:rsidR="00F64C3C" w:rsidRPr="00762B0A" w:rsidRDefault="00F64C3C" w:rsidP="00636AF2">
    <w:pPr>
      <w:pStyle w:val="Zpat"/>
      <w:tabs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21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65F8" w14:textId="41357D6F" w:rsidR="00F64C3C" w:rsidRPr="00762B0A" w:rsidRDefault="00F64C3C" w:rsidP="00636AF2">
    <w:pPr>
      <w:pStyle w:val="Zpat"/>
      <w:tabs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33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DF04" w14:textId="3A426A94" w:rsidR="00F64C3C" w:rsidRPr="00762B0A" w:rsidRDefault="00F64C3C" w:rsidP="00636AF2">
    <w:pPr>
      <w:pStyle w:val="Zpat"/>
      <w:tabs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42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93A9" w14:textId="28EBC1CA" w:rsidR="00F64C3C" w:rsidRPr="00762B0A" w:rsidRDefault="00F64C3C" w:rsidP="00636AF2">
    <w:pPr>
      <w:pStyle w:val="Zpat"/>
      <w:tabs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45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C427" w14:textId="09FE5090" w:rsidR="00F64C3C" w:rsidRPr="00762B0A" w:rsidRDefault="00F64C3C" w:rsidP="00FC764C">
    <w:pPr>
      <w:pStyle w:val="Zpat"/>
      <w:tabs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56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767C" w14:textId="0422EEC0" w:rsidR="00F64C3C" w:rsidRPr="00762B0A" w:rsidRDefault="00F64C3C" w:rsidP="00FC764C">
    <w:pPr>
      <w:pStyle w:val="Zpat"/>
      <w:tabs>
        <w:tab w:val="left" w:pos="7064"/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60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0D9D3" w14:textId="474FA701" w:rsidR="00F64C3C" w:rsidRPr="00762B0A" w:rsidRDefault="00F64C3C" w:rsidP="00FC764C">
    <w:pPr>
      <w:pStyle w:val="Zpat"/>
      <w:tabs>
        <w:tab w:val="left" w:pos="7064"/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70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FA28" w14:textId="2E5A285D" w:rsidR="00F64C3C" w:rsidRPr="00762B0A" w:rsidRDefault="00F64C3C" w:rsidP="00FC764C">
    <w:pPr>
      <w:pStyle w:val="Zpat"/>
      <w:tabs>
        <w:tab w:val="left" w:pos="8160"/>
        <w:tab w:val="left" w:pos="8505"/>
      </w:tabs>
      <w:spacing w:before="0" w:after="0"/>
      <w:jc w:val="left"/>
    </w:pPr>
    <w:r w:rsidRPr="00762B0A">
      <w:t xml:space="preserve">Zpráva </w:t>
    </w:r>
    <w:r>
      <w:t>z </w:t>
    </w:r>
    <w:r w:rsidRPr="00762B0A">
      <w:t xml:space="preserve">benchmarkingu </w:t>
    </w:r>
    <w:r>
      <w:t>za </w:t>
    </w:r>
    <w:r w:rsidRPr="00762B0A">
      <w:t>ro</w:t>
    </w:r>
    <w:r>
      <w:t>k </w:t>
    </w:r>
    <w:r w:rsidRPr="00762B0A">
      <w:t>201</w:t>
    </w:r>
    <w:r>
      <w:t>8</w:t>
    </w:r>
    <w:r w:rsidRPr="00762B0A">
      <w:tab/>
    </w:r>
    <w:r w:rsidRPr="00762B0A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2B0A">
      <w:fldChar w:fldCharType="begin"/>
    </w:r>
    <w:r w:rsidRPr="00762B0A">
      <w:instrText xml:space="preserve">  </w:instrText>
    </w:r>
    <w:r w:rsidRPr="00762B0A">
      <w:fldChar w:fldCharType="end"/>
    </w:r>
    <w:r w:rsidRPr="001B0257">
      <w:rPr>
        <w:rFonts w:ascii="Calibri Light" w:hAnsi="Calibri Light"/>
        <w:sz w:val="22"/>
        <w:szCs w:val="18"/>
      </w:rPr>
      <w:fldChar w:fldCharType="begin"/>
    </w:r>
    <w:r w:rsidRPr="001B0257">
      <w:rPr>
        <w:rFonts w:ascii="Calibri Light" w:hAnsi="Calibri Light"/>
        <w:sz w:val="22"/>
        <w:szCs w:val="18"/>
      </w:rPr>
      <w:instrText>PAGE   \* MERGEFORMAT</w:instrText>
    </w:r>
    <w:r w:rsidRPr="001B0257">
      <w:rPr>
        <w:rFonts w:ascii="Calibri Light" w:hAnsi="Calibri Light"/>
        <w:sz w:val="22"/>
        <w:szCs w:val="18"/>
      </w:rPr>
      <w:fldChar w:fldCharType="separate"/>
    </w:r>
    <w:r w:rsidR="00A37FCB">
      <w:rPr>
        <w:rFonts w:ascii="Calibri Light" w:hAnsi="Calibri Light"/>
        <w:noProof/>
        <w:sz w:val="22"/>
        <w:szCs w:val="18"/>
      </w:rPr>
      <w:t>74</w:t>
    </w:r>
    <w:r w:rsidRPr="001B0257">
      <w:rPr>
        <w:rFonts w:ascii="Calibri Light" w:hAnsi="Calibri Light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0BA86" w14:textId="77777777" w:rsidR="00F64C3C" w:rsidRDefault="00F64C3C" w:rsidP="002C657D">
      <w:pPr>
        <w:spacing w:before="0" w:after="0"/>
      </w:pPr>
      <w:r>
        <w:separator/>
      </w:r>
    </w:p>
  </w:footnote>
  <w:footnote w:type="continuationSeparator" w:id="0">
    <w:p w14:paraId="0EB9FED4" w14:textId="77777777" w:rsidR="00F64C3C" w:rsidRDefault="00F64C3C" w:rsidP="002C65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F7EF" w14:textId="3D85403E" w:rsidR="00F64C3C" w:rsidRPr="006A4C8D" w:rsidRDefault="00F64C3C" w:rsidP="009A5E9D">
    <w:pPr>
      <w:pStyle w:val="Styl2"/>
    </w:pPr>
    <w:r>
      <w:t xml:space="preserve">č.j. </w:t>
    </w:r>
    <w:r w:rsidRPr="00726EB2">
      <w:t>11775</w:t>
    </w:r>
    <w:r w:rsidRPr="00BF653B">
      <w:t>/20</w:t>
    </w:r>
    <w:r>
      <w:t>20</w:t>
    </w:r>
    <w:r w:rsidRPr="00BF653B">
      <w:t>-MZE-15161</w:t>
    </w:r>
  </w:p>
  <w:p w14:paraId="51934E6F" w14:textId="77777777" w:rsidR="00F64C3C" w:rsidRPr="006A4C8D" w:rsidRDefault="00F64C3C" w:rsidP="009A5E9D">
    <w:pPr>
      <w:pStyle w:val="Styl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6AA"/>
    <w:multiLevelType w:val="hybridMultilevel"/>
    <w:tmpl w:val="995E2EB0"/>
    <w:lvl w:ilvl="0" w:tplc="820EFA44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C6AAD"/>
    <w:multiLevelType w:val="hybridMultilevel"/>
    <w:tmpl w:val="8E66716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75E65"/>
    <w:multiLevelType w:val="multilevel"/>
    <w:tmpl w:val="4FBE86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1D5D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25EEF"/>
    <w:multiLevelType w:val="multilevel"/>
    <w:tmpl w:val="F97C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D51E22"/>
    <w:multiLevelType w:val="hybridMultilevel"/>
    <w:tmpl w:val="224E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6521"/>
    <w:multiLevelType w:val="hybridMultilevel"/>
    <w:tmpl w:val="B8843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F529A"/>
    <w:multiLevelType w:val="hybridMultilevel"/>
    <w:tmpl w:val="0E8C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0FD6"/>
    <w:multiLevelType w:val="hybridMultilevel"/>
    <w:tmpl w:val="E7507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153C0"/>
    <w:multiLevelType w:val="multilevel"/>
    <w:tmpl w:val="F97C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4C6AE9"/>
    <w:multiLevelType w:val="hybridMultilevel"/>
    <w:tmpl w:val="0E7C0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0ED0"/>
    <w:multiLevelType w:val="hybridMultilevel"/>
    <w:tmpl w:val="C3E49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7440C"/>
    <w:multiLevelType w:val="hybridMultilevel"/>
    <w:tmpl w:val="CB1C75C2"/>
    <w:lvl w:ilvl="0" w:tplc="0B2E6974">
      <w:start w:val="1"/>
      <w:numFmt w:val="decimal"/>
      <w:pStyle w:val="1Nadpis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3C25E1"/>
    <w:multiLevelType w:val="hybridMultilevel"/>
    <w:tmpl w:val="82407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B68D6"/>
    <w:multiLevelType w:val="hybridMultilevel"/>
    <w:tmpl w:val="31D297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4E06C7"/>
    <w:multiLevelType w:val="hybridMultilevel"/>
    <w:tmpl w:val="86EC872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1285F2E"/>
    <w:multiLevelType w:val="hybridMultilevel"/>
    <w:tmpl w:val="6D3AD74A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125C4C"/>
    <w:multiLevelType w:val="multilevel"/>
    <w:tmpl w:val="8EA4B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3D4604"/>
    <w:multiLevelType w:val="hybridMultilevel"/>
    <w:tmpl w:val="82407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B6746"/>
    <w:multiLevelType w:val="hybridMultilevel"/>
    <w:tmpl w:val="E7507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15484"/>
    <w:multiLevelType w:val="hybridMultilevel"/>
    <w:tmpl w:val="4D3EC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235C7"/>
    <w:multiLevelType w:val="hybridMultilevel"/>
    <w:tmpl w:val="BAF86F72"/>
    <w:lvl w:ilvl="0" w:tplc="CABE8B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E6587"/>
    <w:multiLevelType w:val="hybridMultilevel"/>
    <w:tmpl w:val="99003DAE"/>
    <w:lvl w:ilvl="0" w:tplc="FE467C80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54B7841"/>
    <w:multiLevelType w:val="hybridMultilevel"/>
    <w:tmpl w:val="EC42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96F00"/>
    <w:multiLevelType w:val="multilevel"/>
    <w:tmpl w:val="3DC2A1D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345" w:hanging="375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1F3864" w:themeColor="accent5" w:themeShade="8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382858"/>
    <w:multiLevelType w:val="hybridMultilevel"/>
    <w:tmpl w:val="F51AAF6E"/>
    <w:lvl w:ilvl="0" w:tplc="FE467C80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BF7F18"/>
    <w:multiLevelType w:val="hybridMultilevel"/>
    <w:tmpl w:val="18061C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3C1268F"/>
    <w:multiLevelType w:val="multilevel"/>
    <w:tmpl w:val="F97C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7E02A3"/>
    <w:multiLevelType w:val="hybridMultilevel"/>
    <w:tmpl w:val="0E7C0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C2C42"/>
    <w:multiLevelType w:val="hybridMultilevel"/>
    <w:tmpl w:val="5CD608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AA46BDB"/>
    <w:multiLevelType w:val="hybridMultilevel"/>
    <w:tmpl w:val="224E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B7391"/>
    <w:multiLevelType w:val="hybridMultilevel"/>
    <w:tmpl w:val="A9187A3C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083799"/>
    <w:multiLevelType w:val="hybridMultilevel"/>
    <w:tmpl w:val="224E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86C29"/>
    <w:multiLevelType w:val="hybridMultilevel"/>
    <w:tmpl w:val="67E8A1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071D03"/>
    <w:multiLevelType w:val="hybridMultilevel"/>
    <w:tmpl w:val="8416C5E0"/>
    <w:lvl w:ilvl="0" w:tplc="0405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 w15:restartNumberingAfterBreak="0">
    <w:nsid w:val="7BE717B0"/>
    <w:multiLevelType w:val="hybridMultilevel"/>
    <w:tmpl w:val="E7507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9"/>
  </w:num>
  <w:num w:numId="4">
    <w:abstractNumId w:val="34"/>
  </w:num>
  <w:num w:numId="5">
    <w:abstractNumId w:val="18"/>
  </w:num>
  <w:num w:numId="6">
    <w:abstractNumId w:val="9"/>
  </w:num>
  <w:num w:numId="7">
    <w:abstractNumId w:val="35"/>
  </w:num>
  <w:num w:numId="8">
    <w:abstractNumId w:val="2"/>
  </w:num>
  <w:num w:numId="9">
    <w:abstractNumId w:val="12"/>
  </w:num>
  <w:num w:numId="10">
    <w:abstractNumId w:val="19"/>
  </w:num>
  <w:num w:numId="11">
    <w:abstractNumId w:val="23"/>
  </w:num>
  <w:num w:numId="12">
    <w:abstractNumId w:val="30"/>
  </w:num>
  <w:num w:numId="13">
    <w:abstractNumId w:val="27"/>
  </w:num>
  <w:num w:numId="14">
    <w:abstractNumId w:val="7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3"/>
  </w:num>
  <w:num w:numId="22">
    <w:abstractNumId w:val="32"/>
  </w:num>
  <w:num w:numId="23">
    <w:abstractNumId w:val="4"/>
  </w:num>
  <w:num w:numId="24">
    <w:abstractNumId w:val="26"/>
  </w:num>
  <w:num w:numId="25">
    <w:abstractNumId w:val="15"/>
  </w:num>
  <w:num w:numId="26">
    <w:abstractNumId w:val="20"/>
  </w:num>
  <w:num w:numId="27">
    <w:abstractNumId w:val="11"/>
  </w:num>
  <w:num w:numId="28">
    <w:abstractNumId w:val="1"/>
  </w:num>
  <w:num w:numId="29">
    <w:abstractNumId w:val="14"/>
  </w:num>
  <w:num w:numId="30">
    <w:abstractNumId w:val="33"/>
  </w:num>
  <w:num w:numId="31">
    <w:abstractNumId w:val="16"/>
  </w:num>
  <w:num w:numId="32">
    <w:abstractNumId w:val="31"/>
  </w:num>
  <w:num w:numId="33">
    <w:abstractNumId w:val="10"/>
  </w:num>
  <w:num w:numId="34">
    <w:abstractNumId w:val="28"/>
  </w:num>
  <w:num w:numId="35">
    <w:abstractNumId w:val="3"/>
  </w:num>
  <w:num w:numId="36">
    <w:abstractNumId w:val="0"/>
  </w:num>
  <w:num w:numId="37">
    <w:abstractNumId w:val="21"/>
  </w:num>
  <w:num w:numId="38">
    <w:abstractNumId w:val="6"/>
  </w:num>
  <w:num w:numId="39">
    <w:abstractNumId w:val="22"/>
  </w:num>
  <w:num w:numId="40">
    <w:abstractNumId w:val="25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7D"/>
    <w:rsid w:val="00001200"/>
    <w:rsid w:val="00002E4D"/>
    <w:rsid w:val="00004FA2"/>
    <w:rsid w:val="00007A20"/>
    <w:rsid w:val="000100FC"/>
    <w:rsid w:val="000142C5"/>
    <w:rsid w:val="0001447A"/>
    <w:rsid w:val="000210EA"/>
    <w:rsid w:val="00026B9F"/>
    <w:rsid w:val="00027EFA"/>
    <w:rsid w:val="0003063C"/>
    <w:rsid w:val="000327A9"/>
    <w:rsid w:val="00036CBE"/>
    <w:rsid w:val="0003750B"/>
    <w:rsid w:val="0003761D"/>
    <w:rsid w:val="00037AD6"/>
    <w:rsid w:val="00051B13"/>
    <w:rsid w:val="00055D3D"/>
    <w:rsid w:val="0006430B"/>
    <w:rsid w:val="00075BA9"/>
    <w:rsid w:val="00081D16"/>
    <w:rsid w:val="000A061E"/>
    <w:rsid w:val="000A2A83"/>
    <w:rsid w:val="000B308B"/>
    <w:rsid w:val="000C453E"/>
    <w:rsid w:val="000D0294"/>
    <w:rsid w:val="000D4F36"/>
    <w:rsid w:val="000D5434"/>
    <w:rsid w:val="000D7123"/>
    <w:rsid w:val="000D73B1"/>
    <w:rsid w:val="000E0178"/>
    <w:rsid w:val="000E0880"/>
    <w:rsid w:val="000E44C0"/>
    <w:rsid w:val="000E556A"/>
    <w:rsid w:val="0010767C"/>
    <w:rsid w:val="00114A85"/>
    <w:rsid w:val="0011579E"/>
    <w:rsid w:val="001261BC"/>
    <w:rsid w:val="00133A78"/>
    <w:rsid w:val="00136631"/>
    <w:rsid w:val="00136C26"/>
    <w:rsid w:val="00145484"/>
    <w:rsid w:val="00147EAF"/>
    <w:rsid w:val="00150E90"/>
    <w:rsid w:val="001515F1"/>
    <w:rsid w:val="00156606"/>
    <w:rsid w:val="00164038"/>
    <w:rsid w:val="00164F5C"/>
    <w:rsid w:val="0016531C"/>
    <w:rsid w:val="00182DD5"/>
    <w:rsid w:val="00194A43"/>
    <w:rsid w:val="001A10D7"/>
    <w:rsid w:val="001A51C4"/>
    <w:rsid w:val="001A5826"/>
    <w:rsid w:val="001B6AAC"/>
    <w:rsid w:val="001C0012"/>
    <w:rsid w:val="001C0FBA"/>
    <w:rsid w:val="001C2218"/>
    <w:rsid w:val="001E450C"/>
    <w:rsid w:val="001F20AC"/>
    <w:rsid w:val="002045B5"/>
    <w:rsid w:val="00204674"/>
    <w:rsid w:val="002057D3"/>
    <w:rsid w:val="0021528B"/>
    <w:rsid w:val="00220CEE"/>
    <w:rsid w:val="002313E6"/>
    <w:rsid w:val="00232832"/>
    <w:rsid w:val="002358D5"/>
    <w:rsid w:val="002468BA"/>
    <w:rsid w:val="00252351"/>
    <w:rsid w:val="00256773"/>
    <w:rsid w:val="002672EE"/>
    <w:rsid w:val="002673AF"/>
    <w:rsid w:val="0027331C"/>
    <w:rsid w:val="00277D08"/>
    <w:rsid w:val="00295106"/>
    <w:rsid w:val="002B4066"/>
    <w:rsid w:val="002C06D8"/>
    <w:rsid w:val="002C1E7B"/>
    <w:rsid w:val="002C657D"/>
    <w:rsid w:val="002C6ADF"/>
    <w:rsid w:val="002D14A7"/>
    <w:rsid w:val="002E34E5"/>
    <w:rsid w:val="002E35FE"/>
    <w:rsid w:val="002E795B"/>
    <w:rsid w:val="002E7ACC"/>
    <w:rsid w:val="00303644"/>
    <w:rsid w:val="00331B50"/>
    <w:rsid w:val="00335D61"/>
    <w:rsid w:val="00344AE5"/>
    <w:rsid w:val="00347A45"/>
    <w:rsid w:val="00353957"/>
    <w:rsid w:val="003625EA"/>
    <w:rsid w:val="003661E0"/>
    <w:rsid w:val="00371EFB"/>
    <w:rsid w:val="003759C5"/>
    <w:rsid w:val="0037600C"/>
    <w:rsid w:val="00386643"/>
    <w:rsid w:val="003926B6"/>
    <w:rsid w:val="003A0A3C"/>
    <w:rsid w:val="003A25FA"/>
    <w:rsid w:val="003A30B7"/>
    <w:rsid w:val="003A3BF8"/>
    <w:rsid w:val="003A691E"/>
    <w:rsid w:val="003B5C88"/>
    <w:rsid w:val="003D6281"/>
    <w:rsid w:val="003E34AC"/>
    <w:rsid w:val="003E5E93"/>
    <w:rsid w:val="003E5FC4"/>
    <w:rsid w:val="003F5B5C"/>
    <w:rsid w:val="003F6F10"/>
    <w:rsid w:val="004052F5"/>
    <w:rsid w:val="004068CC"/>
    <w:rsid w:val="004223EE"/>
    <w:rsid w:val="00435A92"/>
    <w:rsid w:val="004573AE"/>
    <w:rsid w:val="00464B80"/>
    <w:rsid w:val="004732B1"/>
    <w:rsid w:val="00481460"/>
    <w:rsid w:val="00493618"/>
    <w:rsid w:val="0049675C"/>
    <w:rsid w:val="00496E59"/>
    <w:rsid w:val="004A05A1"/>
    <w:rsid w:val="004A07BA"/>
    <w:rsid w:val="004A1EBD"/>
    <w:rsid w:val="004A2B2C"/>
    <w:rsid w:val="004A66A9"/>
    <w:rsid w:val="004B7688"/>
    <w:rsid w:val="004C5FF1"/>
    <w:rsid w:val="004D3EB1"/>
    <w:rsid w:val="004D5604"/>
    <w:rsid w:val="004F1AA8"/>
    <w:rsid w:val="004F3B86"/>
    <w:rsid w:val="004F3C9D"/>
    <w:rsid w:val="0050147B"/>
    <w:rsid w:val="0050435D"/>
    <w:rsid w:val="00504569"/>
    <w:rsid w:val="00511D86"/>
    <w:rsid w:val="005276AA"/>
    <w:rsid w:val="005314A0"/>
    <w:rsid w:val="00537D41"/>
    <w:rsid w:val="00553E10"/>
    <w:rsid w:val="00554C15"/>
    <w:rsid w:val="00555C10"/>
    <w:rsid w:val="0056035B"/>
    <w:rsid w:val="00561A7A"/>
    <w:rsid w:val="005634A9"/>
    <w:rsid w:val="0056678A"/>
    <w:rsid w:val="00571447"/>
    <w:rsid w:val="00572EE7"/>
    <w:rsid w:val="00576CC5"/>
    <w:rsid w:val="00580317"/>
    <w:rsid w:val="005852A3"/>
    <w:rsid w:val="00592867"/>
    <w:rsid w:val="005A127A"/>
    <w:rsid w:val="005A4D05"/>
    <w:rsid w:val="005A7198"/>
    <w:rsid w:val="005B05ED"/>
    <w:rsid w:val="005B5C70"/>
    <w:rsid w:val="005B6369"/>
    <w:rsid w:val="005C225A"/>
    <w:rsid w:val="005C4853"/>
    <w:rsid w:val="005D0A02"/>
    <w:rsid w:val="005D15C5"/>
    <w:rsid w:val="005D1954"/>
    <w:rsid w:val="005D772D"/>
    <w:rsid w:val="005E32AA"/>
    <w:rsid w:val="00613A31"/>
    <w:rsid w:val="006211D3"/>
    <w:rsid w:val="0062684D"/>
    <w:rsid w:val="00635345"/>
    <w:rsid w:val="00636AF2"/>
    <w:rsid w:val="00642583"/>
    <w:rsid w:val="00642844"/>
    <w:rsid w:val="00650D75"/>
    <w:rsid w:val="00651E2F"/>
    <w:rsid w:val="0065291A"/>
    <w:rsid w:val="0065663E"/>
    <w:rsid w:val="00657FB0"/>
    <w:rsid w:val="00663098"/>
    <w:rsid w:val="006650A8"/>
    <w:rsid w:val="006663E3"/>
    <w:rsid w:val="0066684B"/>
    <w:rsid w:val="0067090C"/>
    <w:rsid w:val="0067301C"/>
    <w:rsid w:val="0067643E"/>
    <w:rsid w:val="00691111"/>
    <w:rsid w:val="006920B0"/>
    <w:rsid w:val="00692A68"/>
    <w:rsid w:val="00694162"/>
    <w:rsid w:val="006A395C"/>
    <w:rsid w:val="006B7B79"/>
    <w:rsid w:val="006D47B0"/>
    <w:rsid w:val="006E3901"/>
    <w:rsid w:val="006E6042"/>
    <w:rsid w:val="007027ED"/>
    <w:rsid w:val="0070633D"/>
    <w:rsid w:val="007124D0"/>
    <w:rsid w:val="00714897"/>
    <w:rsid w:val="00717E8C"/>
    <w:rsid w:val="00726EB2"/>
    <w:rsid w:val="0073100A"/>
    <w:rsid w:val="00732139"/>
    <w:rsid w:val="00746E00"/>
    <w:rsid w:val="00760BCD"/>
    <w:rsid w:val="00766DFE"/>
    <w:rsid w:val="0077695E"/>
    <w:rsid w:val="0077774A"/>
    <w:rsid w:val="00785A51"/>
    <w:rsid w:val="007A0892"/>
    <w:rsid w:val="007A11E5"/>
    <w:rsid w:val="007A2CCA"/>
    <w:rsid w:val="007A53BE"/>
    <w:rsid w:val="007C618D"/>
    <w:rsid w:val="007D493B"/>
    <w:rsid w:val="007D6620"/>
    <w:rsid w:val="007F3611"/>
    <w:rsid w:val="007F71DB"/>
    <w:rsid w:val="008005CD"/>
    <w:rsid w:val="00805B91"/>
    <w:rsid w:val="0082372A"/>
    <w:rsid w:val="00836D33"/>
    <w:rsid w:val="00836DBF"/>
    <w:rsid w:val="00837218"/>
    <w:rsid w:val="0084192B"/>
    <w:rsid w:val="00846B96"/>
    <w:rsid w:val="00846EA8"/>
    <w:rsid w:val="0085289B"/>
    <w:rsid w:val="00852A84"/>
    <w:rsid w:val="00861B74"/>
    <w:rsid w:val="00864012"/>
    <w:rsid w:val="00870359"/>
    <w:rsid w:val="00876703"/>
    <w:rsid w:val="00880D37"/>
    <w:rsid w:val="00882E1B"/>
    <w:rsid w:val="008931B7"/>
    <w:rsid w:val="0089545A"/>
    <w:rsid w:val="008B0566"/>
    <w:rsid w:val="008B61F2"/>
    <w:rsid w:val="008C49B6"/>
    <w:rsid w:val="008C70AF"/>
    <w:rsid w:val="008D744E"/>
    <w:rsid w:val="008E058B"/>
    <w:rsid w:val="008E5EE1"/>
    <w:rsid w:val="008E6235"/>
    <w:rsid w:val="00903406"/>
    <w:rsid w:val="0090692A"/>
    <w:rsid w:val="009101D4"/>
    <w:rsid w:val="00911ACB"/>
    <w:rsid w:val="009304B6"/>
    <w:rsid w:val="00934385"/>
    <w:rsid w:val="009403D1"/>
    <w:rsid w:val="00940E1B"/>
    <w:rsid w:val="00943909"/>
    <w:rsid w:val="009536D7"/>
    <w:rsid w:val="00953EA7"/>
    <w:rsid w:val="00962A95"/>
    <w:rsid w:val="00967419"/>
    <w:rsid w:val="00971B17"/>
    <w:rsid w:val="009903A7"/>
    <w:rsid w:val="0099760E"/>
    <w:rsid w:val="009A2F41"/>
    <w:rsid w:val="009A5E9D"/>
    <w:rsid w:val="009A6665"/>
    <w:rsid w:val="009A7963"/>
    <w:rsid w:val="009B4D12"/>
    <w:rsid w:val="009C67DD"/>
    <w:rsid w:val="009D1B39"/>
    <w:rsid w:val="009D2DA3"/>
    <w:rsid w:val="009D3EFB"/>
    <w:rsid w:val="009D5C66"/>
    <w:rsid w:val="009D7365"/>
    <w:rsid w:val="009E4D13"/>
    <w:rsid w:val="009F2CEE"/>
    <w:rsid w:val="00A054B8"/>
    <w:rsid w:val="00A21BA2"/>
    <w:rsid w:val="00A27033"/>
    <w:rsid w:val="00A33037"/>
    <w:rsid w:val="00A37FCB"/>
    <w:rsid w:val="00A407BC"/>
    <w:rsid w:val="00A47E54"/>
    <w:rsid w:val="00A50EF3"/>
    <w:rsid w:val="00A56272"/>
    <w:rsid w:val="00A67AA1"/>
    <w:rsid w:val="00A74D97"/>
    <w:rsid w:val="00A916D3"/>
    <w:rsid w:val="00A9387A"/>
    <w:rsid w:val="00AA102E"/>
    <w:rsid w:val="00AB28B1"/>
    <w:rsid w:val="00AB2D28"/>
    <w:rsid w:val="00AD10FE"/>
    <w:rsid w:val="00AD2656"/>
    <w:rsid w:val="00AD2DA0"/>
    <w:rsid w:val="00AF13FA"/>
    <w:rsid w:val="00AF24C7"/>
    <w:rsid w:val="00AF2A53"/>
    <w:rsid w:val="00AF600B"/>
    <w:rsid w:val="00B13EFA"/>
    <w:rsid w:val="00B1451A"/>
    <w:rsid w:val="00B230A9"/>
    <w:rsid w:val="00B2454D"/>
    <w:rsid w:val="00B27299"/>
    <w:rsid w:val="00B31618"/>
    <w:rsid w:val="00B32FA7"/>
    <w:rsid w:val="00B3472A"/>
    <w:rsid w:val="00B35DCF"/>
    <w:rsid w:val="00B46290"/>
    <w:rsid w:val="00B46E55"/>
    <w:rsid w:val="00B50349"/>
    <w:rsid w:val="00B53CBE"/>
    <w:rsid w:val="00B53DD6"/>
    <w:rsid w:val="00B554EC"/>
    <w:rsid w:val="00B62F38"/>
    <w:rsid w:val="00B635E2"/>
    <w:rsid w:val="00B656C2"/>
    <w:rsid w:val="00B71B78"/>
    <w:rsid w:val="00B7733C"/>
    <w:rsid w:val="00B823F7"/>
    <w:rsid w:val="00B83E76"/>
    <w:rsid w:val="00B918E1"/>
    <w:rsid w:val="00B92D98"/>
    <w:rsid w:val="00BA34FF"/>
    <w:rsid w:val="00BA616B"/>
    <w:rsid w:val="00BA716E"/>
    <w:rsid w:val="00BB4265"/>
    <w:rsid w:val="00BC42EB"/>
    <w:rsid w:val="00BD5FF3"/>
    <w:rsid w:val="00BD60DE"/>
    <w:rsid w:val="00BD69EB"/>
    <w:rsid w:val="00BE24EC"/>
    <w:rsid w:val="00BE54E2"/>
    <w:rsid w:val="00BE6740"/>
    <w:rsid w:val="00C04086"/>
    <w:rsid w:val="00C137EE"/>
    <w:rsid w:val="00C17292"/>
    <w:rsid w:val="00C178A8"/>
    <w:rsid w:val="00C24122"/>
    <w:rsid w:val="00C27569"/>
    <w:rsid w:val="00C30CAA"/>
    <w:rsid w:val="00C31B65"/>
    <w:rsid w:val="00C33101"/>
    <w:rsid w:val="00C44F32"/>
    <w:rsid w:val="00C56A54"/>
    <w:rsid w:val="00C6047D"/>
    <w:rsid w:val="00C702F1"/>
    <w:rsid w:val="00C77759"/>
    <w:rsid w:val="00C8037B"/>
    <w:rsid w:val="00C811C8"/>
    <w:rsid w:val="00C82065"/>
    <w:rsid w:val="00C86719"/>
    <w:rsid w:val="00C87011"/>
    <w:rsid w:val="00C87852"/>
    <w:rsid w:val="00C97AA7"/>
    <w:rsid w:val="00CB1E06"/>
    <w:rsid w:val="00CB2CEC"/>
    <w:rsid w:val="00CB3458"/>
    <w:rsid w:val="00CC1029"/>
    <w:rsid w:val="00CC3126"/>
    <w:rsid w:val="00CD1E64"/>
    <w:rsid w:val="00CD43E9"/>
    <w:rsid w:val="00CD5DCF"/>
    <w:rsid w:val="00CD730D"/>
    <w:rsid w:val="00CF02CC"/>
    <w:rsid w:val="00CF09CB"/>
    <w:rsid w:val="00CF6B96"/>
    <w:rsid w:val="00D045D8"/>
    <w:rsid w:val="00D152F4"/>
    <w:rsid w:val="00D2201A"/>
    <w:rsid w:val="00D2516A"/>
    <w:rsid w:val="00D26A35"/>
    <w:rsid w:val="00D31DE9"/>
    <w:rsid w:val="00D326DF"/>
    <w:rsid w:val="00D4187C"/>
    <w:rsid w:val="00D443C7"/>
    <w:rsid w:val="00D445BC"/>
    <w:rsid w:val="00D46D65"/>
    <w:rsid w:val="00D504A9"/>
    <w:rsid w:val="00D56F58"/>
    <w:rsid w:val="00D61E1C"/>
    <w:rsid w:val="00D63D6C"/>
    <w:rsid w:val="00D6432C"/>
    <w:rsid w:val="00D656A6"/>
    <w:rsid w:val="00D6600E"/>
    <w:rsid w:val="00D72285"/>
    <w:rsid w:val="00D7607F"/>
    <w:rsid w:val="00D801D1"/>
    <w:rsid w:val="00D81222"/>
    <w:rsid w:val="00D85573"/>
    <w:rsid w:val="00D857B4"/>
    <w:rsid w:val="00D8587F"/>
    <w:rsid w:val="00D8614A"/>
    <w:rsid w:val="00D95164"/>
    <w:rsid w:val="00D975F4"/>
    <w:rsid w:val="00DB0CE2"/>
    <w:rsid w:val="00DB11CC"/>
    <w:rsid w:val="00DE53F8"/>
    <w:rsid w:val="00DF09D1"/>
    <w:rsid w:val="00E04E0A"/>
    <w:rsid w:val="00E06227"/>
    <w:rsid w:val="00E24092"/>
    <w:rsid w:val="00E306C9"/>
    <w:rsid w:val="00E33162"/>
    <w:rsid w:val="00E41AB4"/>
    <w:rsid w:val="00E41B73"/>
    <w:rsid w:val="00E41F1A"/>
    <w:rsid w:val="00E50823"/>
    <w:rsid w:val="00E62BE4"/>
    <w:rsid w:val="00E664BD"/>
    <w:rsid w:val="00E67A74"/>
    <w:rsid w:val="00E7101A"/>
    <w:rsid w:val="00E7360D"/>
    <w:rsid w:val="00E806E9"/>
    <w:rsid w:val="00E858CC"/>
    <w:rsid w:val="00E925D6"/>
    <w:rsid w:val="00E9648E"/>
    <w:rsid w:val="00EB3A59"/>
    <w:rsid w:val="00EE123E"/>
    <w:rsid w:val="00EE4195"/>
    <w:rsid w:val="00EF2AA8"/>
    <w:rsid w:val="00EF3A2C"/>
    <w:rsid w:val="00EF3E8F"/>
    <w:rsid w:val="00EF5606"/>
    <w:rsid w:val="00EF6737"/>
    <w:rsid w:val="00F0358B"/>
    <w:rsid w:val="00F115E4"/>
    <w:rsid w:val="00F14A60"/>
    <w:rsid w:val="00F15643"/>
    <w:rsid w:val="00F205E9"/>
    <w:rsid w:val="00F30661"/>
    <w:rsid w:val="00F4099C"/>
    <w:rsid w:val="00F42436"/>
    <w:rsid w:val="00F43273"/>
    <w:rsid w:val="00F45661"/>
    <w:rsid w:val="00F60E69"/>
    <w:rsid w:val="00F64C3C"/>
    <w:rsid w:val="00F768EA"/>
    <w:rsid w:val="00F76C82"/>
    <w:rsid w:val="00F85683"/>
    <w:rsid w:val="00FA0538"/>
    <w:rsid w:val="00FA3C56"/>
    <w:rsid w:val="00FA53CA"/>
    <w:rsid w:val="00FC5933"/>
    <w:rsid w:val="00FC764C"/>
    <w:rsid w:val="00FD15E1"/>
    <w:rsid w:val="00FE3F65"/>
    <w:rsid w:val="00FE48B5"/>
    <w:rsid w:val="00FF1A51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7352D9"/>
  <w15:chartTrackingRefBased/>
  <w15:docId w15:val="{818C51F0-867B-41ED-9370-2AF8BB78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epoužívat - původní Normální"/>
    <w:qFormat/>
    <w:rsid w:val="002C657D"/>
    <w:pPr>
      <w:spacing w:before="120" w:after="120" w:line="240" w:lineRule="auto"/>
      <w:contextualSpacing/>
      <w:jc w:val="both"/>
    </w:pPr>
    <w:rPr>
      <w:rFonts w:ascii="Calibri" w:eastAsia="Calibri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C657D"/>
    <w:pPr>
      <w:keepNext/>
      <w:keepLines/>
      <w:numPr>
        <w:numId w:val="1"/>
      </w:numPr>
      <w:spacing w:before="240" w:after="48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657D"/>
    <w:pPr>
      <w:keepNext/>
      <w:keepLines/>
      <w:numPr>
        <w:ilvl w:val="1"/>
        <w:numId w:val="1"/>
      </w:numPr>
      <w:spacing w:before="360" w:after="360"/>
      <w:ind w:left="517"/>
      <w:jc w:val="left"/>
      <w:outlineLvl w:val="1"/>
    </w:pPr>
    <w:rPr>
      <w:rFonts w:eastAsia="Times New Roman"/>
      <w:color w:val="365F9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657D"/>
    <w:pPr>
      <w:keepNext/>
      <w:keepLines/>
      <w:numPr>
        <w:ilvl w:val="2"/>
        <w:numId w:val="1"/>
      </w:numPr>
      <w:spacing w:before="360" w:after="240"/>
      <w:contextualSpacing w:val="0"/>
      <w:jc w:val="left"/>
      <w:outlineLvl w:val="2"/>
    </w:pPr>
    <w:rPr>
      <w:rFonts w:eastAsia="Times New Roman"/>
      <w:color w:val="243F6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6AF2"/>
    <w:pPr>
      <w:keepNext/>
      <w:keepLines/>
      <w:numPr>
        <w:ilvl w:val="3"/>
        <w:numId w:val="8"/>
      </w:numPr>
      <w:spacing w:before="40"/>
      <w:outlineLvl w:val="3"/>
    </w:pPr>
    <w:rPr>
      <w:rFonts w:ascii="Cambria" w:eastAsia="Times New Roman" w:hAnsi="Cambria"/>
      <w:i/>
      <w:iCs/>
      <w:color w:val="365F91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AF2"/>
    <w:pPr>
      <w:keepNext/>
      <w:keepLines/>
      <w:numPr>
        <w:ilvl w:val="4"/>
        <w:numId w:val="8"/>
      </w:numPr>
      <w:spacing w:before="40"/>
      <w:outlineLvl w:val="4"/>
    </w:pPr>
    <w:rPr>
      <w:rFonts w:ascii="Cambria" w:eastAsia="Times New Roman" w:hAnsi="Cambria"/>
      <w:color w:val="365F91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6AF2"/>
    <w:pPr>
      <w:keepNext/>
      <w:keepLines/>
      <w:numPr>
        <w:ilvl w:val="5"/>
        <w:numId w:val="8"/>
      </w:numPr>
      <w:spacing w:before="40"/>
      <w:outlineLvl w:val="5"/>
    </w:pPr>
    <w:rPr>
      <w:rFonts w:ascii="Cambria" w:eastAsia="Times New Roman" w:hAnsi="Cambria"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AF2"/>
    <w:pPr>
      <w:keepNext/>
      <w:keepLines/>
      <w:numPr>
        <w:ilvl w:val="6"/>
        <w:numId w:val="8"/>
      </w:numPr>
      <w:spacing w:before="40"/>
      <w:outlineLvl w:val="6"/>
    </w:pPr>
    <w:rPr>
      <w:rFonts w:ascii="Cambria" w:eastAsia="Times New Roman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6AF2"/>
    <w:pPr>
      <w:keepNext/>
      <w:keepLines/>
      <w:numPr>
        <w:ilvl w:val="7"/>
        <w:numId w:val="8"/>
      </w:numPr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6AF2"/>
    <w:pPr>
      <w:keepNext/>
      <w:keepLines/>
      <w:numPr>
        <w:ilvl w:val="8"/>
        <w:numId w:val="8"/>
      </w:numPr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qFormat/>
    <w:rsid w:val="002C657D"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rsid w:val="002C657D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57D"/>
    <w:rPr>
      <w:rFonts w:ascii="Arial" w:eastAsia="Calibri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57D"/>
    <w:pPr>
      <w:tabs>
        <w:tab w:val="center" w:pos="4536"/>
        <w:tab w:val="right" w:pos="9072"/>
      </w:tabs>
    </w:pPr>
    <w:rPr>
      <w:i/>
      <w:sz w:val="18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57D"/>
    <w:rPr>
      <w:rFonts w:ascii="Calibri" w:eastAsia="Calibri" w:hAnsi="Calibri" w:cs="Times New Roman"/>
      <w:i/>
      <w:sz w:val="18"/>
      <w:szCs w:val="20"/>
    </w:rPr>
  </w:style>
  <w:style w:type="paragraph" w:customStyle="1" w:styleId="Styl2">
    <w:name w:val="Styl2"/>
    <w:basedOn w:val="Zhlav"/>
    <w:link w:val="Styl2Char"/>
    <w:qFormat/>
    <w:rsid w:val="002C657D"/>
    <w:pPr>
      <w:ind w:left="360"/>
      <w:jc w:val="right"/>
    </w:pPr>
    <w:rPr>
      <w:rFonts w:ascii="Calibri Light" w:hAnsi="Calibri Light"/>
      <w:i/>
      <w:sz w:val="16"/>
    </w:rPr>
  </w:style>
  <w:style w:type="character" w:customStyle="1" w:styleId="Styl2Char">
    <w:name w:val="Styl2 Char"/>
    <w:link w:val="Styl2"/>
    <w:rsid w:val="002C657D"/>
    <w:rPr>
      <w:rFonts w:ascii="Calibri Light" w:eastAsia="Calibri" w:hAnsi="Calibri Light" w:cs="Times New Roman"/>
      <w:i/>
      <w:sz w:val="16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C657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657D"/>
    <w:rPr>
      <w:rFonts w:ascii="Calibri" w:eastAsia="Times New Roman" w:hAnsi="Calibri" w:cs="Times New Roman"/>
      <w:color w:val="365F9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657D"/>
    <w:rPr>
      <w:rFonts w:ascii="Calibri" w:eastAsia="Times New Roman" w:hAnsi="Calibri" w:cs="Times New Roman"/>
      <w:color w:val="243F60"/>
      <w:sz w:val="24"/>
      <w:szCs w:val="24"/>
    </w:rPr>
  </w:style>
  <w:style w:type="paragraph" w:customStyle="1" w:styleId="NORMLN0">
    <w:name w:val="NORMÁLNÍ"/>
    <w:basedOn w:val="Normln"/>
    <w:link w:val="NORMLNChar"/>
    <w:qFormat/>
    <w:rsid w:val="003E34AC"/>
    <w:pPr>
      <w:ind w:firstLine="567"/>
      <w:contextualSpacing w:val="0"/>
    </w:pPr>
    <w:rPr>
      <w:szCs w:val="20"/>
    </w:rPr>
  </w:style>
  <w:style w:type="character" w:customStyle="1" w:styleId="NORMLNChar">
    <w:name w:val="NORMÁLNÍ Char"/>
    <w:link w:val="NORMLN0"/>
    <w:rsid w:val="003E34AC"/>
    <w:rPr>
      <w:rFonts w:ascii="Calibri" w:eastAsia="Calibri" w:hAnsi="Calibri" w:cs="Times New Roman"/>
      <w:sz w:val="24"/>
      <w:szCs w:val="20"/>
    </w:rPr>
  </w:style>
  <w:style w:type="paragraph" w:customStyle="1" w:styleId="Normlnzprva">
    <w:name w:val="Normální zpráva"/>
    <w:basedOn w:val="Normln"/>
    <w:link w:val="NormlnzprvaChar"/>
    <w:qFormat/>
    <w:rsid w:val="002C657D"/>
    <w:pPr>
      <w:suppressAutoHyphens/>
      <w:spacing w:before="0" w:line="276" w:lineRule="auto"/>
      <w:ind w:firstLine="284"/>
      <w:contextualSpacing w:val="0"/>
    </w:pPr>
  </w:style>
  <w:style w:type="character" w:customStyle="1" w:styleId="NormlnzprvaChar">
    <w:name w:val="Normální zpráva Char"/>
    <w:basedOn w:val="Standardnpsmoodstavce"/>
    <w:link w:val="Normlnzprva"/>
    <w:rsid w:val="002C657D"/>
    <w:rPr>
      <w:rFonts w:ascii="Calibri" w:eastAsia="Calibri" w:hAnsi="Calibri" w:cs="Times New Roman"/>
      <w:sz w:val="24"/>
    </w:rPr>
  </w:style>
  <w:style w:type="paragraph" w:customStyle="1" w:styleId="normlntextvodstavcch">
    <w:name w:val="normální text v odstavcích"/>
    <w:basedOn w:val="Normln"/>
    <w:link w:val="normlntextvodstavcchChar"/>
    <w:qFormat/>
    <w:rsid w:val="002C657D"/>
    <w:pPr>
      <w:ind w:firstLine="567"/>
      <w:contextualSpacing w:val="0"/>
    </w:pPr>
    <w:rPr>
      <w:rFonts w:asciiTheme="minorHAnsi" w:eastAsiaTheme="minorHAnsi" w:hAnsiTheme="minorHAnsi" w:cstheme="minorBidi"/>
    </w:rPr>
  </w:style>
  <w:style w:type="character" w:customStyle="1" w:styleId="normlntextvodstavcchChar">
    <w:name w:val="normální text v odstavcích Char"/>
    <w:basedOn w:val="Standardnpsmoodstavce"/>
    <w:link w:val="normlntextvodstavcch"/>
    <w:rsid w:val="002C657D"/>
    <w:rPr>
      <w:sz w:val="24"/>
    </w:rPr>
  </w:style>
  <w:style w:type="table" w:customStyle="1" w:styleId="Tabulkasmkou4zvraznn111">
    <w:name w:val="Tabulka s mřížkou 4 – zvýraznění 111"/>
    <w:basedOn w:val="Normlntabulka"/>
    <w:uiPriority w:val="49"/>
    <w:rsid w:val="00702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mavtabulkasmkou5zvraznn13">
    <w:name w:val="Tmavá tabulka s mřížkou 5 – zvýraznění 13"/>
    <w:basedOn w:val="Normlntabulka"/>
    <w:uiPriority w:val="50"/>
    <w:rsid w:val="00702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702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702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Odstavecseseznamem">
    <w:name w:val="List Paragraph"/>
    <w:aliases w:val="záložní3"/>
    <w:basedOn w:val="Normln"/>
    <w:uiPriority w:val="34"/>
    <w:qFormat/>
    <w:rsid w:val="004A07BA"/>
    <w:pPr>
      <w:ind w:left="720"/>
    </w:pPr>
  </w:style>
  <w:style w:type="table" w:customStyle="1" w:styleId="Svtlmkatabulky1">
    <w:name w:val="Světlá mřížka tabulky1"/>
    <w:basedOn w:val="Normlntabulka"/>
    <w:uiPriority w:val="40"/>
    <w:rsid w:val="00A938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mavtabulkasmkou5zvraznn61">
    <w:name w:val="Tmavá tabulka s mřížkou 5 – zvýraznění 61"/>
    <w:basedOn w:val="Normlntabulka"/>
    <w:uiPriority w:val="50"/>
    <w:rsid w:val="00A93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636AF2"/>
    <w:rPr>
      <w:rFonts w:ascii="Cambria" w:eastAsia="Times New Roman" w:hAnsi="Cambria" w:cs="Times New Roman"/>
      <w:i/>
      <w:iCs/>
      <w:color w:val="365F91"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AF2"/>
    <w:rPr>
      <w:rFonts w:ascii="Cambria" w:eastAsia="Times New Roman" w:hAnsi="Cambria" w:cs="Times New Roman"/>
      <w:color w:val="365F91"/>
      <w:sz w:val="24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6AF2"/>
    <w:rPr>
      <w:rFonts w:ascii="Cambria" w:eastAsia="Times New Roman" w:hAnsi="Cambria" w:cs="Times New Roman"/>
      <w:color w:val="243F60"/>
      <w:sz w:val="2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6AF2"/>
    <w:rPr>
      <w:rFonts w:ascii="Cambria" w:eastAsia="Times New Roman" w:hAnsi="Cambria" w:cs="Times New Roman"/>
      <w:i/>
      <w:iCs/>
      <w:color w:val="243F60"/>
      <w:sz w:val="2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6AF2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6AF2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Odkaznakoment">
    <w:name w:val="annotation reference"/>
    <w:uiPriority w:val="99"/>
    <w:semiHidden/>
    <w:unhideWhenUsed/>
    <w:rsid w:val="00636A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AF2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AF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A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AF2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36AF2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AF2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AF2"/>
    <w:rPr>
      <w:rFonts w:ascii="Segoe UI" w:eastAsia="Calibri" w:hAnsi="Segoe UI" w:cs="Times New Roman"/>
      <w:sz w:val="18"/>
      <w:szCs w:val="18"/>
    </w:rPr>
  </w:style>
  <w:style w:type="character" w:styleId="Zstupntext">
    <w:name w:val="Placeholder Text"/>
    <w:uiPriority w:val="99"/>
    <w:semiHidden/>
    <w:rsid w:val="00636AF2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636AF2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6AF2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6AF2"/>
    <w:pPr>
      <w:numPr>
        <w:ilvl w:val="1"/>
      </w:numPr>
      <w:spacing w:after="160"/>
    </w:pPr>
    <w:rPr>
      <w:rFonts w:eastAsia="Times New Roman"/>
      <w:color w:val="5A5A5A"/>
      <w:spacing w:val="15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636AF2"/>
    <w:rPr>
      <w:rFonts w:ascii="Calibri" w:eastAsia="Times New Roman" w:hAnsi="Calibri" w:cs="Times New Roman"/>
      <w:color w:val="5A5A5A"/>
      <w:spacing w:val="15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636AF2"/>
    <w:pPr>
      <w:numPr>
        <w:numId w:val="0"/>
      </w:num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36AF2"/>
    <w:pPr>
      <w:tabs>
        <w:tab w:val="left" w:pos="708"/>
        <w:tab w:val="right" w:leader="dot" w:pos="9062"/>
      </w:tabs>
      <w:spacing w:after="100"/>
      <w:ind w:left="709" w:hanging="440"/>
      <w:jc w:val="left"/>
    </w:pPr>
  </w:style>
  <w:style w:type="paragraph" w:styleId="Obsah2">
    <w:name w:val="toc 2"/>
    <w:basedOn w:val="Normln"/>
    <w:next w:val="Normln"/>
    <w:autoRedefine/>
    <w:uiPriority w:val="39"/>
    <w:unhideWhenUsed/>
    <w:rsid w:val="00636AF2"/>
    <w:pPr>
      <w:tabs>
        <w:tab w:val="left" w:pos="880"/>
        <w:tab w:val="right" w:leader="dot" w:pos="9062"/>
      </w:tabs>
      <w:spacing w:after="100"/>
      <w:ind w:left="708" w:hanging="488"/>
      <w:jc w:val="left"/>
    </w:pPr>
  </w:style>
  <w:style w:type="character" w:styleId="Hypertextovodkaz">
    <w:name w:val="Hyperlink"/>
    <w:uiPriority w:val="99"/>
    <w:unhideWhenUsed/>
    <w:rsid w:val="00636AF2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636AF2"/>
    <w:rPr>
      <w:color w:val="954F72"/>
      <w:u w:val="single"/>
    </w:rPr>
  </w:style>
  <w:style w:type="paragraph" w:customStyle="1" w:styleId="font5">
    <w:name w:val="font5"/>
    <w:basedOn w:val="Normln"/>
    <w:rsid w:val="00636AF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636AF2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xl65">
    <w:name w:val="xl65"/>
    <w:basedOn w:val="Normln"/>
    <w:rsid w:val="00636AF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6">
    <w:name w:val="xl66"/>
    <w:basedOn w:val="Normln"/>
    <w:rsid w:val="00636AF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7">
    <w:name w:val="xl67"/>
    <w:basedOn w:val="Normln"/>
    <w:rsid w:val="00636AF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636AF2"/>
    <w:pP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color w:val="000000"/>
      <w:sz w:val="16"/>
      <w:szCs w:val="16"/>
      <w:lang w:eastAsia="cs-CZ"/>
    </w:rPr>
  </w:style>
  <w:style w:type="paragraph" w:customStyle="1" w:styleId="xl69">
    <w:name w:val="xl69"/>
    <w:basedOn w:val="Normln"/>
    <w:rsid w:val="00636AF2"/>
    <w:pPr>
      <w:spacing w:before="100" w:beforeAutospacing="1" w:after="100" w:afterAutospacing="1"/>
      <w:textAlignment w:val="center"/>
    </w:pPr>
    <w:rPr>
      <w:rFonts w:eastAsia="Times New Roman" w:cs="Arial"/>
      <w:b/>
      <w:bCs/>
      <w:i/>
      <w:iCs/>
      <w:color w:val="000000"/>
      <w:sz w:val="16"/>
      <w:szCs w:val="16"/>
      <w:lang w:eastAsia="cs-CZ"/>
    </w:rPr>
  </w:style>
  <w:style w:type="paragraph" w:customStyle="1" w:styleId="xl70">
    <w:name w:val="xl70"/>
    <w:basedOn w:val="Normln"/>
    <w:rsid w:val="00636AF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6AF2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6AF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636AF2"/>
    <w:rPr>
      <w:vertAlign w:val="superscript"/>
    </w:rPr>
  </w:style>
  <w:style w:type="paragraph" w:customStyle="1" w:styleId="xl71">
    <w:name w:val="xl71"/>
    <w:basedOn w:val="Normln"/>
    <w:rsid w:val="00636AF2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2">
    <w:name w:val="xl72"/>
    <w:basedOn w:val="Normln"/>
    <w:rsid w:val="00636AF2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636AF2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4">
    <w:name w:val="xl74"/>
    <w:basedOn w:val="Normln"/>
    <w:rsid w:val="00636AF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5">
    <w:name w:val="xl75"/>
    <w:basedOn w:val="Normln"/>
    <w:rsid w:val="00636AF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6">
    <w:name w:val="xl76"/>
    <w:basedOn w:val="Normln"/>
    <w:rsid w:val="00636AF2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636AF2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table" w:customStyle="1" w:styleId="Tabulkasmkou4zvraznn61">
    <w:name w:val="Tabulka s mřížkou 4 – zvýraznění 61"/>
    <w:basedOn w:val="Normlntabulka"/>
    <w:uiPriority w:val="4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xl78">
    <w:name w:val="xl78"/>
    <w:basedOn w:val="Normln"/>
    <w:rsid w:val="00636AF2"/>
    <w:pPr>
      <w:pBdr>
        <w:top w:val="single" w:sz="8" w:space="0" w:color="C4D79B"/>
        <w:bottom w:val="single" w:sz="4" w:space="0" w:color="A9D08E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79">
    <w:name w:val="xl79"/>
    <w:basedOn w:val="Normln"/>
    <w:rsid w:val="00636AF2"/>
    <w:pPr>
      <w:pBdr>
        <w:top w:val="single" w:sz="4" w:space="0" w:color="A9D08E"/>
        <w:bottom w:val="single" w:sz="4" w:space="0" w:color="A9D08E"/>
      </w:pBdr>
      <w:shd w:val="clear" w:color="70AD47" w:fill="70AD47"/>
      <w:spacing w:before="100" w:beforeAutospacing="1" w:after="100" w:afterAutospacing="1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636AF2"/>
    <w:pPr>
      <w:pBdr>
        <w:top w:val="single" w:sz="4" w:space="0" w:color="FF0000"/>
        <w:left w:val="single" w:sz="4" w:space="0" w:color="FF0000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1">
    <w:name w:val="xl81"/>
    <w:basedOn w:val="Normln"/>
    <w:rsid w:val="00636AF2"/>
    <w:pPr>
      <w:pBdr>
        <w:top w:val="single" w:sz="4" w:space="0" w:color="FF0000"/>
      </w:pBdr>
      <w:spacing w:before="100" w:beforeAutospacing="1" w:after="100" w:afterAutospacing="1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2">
    <w:name w:val="xl82"/>
    <w:basedOn w:val="Normln"/>
    <w:rsid w:val="00636AF2"/>
    <w:pPr>
      <w:pBdr>
        <w:top w:val="single" w:sz="4" w:space="0" w:color="FF0000"/>
      </w:pBdr>
      <w:spacing w:before="100" w:beforeAutospacing="1" w:after="100" w:afterAutospacing="1"/>
      <w:jc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3">
    <w:name w:val="xl83"/>
    <w:basedOn w:val="Normln"/>
    <w:rsid w:val="00636AF2"/>
    <w:pPr>
      <w:pBdr>
        <w:top w:val="single" w:sz="4" w:space="0" w:color="FF0000"/>
        <w:right w:val="single" w:sz="4" w:space="0" w:color="FF0000"/>
      </w:pBdr>
      <w:spacing w:before="100" w:beforeAutospacing="1" w:after="100" w:afterAutospacing="1"/>
      <w:jc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4">
    <w:name w:val="xl84"/>
    <w:basedOn w:val="Normln"/>
    <w:rsid w:val="00636AF2"/>
    <w:pPr>
      <w:pBdr>
        <w:left w:val="single" w:sz="4" w:space="0" w:color="FF0000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5">
    <w:name w:val="xl85"/>
    <w:basedOn w:val="Normln"/>
    <w:rsid w:val="00636AF2"/>
    <w:pPr>
      <w:pBdr>
        <w:right w:val="single" w:sz="4" w:space="0" w:color="FF0000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6">
    <w:name w:val="xl86"/>
    <w:basedOn w:val="Normln"/>
    <w:rsid w:val="00636AF2"/>
    <w:pPr>
      <w:pBdr>
        <w:left w:val="single" w:sz="4" w:space="0" w:color="FF0000"/>
        <w:bottom w:val="single" w:sz="4" w:space="0" w:color="FF0000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7">
    <w:name w:val="xl87"/>
    <w:basedOn w:val="Normln"/>
    <w:rsid w:val="00636AF2"/>
    <w:pPr>
      <w:pBdr>
        <w:bottom w:val="single" w:sz="4" w:space="0" w:color="FF0000"/>
      </w:pBdr>
      <w:spacing w:before="100" w:beforeAutospacing="1" w:after="100" w:afterAutospacing="1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8">
    <w:name w:val="xl88"/>
    <w:basedOn w:val="Normln"/>
    <w:rsid w:val="00636AF2"/>
    <w:pPr>
      <w:pBdr>
        <w:bottom w:val="single" w:sz="4" w:space="0" w:color="FF0000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89">
    <w:name w:val="xl89"/>
    <w:basedOn w:val="Normln"/>
    <w:rsid w:val="00636AF2"/>
    <w:pPr>
      <w:pBdr>
        <w:bottom w:val="single" w:sz="4" w:space="0" w:color="FF0000"/>
        <w:right w:val="single" w:sz="4" w:space="0" w:color="FF0000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TABULKYCALIBRI">
    <w:name w:val="TABULKY_CALIBRI"/>
    <w:basedOn w:val="Odstavecseseznamem"/>
    <w:rsid w:val="00636AF2"/>
    <w:pPr>
      <w:ind w:left="0"/>
      <w:contextualSpacing w:val="0"/>
    </w:pPr>
    <w:rPr>
      <w:rFonts w:cs="Arial"/>
      <w:sz w:val="20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636AF2"/>
    <w:pPr>
      <w:tabs>
        <w:tab w:val="left" w:pos="1320"/>
        <w:tab w:val="right" w:leader="dot" w:pos="9060"/>
      </w:tabs>
      <w:spacing w:after="100"/>
      <w:ind w:left="1320" w:hanging="880"/>
      <w:jc w:val="left"/>
    </w:pPr>
  </w:style>
  <w:style w:type="character" w:customStyle="1" w:styleId="apple-converted-space">
    <w:name w:val="apple-converted-space"/>
    <w:rsid w:val="00636AF2"/>
  </w:style>
  <w:style w:type="character" w:customStyle="1" w:styleId="h1a2">
    <w:name w:val="h1a2"/>
    <w:rsid w:val="00636AF2"/>
    <w:rPr>
      <w:vanish w:val="0"/>
      <w:webHidden w:val="0"/>
      <w:sz w:val="24"/>
      <w:szCs w:val="24"/>
      <w:specVanish w:val="0"/>
    </w:rPr>
  </w:style>
  <w:style w:type="table" w:customStyle="1" w:styleId="Tabulkasmkou4zvraznn11">
    <w:name w:val="Tabulka s mřížkou 4 – zvýraznění 11"/>
    <w:basedOn w:val="Normlntabulka"/>
    <w:uiPriority w:val="4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lnweb">
    <w:name w:val="Normal (Web)"/>
    <w:basedOn w:val="Normln"/>
    <w:uiPriority w:val="99"/>
    <w:semiHidden/>
    <w:unhideWhenUsed/>
    <w:rsid w:val="00636AF2"/>
    <w:pPr>
      <w:spacing w:after="150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uiPriority w:val="22"/>
    <w:qFormat/>
    <w:rsid w:val="00636AF2"/>
    <w:rPr>
      <w:b/>
      <w:bCs/>
    </w:rPr>
  </w:style>
  <w:style w:type="character" w:styleId="Zdraznn">
    <w:name w:val="Emphasis"/>
    <w:uiPriority w:val="20"/>
    <w:qFormat/>
    <w:rsid w:val="00636AF2"/>
    <w:rPr>
      <w:b/>
      <w:bCs/>
      <w:i w:val="0"/>
      <w:iCs w:val="0"/>
    </w:rPr>
  </w:style>
  <w:style w:type="character" w:customStyle="1" w:styleId="st1">
    <w:name w:val="st1"/>
    <w:rsid w:val="00636AF2"/>
  </w:style>
  <w:style w:type="table" w:customStyle="1" w:styleId="Tmavtabulkasmkou5zvraznn11">
    <w:name w:val="Tmavá tabulka s mřížkou 5 – zvýraznění 11"/>
    <w:basedOn w:val="Normlntabulka"/>
    <w:uiPriority w:val="50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customStyle="1" w:styleId="Default">
    <w:name w:val="Default"/>
    <w:rsid w:val="00636A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ulkaseznamu3zvraznn51">
    <w:name w:val="Tabulka seznamu 3 – zvýraznění 51"/>
    <w:basedOn w:val="Normlntabulka"/>
    <w:uiPriority w:val="48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xl63">
    <w:name w:val="xl63"/>
    <w:basedOn w:val="Normln"/>
    <w:rsid w:val="00636AF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4">
    <w:name w:val="xl64"/>
    <w:basedOn w:val="Normln"/>
    <w:rsid w:val="00636AF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636AF2"/>
    <w:pPr>
      <w:spacing w:after="100" w:line="259" w:lineRule="auto"/>
      <w:ind w:left="660"/>
    </w:pPr>
    <w:rPr>
      <w:rFonts w:eastAsia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36AF2"/>
    <w:pPr>
      <w:spacing w:after="100" w:line="259" w:lineRule="auto"/>
      <w:ind w:left="880"/>
    </w:pPr>
    <w:rPr>
      <w:rFonts w:eastAsia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36AF2"/>
    <w:pPr>
      <w:spacing w:after="100" w:line="259" w:lineRule="auto"/>
      <w:ind w:left="1100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36AF2"/>
    <w:pPr>
      <w:spacing w:after="100" w:line="259" w:lineRule="auto"/>
      <w:ind w:left="1320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36AF2"/>
    <w:pPr>
      <w:spacing w:after="100" w:line="259" w:lineRule="auto"/>
      <w:ind w:left="1540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36AF2"/>
    <w:pPr>
      <w:spacing w:after="100" w:line="259" w:lineRule="auto"/>
      <w:ind w:left="1760"/>
    </w:pPr>
    <w:rPr>
      <w:rFonts w:eastAsia="Times New Roman"/>
      <w:lang w:eastAsia="cs-CZ"/>
    </w:rPr>
  </w:style>
  <w:style w:type="paragraph" w:styleId="Bezmezer">
    <w:name w:val="No Spacing"/>
    <w:uiPriority w:val="1"/>
    <w:qFormat/>
    <w:rsid w:val="00636AF2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36AF2"/>
    <w:pPr>
      <w:spacing w:before="0" w:after="200"/>
      <w:contextualSpacing w:val="0"/>
      <w:jc w:val="left"/>
    </w:pPr>
    <w:rPr>
      <w:i/>
      <w:iCs/>
      <w:color w:val="1F497D"/>
      <w:sz w:val="1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636AF2"/>
  </w:style>
  <w:style w:type="table" w:styleId="Stednmka1zvraznn6">
    <w:name w:val="Medium Grid 1 Accent 6"/>
    <w:basedOn w:val="Normlntabulka"/>
    <w:uiPriority w:val="67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ednstnovn1zvraznn6">
    <w:name w:val="Medium Shading 1 Accent 6"/>
    <w:basedOn w:val="Normlntabulka"/>
    <w:uiPriority w:val="63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6">
    <w:name w:val="Light List Accent 6"/>
    <w:basedOn w:val="Normlntabulka"/>
    <w:uiPriority w:val="61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mkazvraznn6">
    <w:name w:val="Light Grid Accent 6"/>
    <w:basedOn w:val="Normlntabulka"/>
    <w:uiPriority w:val="62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1">
    <w:name w:val="1"/>
    <w:uiPriority w:val="20"/>
    <w:qFormat/>
    <w:rsid w:val="00636AF2"/>
    <w:pPr>
      <w:spacing w:before="120" w:after="120" w:line="240" w:lineRule="auto"/>
      <w:contextualSpacing/>
      <w:jc w:val="both"/>
    </w:pPr>
    <w:rPr>
      <w:rFonts w:ascii="Calibri" w:eastAsia="Calibri" w:hAnsi="Calibri" w:cs="Times New Roman"/>
      <w:sz w:val="24"/>
    </w:rPr>
  </w:style>
  <w:style w:type="paragraph" w:customStyle="1" w:styleId="2">
    <w:name w:val="2"/>
    <w:uiPriority w:val="20"/>
    <w:qFormat/>
    <w:rsid w:val="00636AF2"/>
    <w:pPr>
      <w:spacing w:before="120" w:after="120" w:line="240" w:lineRule="auto"/>
      <w:contextualSpacing/>
      <w:jc w:val="both"/>
    </w:pPr>
    <w:rPr>
      <w:rFonts w:ascii="Calibri" w:eastAsia="Calibri" w:hAnsi="Calibri" w:cs="Times New Roman"/>
      <w:sz w:val="24"/>
    </w:rPr>
  </w:style>
  <w:style w:type="paragraph" w:customStyle="1" w:styleId="xl125">
    <w:name w:val="xl125"/>
    <w:basedOn w:val="Normln"/>
    <w:rsid w:val="00636AF2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/>
      <w:b/>
      <w:bCs/>
      <w:szCs w:val="24"/>
      <w:lang w:eastAsia="cs-CZ"/>
    </w:rPr>
  </w:style>
  <w:style w:type="paragraph" w:customStyle="1" w:styleId="xl126">
    <w:name w:val="xl126"/>
    <w:basedOn w:val="Normln"/>
    <w:rsid w:val="00636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/>
      <w:b/>
      <w:bCs/>
      <w:szCs w:val="24"/>
      <w:lang w:eastAsia="cs-CZ"/>
    </w:rPr>
  </w:style>
  <w:style w:type="table" w:customStyle="1" w:styleId="Styl1">
    <w:name w:val="Styl1"/>
    <w:basedOn w:val="Normlntabulka"/>
    <w:uiPriority w:val="9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shd w:val="clear" w:color="auto" w:fill="FFFF99"/>
    </w:tcPr>
  </w:style>
  <w:style w:type="paragraph" w:customStyle="1" w:styleId="xl123">
    <w:name w:val="xl123"/>
    <w:basedOn w:val="Normln"/>
    <w:rsid w:val="00636AF2"/>
    <w:pPr>
      <w:shd w:val="clear" w:color="000000" w:fill="FFCCCC"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/>
      <w:b/>
      <w:bCs/>
      <w:szCs w:val="24"/>
      <w:lang w:eastAsia="cs-CZ"/>
    </w:rPr>
  </w:style>
  <w:style w:type="table" w:customStyle="1" w:styleId="Tabulkasmkou3zvraznn61">
    <w:name w:val="Tabulka s mřížkou 3 – zvýraznění 61"/>
    <w:basedOn w:val="Normlntabulka"/>
    <w:uiPriority w:val="48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Tabulkasmkou4zvraznn62">
    <w:name w:val="Tabulka s mřížkou 4 – zvýraznění 62"/>
    <w:basedOn w:val="Normlntabulka"/>
    <w:uiPriority w:val="4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xl127">
    <w:name w:val="xl127"/>
    <w:basedOn w:val="Normln"/>
    <w:rsid w:val="00636AF2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/>
      <w:szCs w:val="24"/>
      <w:lang w:eastAsia="cs-CZ"/>
    </w:rPr>
  </w:style>
  <w:style w:type="paragraph" w:customStyle="1" w:styleId="xl128">
    <w:name w:val="xl128"/>
    <w:basedOn w:val="Normln"/>
    <w:rsid w:val="00636AF2"/>
    <w:pPr>
      <w:pBdr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636AF2"/>
    <w:pPr>
      <w:pBdr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636AF2"/>
    <w:pPr>
      <w:pBdr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636AF2"/>
    <w:pPr>
      <w:pBdr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636AF2"/>
    <w:pPr>
      <w:pBdr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636AF2"/>
    <w:pPr>
      <w:pBdr>
        <w:left w:val="single" w:sz="4" w:space="0" w:color="F4B084"/>
        <w:bottom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636AF2"/>
    <w:pPr>
      <w:pBdr>
        <w:top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lef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35">
    <w:name w:val="xl135"/>
    <w:basedOn w:val="Normln"/>
    <w:rsid w:val="00636AF2"/>
    <w:pPr>
      <w:pBdr>
        <w:top w:val="single" w:sz="4" w:space="0" w:color="F4B084"/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lef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36">
    <w:name w:val="xl136"/>
    <w:basedOn w:val="Normln"/>
    <w:rsid w:val="00636AF2"/>
    <w:pPr>
      <w:pBdr>
        <w:top w:val="single" w:sz="4" w:space="0" w:color="F4B084"/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righ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37">
    <w:name w:val="xl137"/>
    <w:basedOn w:val="Normln"/>
    <w:rsid w:val="00636AF2"/>
    <w:pPr>
      <w:pBdr>
        <w:top w:val="single" w:sz="4" w:space="0" w:color="F4B084"/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righ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38">
    <w:name w:val="xl138"/>
    <w:basedOn w:val="Normln"/>
    <w:rsid w:val="00636AF2"/>
    <w:pPr>
      <w:pBdr>
        <w:top w:val="single" w:sz="4" w:space="0" w:color="F4B084"/>
        <w:left w:val="single" w:sz="4" w:space="0" w:color="F4B084"/>
        <w:bottom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righ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39">
    <w:name w:val="xl139"/>
    <w:basedOn w:val="Normln"/>
    <w:rsid w:val="00636AF2"/>
    <w:pPr>
      <w:pBdr>
        <w:top w:val="single" w:sz="4" w:space="0" w:color="F4B084"/>
        <w:left w:val="single" w:sz="4" w:space="0" w:color="F4B084"/>
        <w:bottom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40">
    <w:name w:val="xl140"/>
    <w:basedOn w:val="Normln"/>
    <w:rsid w:val="00636AF2"/>
    <w:pPr>
      <w:pBdr>
        <w:top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lef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41">
    <w:name w:val="xl141"/>
    <w:basedOn w:val="Normln"/>
    <w:rsid w:val="00636AF2"/>
    <w:pPr>
      <w:pBdr>
        <w:top w:val="single" w:sz="4" w:space="0" w:color="F4B084"/>
        <w:left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lef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42">
    <w:name w:val="xl142"/>
    <w:basedOn w:val="Normln"/>
    <w:rsid w:val="00636AF2"/>
    <w:pPr>
      <w:pBdr>
        <w:top w:val="single" w:sz="4" w:space="0" w:color="F4B084"/>
        <w:left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righ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43">
    <w:name w:val="xl143"/>
    <w:basedOn w:val="Normln"/>
    <w:rsid w:val="00636AF2"/>
    <w:pPr>
      <w:pBdr>
        <w:top w:val="single" w:sz="4" w:space="0" w:color="F4B084"/>
        <w:left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righ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44">
    <w:name w:val="xl144"/>
    <w:basedOn w:val="Normln"/>
    <w:rsid w:val="00636AF2"/>
    <w:pPr>
      <w:pBdr>
        <w:top w:val="single" w:sz="4" w:space="0" w:color="F4B084"/>
        <w:left w:val="single" w:sz="4" w:space="0" w:color="F4B084"/>
        <w:right w:val="single" w:sz="4" w:space="0" w:color="F4B084"/>
      </w:pBdr>
      <w:spacing w:before="100" w:beforeAutospacing="1" w:after="100" w:afterAutospacing="1"/>
      <w:contextualSpacing w:val="0"/>
      <w:jc w:val="right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xl145">
    <w:name w:val="xl145"/>
    <w:basedOn w:val="Normln"/>
    <w:rsid w:val="00636AF2"/>
    <w:pPr>
      <w:pBdr>
        <w:top w:val="single" w:sz="4" w:space="0" w:color="F4B084"/>
        <w:left w:val="single" w:sz="4" w:space="0" w:color="F4B084"/>
      </w:pBdr>
      <w:spacing w:before="100" w:beforeAutospacing="1" w:after="100" w:afterAutospacing="1"/>
      <w:contextualSpacing w:val="0"/>
      <w:jc w:val="center"/>
      <w:textAlignment w:val="center"/>
    </w:pPr>
    <w:rPr>
      <w:rFonts w:ascii="Calibri Light" w:eastAsia="Times New Roman" w:hAnsi="Calibri Light"/>
      <w:sz w:val="18"/>
      <w:szCs w:val="18"/>
      <w:lang w:eastAsia="cs-CZ"/>
    </w:rPr>
  </w:style>
  <w:style w:type="paragraph" w:customStyle="1" w:styleId="1Nadpis">
    <w:name w:val="1. Nadpis"/>
    <w:basedOn w:val="NORMLN0"/>
    <w:link w:val="1NadpisChar"/>
    <w:rsid w:val="00636AF2"/>
    <w:pPr>
      <w:numPr>
        <w:numId w:val="9"/>
      </w:numPr>
      <w:spacing w:before="320" w:after="320"/>
      <w:ind w:left="1281" w:hanging="357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1NadpisChar">
    <w:name w:val="1. Nadpis Char"/>
    <w:link w:val="1Nadpis"/>
    <w:rsid w:val="00636AF2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Normln"/>
    <w:rsid w:val="00636AF2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/>
      <w:szCs w:val="24"/>
      <w:lang w:eastAsia="cs-CZ"/>
    </w:rPr>
  </w:style>
  <w:style w:type="table" w:customStyle="1" w:styleId="Tmavtabulkasmkou5zvraznn31">
    <w:name w:val="Tmavá tabulka s mřížkou 5 – zvýraznění 31"/>
    <w:basedOn w:val="Normlntabulka"/>
    <w:uiPriority w:val="50"/>
    <w:rsid w:val="006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ulkasmkou4zvraznn63">
    <w:name w:val="Tabulka s mřížkou 4 – zvýraznění 63"/>
    <w:basedOn w:val="Normlntabulka"/>
    <w:uiPriority w:val="4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36AF2"/>
    <w:pPr>
      <w:spacing w:before="0" w:after="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36AF2"/>
    <w:rPr>
      <w:rFonts w:ascii="Tahoma" w:eastAsia="Calibri" w:hAnsi="Tahoma" w:cs="Times New Roman"/>
      <w:sz w:val="16"/>
      <w:szCs w:val="16"/>
    </w:rPr>
  </w:style>
  <w:style w:type="table" w:customStyle="1" w:styleId="Tmavtabulkasmkou5zvraznn41">
    <w:name w:val="Tmavá tabulka s mřížkou 5 – zvýraznění 41"/>
    <w:basedOn w:val="Normlntabulka"/>
    <w:uiPriority w:val="50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mavtabulkasmkou5zvraznn12">
    <w:name w:val="Tmavá tabulka s mřížkou 5 – zvýraznění 12"/>
    <w:basedOn w:val="Normlntabulka"/>
    <w:uiPriority w:val="50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mavtabulkasmkou5zvraznn32">
    <w:name w:val="Tmavá tabulka s mřížkou 5 – zvýraznění 32"/>
    <w:basedOn w:val="Normlntabulka"/>
    <w:uiPriority w:val="50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mavtabulkasmkou5zvraznn62">
    <w:name w:val="Tmavá tabulka s mřížkou 5 – zvýraznění 62"/>
    <w:basedOn w:val="Normlntabulka"/>
    <w:uiPriority w:val="50"/>
    <w:rsid w:val="006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Tabulkasmkou4zvraznn4">
    <w:name w:val="Grid Table 4 Accent 4"/>
    <w:basedOn w:val="Normlntabulka"/>
    <w:uiPriority w:val="49"/>
    <w:rsid w:val="00EF2AA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26" Type="http://schemas.openxmlformats.org/officeDocument/2006/relationships/chart" Target="charts/chart5.xml"/><Relationship Id="rId39" Type="http://schemas.openxmlformats.org/officeDocument/2006/relationships/package" Target="embeddings/List_aplikace_Microsoft_Excel7.xlsx"/><Relationship Id="rId21" Type="http://schemas.openxmlformats.org/officeDocument/2006/relationships/footer" Target="footer3.xml"/><Relationship Id="rId34" Type="http://schemas.openxmlformats.org/officeDocument/2006/relationships/chart" Target="charts/chart7.xml"/><Relationship Id="rId42" Type="http://schemas.openxmlformats.org/officeDocument/2006/relationships/chart" Target="charts/chart9.xml"/><Relationship Id="rId47" Type="http://schemas.openxmlformats.org/officeDocument/2006/relationships/chart" Target="charts/chart12.xml"/><Relationship Id="rId50" Type="http://schemas.openxmlformats.org/officeDocument/2006/relationships/footer" Target="footer8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package" Target="embeddings/List_aplikace_Microsoft_Excel1.xlsx"/><Relationship Id="rId25" Type="http://schemas.openxmlformats.org/officeDocument/2006/relationships/package" Target="embeddings/List_aplikace_Microsoft_Excel3.xlsx"/><Relationship Id="rId33" Type="http://schemas.openxmlformats.org/officeDocument/2006/relationships/chart" Target="charts/chart6.xml"/><Relationship Id="rId38" Type="http://schemas.openxmlformats.org/officeDocument/2006/relationships/image" Target="media/image9.emf"/><Relationship Id="rId46" Type="http://schemas.openxmlformats.org/officeDocument/2006/relationships/package" Target="embeddings/List_aplikace_Microsoft_Excel8.xls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2.xml"/><Relationship Id="rId29" Type="http://schemas.openxmlformats.org/officeDocument/2006/relationships/image" Target="media/image7.emf"/><Relationship Id="rId41" Type="http://schemas.openxmlformats.org/officeDocument/2006/relationships/footer" Target="footer7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32" Type="http://schemas.openxmlformats.org/officeDocument/2006/relationships/footer" Target="footer5.xml"/><Relationship Id="rId37" Type="http://schemas.openxmlformats.org/officeDocument/2006/relationships/chart" Target="charts/chart8.xml"/><Relationship Id="rId40" Type="http://schemas.openxmlformats.org/officeDocument/2006/relationships/footer" Target="footer6.xml"/><Relationship Id="rId45" Type="http://schemas.openxmlformats.org/officeDocument/2006/relationships/image" Target="media/image10.emf"/><Relationship Id="rId53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4.xml"/><Relationship Id="rId28" Type="http://schemas.openxmlformats.org/officeDocument/2006/relationships/package" Target="embeddings/List_aplikace_Microsoft_Excel4.xlsx"/><Relationship Id="rId36" Type="http://schemas.openxmlformats.org/officeDocument/2006/relationships/package" Target="embeddings/List_aplikace_Microsoft_Excel6.xlsx"/><Relationship Id="rId49" Type="http://schemas.openxmlformats.org/officeDocument/2006/relationships/package" Target="embeddings/List_aplikace_Microsoft_Excel9.xlsx"/><Relationship Id="rId10" Type="http://schemas.openxmlformats.org/officeDocument/2006/relationships/header" Target="header1.xml"/><Relationship Id="rId19" Type="http://schemas.openxmlformats.org/officeDocument/2006/relationships/package" Target="embeddings/List_aplikace_Microsoft_Excel2.xlsx"/><Relationship Id="rId31" Type="http://schemas.openxmlformats.org/officeDocument/2006/relationships/footer" Target="footer4.xml"/><Relationship Id="rId44" Type="http://schemas.openxmlformats.org/officeDocument/2006/relationships/chart" Target="charts/chart11.xml"/><Relationship Id="rId52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package" Target="embeddings/List_aplikace_Microsoft_Excel.xlsx"/><Relationship Id="rId22" Type="http://schemas.openxmlformats.org/officeDocument/2006/relationships/chart" Target="charts/chart3.xml"/><Relationship Id="rId27" Type="http://schemas.openxmlformats.org/officeDocument/2006/relationships/image" Target="media/image6.emf"/><Relationship Id="rId30" Type="http://schemas.openxmlformats.org/officeDocument/2006/relationships/package" Target="embeddings/List_aplikace_Microsoft_Excel5.xlsx"/><Relationship Id="rId35" Type="http://schemas.openxmlformats.org/officeDocument/2006/relationships/image" Target="media/image8.emf"/><Relationship Id="rId43" Type="http://schemas.openxmlformats.org/officeDocument/2006/relationships/chart" Target="charts/chart10.xml"/><Relationship Id="rId48" Type="http://schemas.openxmlformats.org/officeDocument/2006/relationships/image" Target="media/image11.emf"/><Relationship Id="rId8" Type="http://schemas.openxmlformats.org/officeDocument/2006/relationships/image" Target="media/image1.png"/><Relationship Id="rId51" Type="http://schemas.openxmlformats.org/officeDocument/2006/relationships/footer" Target="footer9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325\Documents\!!!_Praca_doma\BM_2018\4_psan&#237;%20zpr&#225;v\souhrnn&#225;%20zpr&#225;va\V_pitna_grafy_tabulky_obnova_ztraty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4325\Documents\!!!_Praca_doma\BM_2018\4_psan&#237;%20zpr&#225;v\souhrnn&#225;%20zpr&#225;va\PROV_pitna_grafy_tabulk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325\Documents\!!!_Praca_doma\BM_2018\4_psan&#237;%20zpr&#225;v\souhrnn&#225;%20zpr&#225;va\PROV_ODPAD_grafy_tabulky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10004325\Documents\!!!_Praca_doma\BM_2018\4_psan&#237;%20zpr&#225;v\souhrnn&#225;%20zpr&#225;va\PROV_ODPAD_grafy_tabulky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10004325\Documents\!!!_Praca_doma\BM_2018\4_psan&#237;%20zpr&#225;v\souhrnn&#225;%20zpr&#225;va\PROV_ODPAD_grafy_tabulk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rv-fst\fs\15161\__BM_2018\4_psan&#237;%20zpr&#225;v\souhrnn&#225;%20zpr&#225;va\V_pitna_grafy_tabulky_obnova_ztrat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st\fs\15161\__BM_2018\4_psan&#237;%20zpr&#225;v\souhrnn&#225;%20zpr&#225;va\V_pitna_grafy_tabulky_obnova_ztrat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325\Documents\!!!_Praca_doma\BM_2018\4_psan&#237;%20zpr&#225;v\souhrnn&#225;%20zpr&#225;va\V_ODPAD_grafy_tabulky_obnova_I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srv-fst\fs\15161\__BM_2018\4_psan&#237;%20zpr&#225;v\souhrnn&#225;%20zpr&#225;va\V_ODPAD_grafy_tabulky_obnova_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srv-fst\fs\15161\__BM_2018\4_psan&#237;%20zpr&#225;v\souhrnn&#225;%20zpr&#225;va\V_ODPAD_grafy_tabulky_obnova_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325\Documents\!!!_Praca_doma\BM_2018\4_psan&#237;%20zpr&#225;v\souhrnn&#225;%20zpr&#225;va\PROV_pitna_grafy_tabulky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10004325\Documents\!!!_Praca_doma\BM_2018\4_psan&#237;%20zpr&#225;v\souhrnn&#225;%20zpr&#225;va\PROV_pitna_grafy_tabulky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325\Documents\!!!_Praca_doma\BM_2018\4_psan&#237;%20zpr&#225;v\souhrnn&#225;%20zpr&#225;va\PROV_pitna_grafy_tabulk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400" b="1" i="0" cap="small" baseline="0">
                <a:solidFill>
                  <a:srgbClr val="002060"/>
                </a:solidFill>
                <a:latin typeface="Calibri Light" pitchFamily="34" charset="0"/>
              </a:defRPr>
            </a:pPr>
            <a:r>
              <a:rPr lang="sk-SK" sz="1400" b="1" i="0" cap="small" baseline="0">
                <a:solidFill>
                  <a:srgbClr val="002060"/>
                </a:solidFill>
                <a:latin typeface="Calibri Light" pitchFamily="34" charset="0"/>
              </a:rPr>
              <a:t>Benchmarking vlastnictkých subjektů 2018 - pitná voda</a:t>
            </a:r>
          </a:p>
          <a:p>
            <a:pPr algn="l">
              <a:defRPr sz="1400" b="1" i="0" cap="small" baseline="0">
                <a:solidFill>
                  <a:srgbClr val="002060"/>
                </a:solidFill>
                <a:latin typeface="Calibri Light" pitchFamily="34" charset="0"/>
              </a:defRPr>
            </a:pPr>
            <a:r>
              <a:rPr lang="sk-SK" sz="1400" b="1" i="0" cap="small" baseline="0">
                <a:solidFill>
                  <a:srgbClr val="002060"/>
                </a:solidFill>
                <a:latin typeface="Calibri Light" pitchFamily="34" charset="0"/>
              </a:rPr>
              <a:t>Výskyt alespoň jedné anomálie podle množství fakturované vody</a:t>
            </a:r>
          </a:p>
        </c:rich>
      </c:tx>
      <c:layout>
        <c:manualLayout>
          <c:xMode val="edge"/>
          <c:yMode val="edge"/>
          <c:x val="7.0905944151346212E-2"/>
          <c:y val="1.644871010363773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2152288847025323"/>
          <c:y val="0.14463501468257062"/>
          <c:w val="0.57877280897306438"/>
          <c:h val="0.6952894656011287"/>
        </c:manualLayout>
      </c:layout>
      <c:pieChart>
        <c:varyColors val="1"/>
        <c:ser>
          <c:idx val="1"/>
          <c:order val="0"/>
          <c:dPt>
            <c:idx val="0"/>
            <c:bubble3D val="0"/>
            <c:explosion val="7"/>
            <c:spPr>
              <a:solidFill>
                <a:srgbClr val="C183DD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AB7E-4E6B-84F1-BB25774B63D1}"/>
              </c:ext>
            </c:extLst>
          </c:dPt>
          <c:dPt>
            <c:idx val="1"/>
            <c:bubble3D val="0"/>
            <c:spPr>
              <a:solidFill>
                <a:srgbClr val="5B9BD5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AB7E-4E6B-84F1-BB25774B63D1}"/>
              </c:ext>
            </c:extLst>
          </c:dPt>
          <c:dLbls>
            <c:dLbl>
              <c:idx val="0"/>
              <c:layout>
                <c:manualLayout>
                  <c:x val="-0.10976099962765584"/>
                  <c:y val="-0.31265186454253002"/>
                </c:manualLayout>
              </c:layout>
              <c:tx>
                <c:rich>
                  <a:bodyPr/>
                  <a:lstStyle/>
                  <a:p>
                    <a:fld id="{D0B300D9-2A52-4082-9982-CC12E6FF0FD3}" type="VALUE">
                      <a:rPr lang="en-US" b="1"/>
                      <a:pPr/>
                      <a:t>[HODNOTA]</a:t>
                    </a:fld>
                    <a:r>
                      <a:rPr lang="en-US" b="1"/>
                      <a:t> MIL.</a:t>
                    </a:r>
                    <a:r>
                      <a:rPr lang="en-US" b="1" baseline="0"/>
                      <a:t> M</a:t>
                    </a:r>
                    <a:r>
                      <a:rPr lang="en-US" b="1" baseline="30000"/>
                      <a:t>3</a:t>
                    </a:r>
                    <a:r>
                      <a:rPr lang="en-US" b="1" baseline="0"/>
                      <a:t>; </a:t>
                    </a:r>
                    <a:fld id="{AD18EF79-F0B7-45B4-AD3B-827CE010B502}" type="PERCENTAGE">
                      <a:rPr lang="en-US" b="1" baseline="0"/>
                      <a:pPr/>
                      <a:t>[PROCENTO]</a:t>
                    </a:fld>
                    <a:endParaRPr lang="en-US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054577348685685"/>
                      <c:h val="0.149271872339635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B7E-4E6B-84F1-BB25774B63D1}"/>
                </c:ext>
              </c:extLst>
            </c:dLbl>
            <c:dLbl>
              <c:idx val="1"/>
              <c:layout>
                <c:manualLayout>
                  <c:x val="0.12992933430009565"/>
                  <c:y val="0.18195657514430355"/>
                </c:manualLayout>
              </c:layout>
              <c:tx>
                <c:rich>
                  <a:bodyPr/>
                  <a:lstStyle/>
                  <a:p>
                    <a:fld id="{D0B300D9-2A52-4082-9982-CC12E6FF0FD3}" type="VALUE">
                      <a:rPr lang="en-US" b="1"/>
                      <a:pPr/>
                      <a:t>[HODNOTA]</a:t>
                    </a:fld>
                    <a:r>
                      <a:rPr lang="en-US" b="1"/>
                      <a:t> MIL.</a:t>
                    </a:r>
                    <a:r>
                      <a:rPr lang="en-US" b="1" baseline="0"/>
                      <a:t> M</a:t>
                    </a:r>
                    <a:r>
                      <a:rPr lang="en-US" b="1" baseline="30000"/>
                      <a:t>3</a:t>
                    </a:r>
                    <a:r>
                      <a:rPr lang="en-US" b="1" baseline="0"/>
                      <a:t>; </a:t>
                    </a:r>
                    <a:fld id="{AD18EF79-F0B7-45B4-AD3B-827CE010B502}" type="PERCENTAGE">
                      <a:rPr lang="en-US" b="1" baseline="0"/>
                      <a:pPr/>
                      <a:t>[PROCENTO]</a:t>
                    </a:fld>
                    <a:endParaRPr lang="en-US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51842799704151"/>
                      <c:h val="0.123974243031005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B7E-4E6B-84F1-BB25774B63D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noAutofit/>
              </a:bodyPr>
              <a:lstStyle/>
              <a:p>
                <a:pPr>
                  <a:defRPr b="1">
                    <a:solidFill>
                      <a:srgbClr val="00206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(grafy_anomalie!$R$23,grafy_anomalie!$S$23)</c:f>
              <c:strCache>
                <c:ptCount val="2"/>
                <c:pt idx="0">
                  <c:v>objem vody fakturované v mil. m3 s nejméně jednou anomálii</c:v>
                </c:pt>
                <c:pt idx="1">
                  <c:v>objem vody fakturované bez anomálie ve skupině</c:v>
                </c:pt>
              </c:strCache>
            </c:strRef>
          </c:cat>
          <c:val>
            <c:numRef>
              <c:f>(grafy_anomalie!$R$30,grafy_anomalie!$S$30)</c:f>
              <c:numCache>
                <c:formatCode>General</c:formatCode>
                <c:ptCount val="2"/>
                <c:pt idx="0">
                  <c:v>395.2</c:v>
                </c:pt>
                <c:pt idx="1">
                  <c:v>81.69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7E-4E6B-84F1-BB25774B6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1.7277912729269696E-2"/>
          <c:y val="0.88459375586689248"/>
          <c:w val="0.97938694202277921"/>
          <c:h val="8.2377493789422149E-2"/>
        </c:manualLayout>
      </c:layout>
      <c:overlay val="0"/>
      <c:txPr>
        <a:bodyPr/>
        <a:lstStyle/>
        <a:p>
          <a:pPr rtl="0">
            <a:defRPr sz="1100" b="1" cap="small" baseline="0">
              <a:solidFill>
                <a:srgbClr val="002060"/>
              </a:solidFill>
              <a:latin typeface="+mj-lt"/>
            </a:defRPr>
          </a:pPr>
          <a:endParaRPr lang="cs-CZ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50" b="1"/>
              <a:t>PRŮMĚRNÁ HODNOTA</a:t>
            </a:r>
            <a:r>
              <a:rPr lang="cs-CZ" sz="105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 </a:t>
            </a:r>
            <a:r>
              <a:rPr lang="cs-CZ" sz="1050" b="1"/>
              <a:t>PODÍLU NEFAKTUROVANÉ VODY A PODÍLU ZTRÁT VODY </a:t>
            </a:r>
            <a:r>
              <a:rPr lang="cs-CZ" sz="105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NA </a:t>
            </a:r>
            <a:r>
              <a:rPr lang="cs-CZ" sz="1050" b="1"/>
              <a:t>VODĚ URČENÉ </a:t>
            </a:r>
            <a:r>
              <a:rPr lang="cs-CZ" sz="105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K </a:t>
            </a:r>
            <a:r>
              <a:rPr lang="cs-CZ" sz="1050" b="1"/>
              <a:t>REALIZACI PODLE SKUPIN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4338204579114128"/>
          <c:y val="0.10736067975136496"/>
          <c:w val="0.93476357166019508"/>
          <c:h val="0.60264486169997977"/>
        </c:manualLayout>
      </c:layout>
      <c:barChart>
        <c:barDir val="col"/>
        <c:grouping val="clustered"/>
        <c:varyColors val="0"/>
        <c:ser>
          <c:idx val="3"/>
          <c:order val="3"/>
          <c:tx>
            <c:strRef>
              <c:f>nefakturovana_ztraty!$E$83</c:f>
              <c:strCache>
                <c:ptCount val="1"/>
                <c:pt idx="0">
                  <c:v>PRŮMĚR - PODÍL NEFAKTUROVANÉ VODY NA VODĚ URČENÉ K REALIZACI (%)</c:v>
                </c:pt>
              </c:strCache>
            </c:strRef>
          </c:tx>
          <c:spPr>
            <a:solidFill>
              <a:srgbClr val="CE9CE4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65B-4820-B00C-E4F201B0A71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65B-4820-B00C-E4F201B0A71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65B-4820-B00C-E4F201B0A714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65B-4820-B00C-E4F201B0A714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65B-4820-B00C-E4F201B0A714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65B-4820-B00C-E4F201B0A714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65B-4820-B00C-E4F201B0A714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fld id="{E84EE516-DD43-4788-95EC-955338D79FC5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65B-4820-B00C-E4F201B0A714}"/>
                </c:ext>
              </c:extLst>
            </c:dLbl>
            <c:spPr>
              <a:solidFill>
                <a:srgbClr val="D9D9FF"/>
              </a:solidFill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nefakturovana_ztraty!$A$84:$A$91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nefakturovana_ztraty!$E$84:$E$91</c:f>
              <c:numCache>
                <c:formatCode>#,##0.00</c:formatCode>
                <c:ptCount val="8"/>
                <c:pt idx="0">
                  <c:v>19.803216147736041</c:v>
                </c:pt>
                <c:pt idx="1">
                  <c:v>13.189470719838864</c:v>
                </c:pt>
                <c:pt idx="2">
                  <c:v>15.652473242325954</c:v>
                </c:pt>
                <c:pt idx="3">
                  <c:v>17.945379657019014</c:v>
                </c:pt>
                <c:pt idx="4">
                  <c:v>18.661301926783963</c:v>
                </c:pt>
                <c:pt idx="5">
                  <c:v>20.276560270326328</c:v>
                </c:pt>
                <c:pt idx="6">
                  <c:v>19.727208536387948</c:v>
                </c:pt>
                <c:pt idx="7">
                  <c:v>14.727376783061898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5B-4820-B00C-E4F201B0A714}"/>
            </c:ext>
          </c:extLst>
        </c:ser>
        <c:ser>
          <c:idx val="4"/>
          <c:order val="4"/>
          <c:tx>
            <c:strRef>
              <c:f>nefakturovana_ztraty!$F$83</c:f>
              <c:strCache>
                <c:ptCount val="1"/>
                <c:pt idx="0">
                  <c:v>PRŮMĚR - PODÍL ZTRÁT VODY NA VODĚ URČENÉ K REALIZACI (%)</c:v>
                </c:pt>
              </c:strCache>
            </c:strRef>
          </c:tx>
          <c:spPr>
            <a:solidFill>
              <a:srgbClr val="009999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65B-4820-B00C-E4F201B0A71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B65B-4820-B00C-E4F201B0A71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B65B-4820-B00C-E4F201B0A714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B65B-4820-B00C-E4F201B0A714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B65B-4820-B00C-E4F201B0A714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B65B-4820-B00C-E4F201B0A714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B65B-4820-B00C-E4F201B0A714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fld id="{B30A6CE3-5AB4-4FAE-8D8E-A8900EAA05A8}" type="VALUE">
                      <a:rPr lang="en-US"/>
                      <a:pPr/>
                      <a:t>[HODNOTA]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B65B-4820-B00C-E4F201B0A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nefakturovana_ztraty!$A$84:$A$91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nefakturovana_ztraty!$F$84:$F$91</c:f>
              <c:numCache>
                <c:formatCode>#,##0.00</c:formatCode>
                <c:ptCount val="8"/>
                <c:pt idx="0">
                  <c:v>17.052892957969849</c:v>
                </c:pt>
                <c:pt idx="1">
                  <c:v>12.296594964191874</c:v>
                </c:pt>
                <c:pt idx="2">
                  <c:v>12.246399151327497</c:v>
                </c:pt>
                <c:pt idx="3">
                  <c:v>16.285019860510122</c:v>
                </c:pt>
                <c:pt idx="4">
                  <c:v>16.738076175583256</c:v>
                </c:pt>
                <c:pt idx="5">
                  <c:v>16.985885374624946</c:v>
                </c:pt>
                <c:pt idx="6">
                  <c:v>15.668244464315624</c:v>
                </c:pt>
                <c:pt idx="7">
                  <c:v>10.599306741969722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65B-4820-B00C-E4F201B0A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"/>
        <c:axId val="760286816"/>
        <c:axId val="76028419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nefakturovana_ztraty!$B$83</c15:sqref>
                        </c15:formulaRef>
                      </c:ext>
                    </c:extLst>
                    <c:strCache>
                      <c:ptCount val="1"/>
                      <c:pt idx="0">
                        <c:v>VODA URČENÁ K REALIZACI (MIL. M3)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nefakturovana_ztraty!$A$84:$A$91</c15:sqref>
                        </c15:formulaRef>
                      </c:ext>
                    </c:extLst>
                    <c:strCache>
                      <c:ptCount val="8"/>
                      <c:pt idx="0">
                        <c:v>I.SKUPINA (&gt;500 000 PŘ.OB.)</c:v>
                      </c:pt>
                      <c:pt idx="1">
                        <c:v>II.SKUPINA (&gt;200 000 PŘ.OB.)</c:v>
                      </c:pt>
                      <c:pt idx="2">
                        <c:v>III.SKUPINA (&gt;100 000 PŘ.OB.)</c:v>
                      </c:pt>
                      <c:pt idx="3">
                        <c:v>IV.SKUPINA (&gt;50 000 PŘ.OB.)</c:v>
                      </c:pt>
                      <c:pt idx="4">
                        <c:v>V.SKUPINA (&gt;10 000 PŘ.OB.)</c:v>
                      </c:pt>
                      <c:pt idx="5">
                        <c:v>VI.SKUPINA (&gt;1 000 PŘ.OB.)</c:v>
                      </c:pt>
                      <c:pt idx="6">
                        <c:v>VII.SKUPINA (&gt;300 PŘ.OB.)</c:v>
                      </c:pt>
                      <c:pt idx="7">
                        <c:v>VIII.SKUPINA (&lt;300 PŘ.OB.)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nefakturovana_ztraty!$B$84:$B$91</c15:sqref>
                        </c15:formulaRef>
                      </c:ext>
                    </c:extLst>
                    <c:numCache>
                      <c:formatCode>#,##0.00</c:formatCode>
                      <c:ptCount val="8"/>
                      <c:pt idx="0">
                        <c:v>207.74222600000002</c:v>
                      </c:pt>
                      <c:pt idx="1">
                        <c:v>58.485641000000001</c:v>
                      </c:pt>
                      <c:pt idx="2">
                        <c:v>79.256228000000007</c:v>
                      </c:pt>
                      <c:pt idx="3">
                        <c:v>84.738074666666691</c:v>
                      </c:pt>
                      <c:pt idx="4">
                        <c:v>69.485982499999977</c:v>
                      </c:pt>
                      <c:pt idx="5">
                        <c:v>52.488255759189862</c:v>
                      </c:pt>
                      <c:pt idx="6">
                        <c:v>18.244351369205326</c:v>
                      </c:pt>
                      <c:pt idx="7">
                        <c:v>7.276713804688149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2-B65B-4820-B00C-E4F201B0A714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nefakturovana_ztraty!$C$83</c15:sqref>
                        </c15:formulaRef>
                      </c:ext>
                    </c:extLst>
                    <c:strCache>
                      <c:ptCount val="1"/>
                      <c:pt idx="0">
                        <c:v>VODA NEFAKTUROVANÁ CELKEM (MIL. M3)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nefakturovana_ztraty!$A$84:$A$91</c15:sqref>
                        </c15:formulaRef>
                      </c:ext>
                    </c:extLst>
                    <c:strCache>
                      <c:ptCount val="8"/>
                      <c:pt idx="0">
                        <c:v>I.SKUPINA (&gt;500 000 PŘ.OB.)</c:v>
                      </c:pt>
                      <c:pt idx="1">
                        <c:v>II.SKUPINA (&gt;200 000 PŘ.OB.)</c:v>
                      </c:pt>
                      <c:pt idx="2">
                        <c:v>III.SKUPINA (&gt;100 000 PŘ.OB.)</c:v>
                      </c:pt>
                      <c:pt idx="3">
                        <c:v>IV.SKUPINA (&gt;50 000 PŘ.OB.)</c:v>
                      </c:pt>
                      <c:pt idx="4">
                        <c:v>V.SKUPINA (&gt;10 000 PŘ.OB.)</c:v>
                      </c:pt>
                      <c:pt idx="5">
                        <c:v>VI.SKUPINA (&gt;1 000 PŘ.OB.)</c:v>
                      </c:pt>
                      <c:pt idx="6">
                        <c:v>VII.SKUPINA (&gt;300 PŘ.OB.)</c:v>
                      </c:pt>
                      <c:pt idx="7">
                        <c:v>VIII.SKUPINA (&lt;300 PŘ.OB.)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nefakturovana_ztraty!$C$84:$C$91</c15:sqref>
                        </c15:formulaRef>
                      </c:ext>
                    </c:extLst>
                    <c:numCache>
                      <c:formatCode>#,##0.00</c:formatCode>
                      <c:ptCount val="8"/>
                      <c:pt idx="0">
                        <c:v>40.582509000000002</c:v>
                      </c:pt>
                      <c:pt idx="1">
                        <c:v>7.1910439999999998</c:v>
                      </c:pt>
                      <c:pt idx="2">
                        <c:v>13.927354000000001</c:v>
                      </c:pt>
                      <c:pt idx="3">
                        <c:v>15.444387833333334</c:v>
                      </c:pt>
                      <c:pt idx="4">
                        <c:v>14.347241</c:v>
                      </c:pt>
                      <c:pt idx="5">
                        <c:v>10.872670344083724</c:v>
                      </c:pt>
                      <c:pt idx="6">
                        <c:v>4.1593214509781378</c:v>
                      </c:pt>
                      <c:pt idx="7">
                        <c:v>2.0876704561483477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B65B-4820-B00C-E4F201B0A714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nefakturovana_ztraty!$D$83</c15:sqref>
                        </c15:formulaRef>
                      </c:ext>
                    </c:extLst>
                    <c:strCache>
                      <c:ptCount val="1"/>
                      <c:pt idx="0">
                        <c:v>ZTRÁTY VODY (MIL. M3)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nefakturovana_ztraty!$A$84:$A$91</c15:sqref>
                        </c15:formulaRef>
                      </c:ext>
                    </c:extLst>
                    <c:strCache>
                      <c:ptCount val="8"/>
                      <c:pt idx="0">
                        <c:v>I.SKUPINA (&gt;500 000 PŘ.OB.)</c:v>
                      </c:pt>
                      <c:pt idx="1">
                        <c:v>II.SKUPINA (&gt;200 000 PŘ.OB.)</c:v>
                      </c:pt>
                      <c:pt idx="2">
                        <c:v>III.SKUPINA (&gt;100 000 PŘ.OB.)</c:v>
                      </c:pt>
                      <c:pt idx="3">
                        <c:v>IV.SKUPINA (&gt;50 000 PŘ.OB.)</c:v>
                      </c:pt>
                      <c:pt idx="4">
                        <c:v>V.SKUPINA (&gt;10 000 PŘ.OB.)</c:v>
                      </c:pt>
                      <c:pt idx="5">
                        <c:v>VI.SKUPINA (&gt;1 000 PŘ.OB.)</c:v>
                      </c:pt>
                      <c:pt idx="6">
                        <c:v>VII.SKUPINA (&gt;300 PŘ.OB.)</c:v>
                      </c:pt>
                      <c:pt idx="7">
                        <c:v>VIII.SKUPINA (&lt;300 PŘ.OB.)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nefakturovana_ztraty!$D$84:$D$91</c15:sqref>
                        </c15:formulaRef>
                      </c:ext>
                    </c:extLst>
                    <c:numCache>
                      <c:formatCode>#,##0.00</c:formatCode>
                      <c:ptCount val="8"/>
                      <c:pt idx="0">
                        <c:v>35.212823499999999</c:v>
                      </c:pt>
                      <c:pt idx="1">
                        <c:v>6.6469209999999999</c:v>
                      </c:pt>
                      <c:pt idx="2">
                        <c:v>11.189856000000002</c:v>
                      </c:pt>
                      <c:pt idx="3">
                        <c:v>14.098153999999999</c:v>
                      </c:pt>
                      <c:pt idx="4">
                        <c:v>12.834467500000002</c:v>
                      </c:pt>
                      <c:pt idx="5">
                        <c:v>9.2961868435716983</c:v>
                      </c:pt>
                      <c:pt idx="6">
                        <c:v>3.5775642887399246</c:v>
                      </c:pt>
                      <c:pt idx="7">
                        <c:v>1.1006812339027565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B65B-4820-B00C-E4F201B0A714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nefakturovana_ztraty!$G$83</c15:sqref>
                        </c15:formulaRef>
                      </c:ext>
                    </c:extLst>
                    <c:strCache>
                      <c:ptCount val="1"/>
                      <c:pt idx="0">
                        <c:v>PRŮMĚR - ZTRÁTY VODY NA 1 KM PŘEPOČTENÉ DÉLKY VODOVODNÍHO ŘÁDU A DEN ((M3/KM)/DEN)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nefakturovana_ztraty!$A$84:$A$91</c15:sqref>
                        </c15:formulaRef>
                      </c:ext>
                    </c:extLst>
                    <c:strCache>
                      <c:ptCount val="8"/>
                      <c:pt idx="0">
                        <c:v>I.SKUPINA (&gt;500 000 PŘ.OB.)</c:v>
                      </c:pt>
                      <c:pt idx="1">
                        <c:v>II.SKUPINA (&gt;200 000 PŘ.OB.)</c:v>
                      </c:pt>
                      <c:pt idx="2">
                        <c:v>III.SKUPINA (&gt;100 000 PŘ.OB.)</c:v>
                      </c:pt>
                      <c:pt idx="3">
                        <c:v>IV.SKUPINA (&gt;50 000 PŘ.OB.)</c:v>
                      </c:pt>
                      <c:pt idx="4">
                        <c:v>V.SKUPINA (&gt;10 000 PŘ.OB.)</c:v>
                      </c:pt>
                      <c:pt idx="5">
                        <c:v>VI.SKUPINA (&gt;1 000 PŘ.OB.)</c:v>
                      </c:pt>
                      <c:pt idx="6">
                        <c:v>VII.SKUPINA (&gt;300 PŘ.OB.)</c:v>
                      </c:pt>
                      <c:pt idx="7">
                        <c:v>VIII.SKUPINA (&lt;300 PŘ.OB.)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nefakturovana_ztraty!$G$84:$G$91</c15:sqref>
                        </c15:formulaRef>
                      </c:ext>
                    </c:extLst>
                    <c:numCache>
                      <c:formatCode>#,##0.00</c:formatCode>
                      <c:ptCount val="8"/>
                      <c:pt idx="0">
                        <c:v>5.2157040099544512</c:v>
                      </c:pt>
                      <c:pt idx="1">
                        <c:v>5.068724171245532</c:v>
                      </c:pt>
                      <c:pt idx="2">
                        <c:v>4.4764200512852383</c:v>
                      </c:pt>
                      <c:pt idx="3">
                        <c:v>4.3845506673950538</c:v>
                      </c:pt>
                      <c:pt idx="4">
                        <c:v>5.8654589033190154</c:v>
                      </c:pt>
                      <c:pt idx="5">
                        <c:v>4.0923084156216465</c:v>
                      </c:pt>
                      <c:pt idx="6">
                        <c:v>3.3386684498009727</c:v>
                      </c:pt>
                      <c:pt idx="7">
                        <c:v>2.5008121343316856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B65B-4820-B00C-E4F201B0A714}"/>
                  </c:ext>
                </c:extLst>
              </c15:ser>
            </c15:filteredBarSeries>
          </c:ext>
        </c:extLst>
      </c:barChart>
      <c:catAx>
        <c:axId val="7602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74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60284192"/>
        <c:crosses val="autoZero"/>
        <c:auto val="1"/>
        <c:lblAlgn val="ctr"/>
        <c:lblOffset val="100"/>
        <c:noMultiLvlLbl val="0"/>
      </c:catAx>
      <c:valAx>
        <c:axId val="76028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602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/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400" b="1" i="0" cap="small" baseline="0">
                <a:solidFill>
                  <a:srgbClr val="002060"/>
                </a:solidFill>
                <a:latin typeface="Calibri Light" panose="020F0302020204030204" pitchFamily="34" charset="0"/>
              </a:defRPr>
            </a:pP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</a:rPr>
              <a:t>Benchmarking provozovatelských subjektů 2018 -</a:t>
            </a:r>
            <a:r>
              <a:rPr lang="sk-SK" sz="1400" b="1" i="0" u="none" strike="noStrike" kern="120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  <a:ea typeface="+mn-ea"/>
                <a:cs typeface="+mn-cs"/>
              </a:rPr>
              <a:t> </a:t>
            </a: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</a:rPr>
              <a:t>kanalizace</a:t>
            </a:r>
          </a:p>
          <a:p>
            <a:pPr algn="l">
              <a:defRPr sz="1400" b="1" i="0" cap="small" baseline="0">
                <a:solidFill>
                  <a:srgbClr val="002060"/>
                </a:solidFill>
                <a:latin typeface="Calibri Light" panose="020F0302020204030204" pitchFamily="34" charset="0"/>
              </a:defRPr>
            </a:pP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</a:rPr>
              <a:t>Výskyt alespoň jedné anomálie podle množství odpadní </a:t>
            </a:r>
            <a:b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</a:rPr>
            </a:b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</a:rPr>
              <a:t>a srážkové</a:t>
            </a:r>
            <a:r>
              <a:rPr lang="sk-SK" sz="1400" b="1" i="0" u="none" strike="noStrike" kern="120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  <a:ea typeface="+mn-ea"/>
                <a:cs typeface="+mn-cs"/>
              </a:rPr>
              <a:t> </a:t>
            </a: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anose="020F0302020204030204" pitchFamily="34" charset="0"/>
              </a:rPr>
              <a:t>vody fakturované</a:t>
            </a:r>
          </a:p>
        </c:rich>
      </c:tx>
      <c:layout>
        <c:manualLayout>
          <c:xMode val="edge"/>
          <c:yMode val="edge"/>
          <c:x val="5.2147340457856222E-3"/>
          <c:y val="1.080297868538509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05681771530384"/>
          <c:y val="0.19231633843160267"/>
          <c:w val="0.61417492441877763"/>
          <c:h val="0.64002403739936586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dPt>
            <c:idx val="0"/>
            <c:bubble3D val="0"/>
            <c:explosion val="6"/>
            <c:spPr>
              <a:solidFill>
                <a:srgbClr val="FF4A11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E0A3-411F-A9E4-1A15F9210664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E0A3-411F-A9E4-1A15F9210664}"/>
              </c:ext>
            </c:extLst>
          </c:dPt>
          <c:dLbls>
            <c:dLbl>
              <c:idx val="0"/>
              <c:layout>
                <c:manualLayout>
                  <c:x val="-0.2005675889190808"/>
                  <c:y val="3.6990224180274596E-2"/>
                </c:manualLayout>
              </c:layout>
              <c:tx>
                <c:rich>
                  <a:bodyPr/>
                  <a:lstStyle/>
                  <a:p>
                    <a:fld id="{9FE2600A-B6DA-4E41-B16E-34E3C0181DD6}" type="VALUE"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[HODNOTA]</a:t>
                    </a:fld>
                    <a:r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 MIL. M</a:t>
                    </a:r>
                    <a:r>
                      <a:rPr lang="en-US" b="1" baseline="3000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3</a:t>
                    </a:r>
                    <a:r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; </a:t>
                    </a:r>
                    <a:fld id="{B2D4E593-8694-4786-AA2C-FE8A5E422931}" type="PERCENTAGE"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[PROCENTO]</a:t>
                    </a:fld>
                    <a:endParaRPr lang="en-US" b="1" baseline="0">
                      <a:solidFill>
                        <a:schemeClr val="accent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0A3-411F-A9E4-1A15F9210664}"/>
                </c:ext>
              </c:extLst>
            </c:dLbl>
            <c:dLbl>
              <c:idx val="1"/>
              <c:layout>
                <c:manualLayout>
                  <c:x val="0.1962779432063825"/>
                  <c:y val="-2.4996271643281838E-2"/>
                </c:manualLayout>
              </c:layout>
              <c:tx>
                <c:rich>
                  <a:bodyPr/>
                  <a:lstStyle/>
                  <a:p>
                    <a:fld id="{9FE2600A-B6DA-4E41-B16E-34E3C0181DD6}" type="VALUE"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[HODNOTA]</a:t>
                    </a:fld>
                    <a:r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 MIL. M</a:t>
                    </a:r>
                    <a:r>
                      <a:rPr lang="en-US" b="1" baseline="3000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3</a:t>
                    </a:r>
                    <a:r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; </a:t>
                    </a:r>
                    <a:fld id="{B2D4E593-8694-4786-AA2C-FE8A5E422931}" type="PERCENTAGE"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[PROCENTO]</a:t>
                    </a:fld>
                    <a:endParaRPr lang="en-US" b="1" baseline="0">
                      <a:solidFill>
                        <a:schemeClr val="accent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0A3-411F-A9E4-1A15F921066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ANOMÁLIE!$I$25:$K$25</c:f>
              <c:strCache>
                <c:ptCount val="2"/>
                <c:pt idx="0">
                  <c:v>OBJEM VODY ODPADNÍ A SRÁŽKOVÉ FAKTUROVANÉ V MIL. M3 S NEJMÉNĚ JEDNOU ANOMÁLII</c:v>
                </c:pt>
                <c:pt idx="1">
                  <c:v>OBJEM VODY ODPADNÍ A SRÁŽKOVÉ FAKTUROVANÉ BEZ ANOMÁLIÍ (V MIL. M3)</c:v>
                </c:pt>
              </c:strCache>
            </c:strRef>
          </c:cat>
          <c:val>
            <c:numRef>
              <c:f>ANOMÁLIE!$I$34:$K$34</c:f>
              <c:numCache>
                <c:formatCode>0.00</c:formatCode>
                <c:ptCount val="2"/>
                <c:pt idx="0">
                  <c:v>222.52477836603762</c:v>
                </c:pt>
                <c:pt idx="1">
                  <c:v>292.70669463396223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A3-411F-A9E4-1A15F9210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 rtl="0">
              <a:defRPr sz="1000" b="0" cap="small" baseline="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1000" b="0" cap="small" baseline="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</c:legendEntry>
      <c:layout>
        <c:manualLayout>
          <c:xMode val="edge"/>
          <c:yMode val="edge"/>
          <c:x val="1.814680033447507E-2"/>
          <c:y val="0.86385272648911937"/>
          <c:w val="0.97710979558212163"/>
          <c:h val="0.11203103087353003"/>
        </c:manualLayout>
      </c:layout>
      <c:overlay val="0"/>
      <c:txPr>
        <a:bodyPr/>
        <a:lstStyle/>
        <a:p>
          <a:pPr>
            <a:defRPr sz="1000" b="0" cap="small" baseline="0">
              <a:solidFill>
                <a:srgbClr val="002060"/>
              </a:solidFill>
              <a:latin typeface="+mj-lt"/>
            </a:defRPr>
          </a:pPr>
          <a:endParaRPr lang="cs-CZ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 algn="l">
              <a:defRPr sz="1100" b="1" cap="sm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defRPr>
            </a:pP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VÝSKYT ANOMÁLIÍ </a:t>
            </a: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  <a:ea typeface="+mn-ea"/>
                <a:cs typeface="+mn-cs"/>
              </a:rPr>
              <a:t>VE </a:t>
            </a: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VZTAHU </a:t>
            </a: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  <a:ea typeface="+mn-ea"/>
                <a:cs typeface="+mn-cs"/>
              </a:rPr>
              <a:t>K </a:t>
            </a: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MNOŽSTVÍ odpadní a srážkové vody FAKTUROVANÉ </a:t>
            </a:r>
            <a:r>
              <a:rPr lang="en-US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[MIL.M</a:t>
            </a:r>
            <a:r>
              <a:rPr lang="en-US" sz="1100" b="1" i="0" cap="all" baseline="3000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3</a:t>
            </a:r>
            <a:r>
              <a:rPr lang="en-US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]</a:t>
            </a: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 </a:t>
            </a:r>
            <a:endParaRPr lang="sk-SK" sz="1100" b="1" cap="all" baseline="0">
              <a:solidFill>
                <a:schemeClr val="accent2">
                  <a:lumMod val="50000"/>
                </a:schemeClr>
              </a:solidFill>
              <a:latin typeface="Calibri" pitchFamily="34" charset="0"/>
            </a:endParaRPr>
          </a:p>
          <a:p>
            <a:pPr algn="l">
              <a:defRPr sz="1100" b="1" cap="sm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defRPr>
            </a:pP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" pitchFamily="34" charset="0"/>
              </a:rPr>
              <a:t>BENCHMARKINGU provozovatelských SUBJEKTŮ 2018 - Kanalizace</a:t>
            </a:r>
            <a:endParaRPr lang="sk-SK" sz="1100" b="1" cap="all" baseline="0">
              <a:solidFill>
                <a:schemeClr val="accent2">
                  <a:lumMod val="50000"/>
                </a:schemeClr>
              </a:solidFill>
              <a:latin typeface="Calibri" pitchFamily="34" charset="0"/>
            </a:endParaRPr>
          </a:p>
        </c:rich>
      </c:tx>
      <c:layout>
        <c:manualLayout>
          <c:xMode val="edge"/>
          <c:yMode val="edge"/>
          <c:x val="1.4913115375487906E-2"/>
          <c:y val="1.494942132555522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0718645009506116"/>
          <c:y val="0.22262955128566028"/>
          <c:w val="0.53673971987328661"/>
          <c:h val="0.65460322949927463"/>
        </c:manualLayout>
      </c:layout>
      <c:barChart>
        <c:barDir val="bar"/>
        <c:grouping val="percentStacked"/>
        <c:varyColors val="0"/>
        <c:ser>
          <c:idx val="3"/>
          <c:order val="0"/>
          <c:tx>
            <c:strRef>
              <c:f>ANOMÁLIE!$I$65</c:f>
              <c:strCache>
                <c:ptCount val="1"/>
                <c:pt idx="0">
                  <c:v>NALEZENÁ ANOMÁLIE</c:v>
                </c:pt>
              </c:strCache>
            </c:strRef>
          </c:tx>
          <c:spPr>
            <a:solidFill>
              <a:srgbClr val="FF4A11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0.23279860383819073"/>
                  <c:y val="-2.041728146503581E-3"/>
                </c:manualLayout>
              </c:layout>
              <c:tx>
                <c:rich>
                  <a:bodyPr/>
                  <a:lstStyle/>
                  <a:p>
                    <a:fld id="{1D9C2DB7-0698-449B-BB6B-CC25EB7D6D50}" type="CELLRANGE">
                      <a:rPr lang="cs-CZ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87022163531184"/>
                      <c:h val="4.4474169275250393E-2"/>
                    </c:manualLayout>
                  </c15:layout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2204-4636-90B9-B89750DFBCB7}"/>
                </c:ext>
              </c:extLst>
            </c:dLbl>
            <c:dLbl>
              <c:idx val="1"/>
              <c:layout>
                <c:manualLayout>
                  <c:x val="0.23279860383819073"/>
                  <c:y val="-2.0417281465036669E-3"/>
                </c:manualLayout>
              </c:layout>
              <c:tx>
                <c:rich>
                  <a:bodyPr/>
                  <a:lstStyle/>
                  <a:p>
                    <a:fld id="{F8714C3B-B1B8-4906-9F0F-B40005049EFE}" type="CELLRANGE">
                      <a:rPr lang="cs-CZ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87022163531184"/>
                      <c:h val="4.4474169275250393E-2"/>
                    </c:manualLayout>
                  </c15:layout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204-4636-90B9-B89750DFBCB7}"/>
                </c:ext>
              </c:extLst>
            </c:dLbl>
            <c:dLbl>
              <c:idx val="2"/>
              <c:layout>
                <c:manualLayout>
                  <c:x val="0.23279860383819073"/>
                  <c:y val="-2.0417281465036669E-3"/>
                </c:manualLayout>
              </c:layout>
              <c:tx>
                <c:rich>
                  <a:bodyPr/>
                  <a:lstStyle/>
                  <a:p>
                    <a:fld id="{FA12613B-2253-4809-B140-D584B445BFC5}" type="CELLRANGE">
                      <a:rPr lang="cs-CZ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87022163531184"/>
                      <c:h val="4.4474169275250393E-2"/>
                    </c:manualLayout>
                  </c15:layout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2204-4636-90B9-B89750DFBCB7}"/>
                </c:ext>
              </c:extLst>
            </c:dLbl>
            <c:dLbl>
              <c:idx val="3"/>
              <c:layout>
                <c:manualLayout>
                  <c:x val="0.23279860383819073"/>
                  <c:y val="-2.0417281465036669E-3"/>
                </c:manualLayout>
              </c:layout>
              <c:tx>
                <c:rich>
                  <a:bodyPr/>
                  <a:lstStyle/>
                  <a:p>
                    <a:fld id="{E5581504-8BA6-421D-9F9A-D245F2EBEE3F}" type="CELLRANGE">
                      <a:rPr lang="cs-CZ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87022163531184"/>
                      <c:h val="4.4474169275250393E-2"/>
                    </c:manualLayout>
                  </c15:layout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204-4636-90B9-B89750DFBCB7}"/>
                </c:ext>
              </c:extLst>
            </c:dLbl>
            <c:dLbl>
              <c:idx val="4"/>
              <c:layout>
                <c:manualLayout>
                  <c:x val="0.23279860383819073"/>
                  <c:y val="-2.041728146503581E-3"/>
                </c:manualLayout>
              </c:layout>
              <c:tx>
                <c:rich>
                  <a:bodyPr/>
                  <a:lstStyle/>
                  <a:p>
                    <a:fld id="{1A88B8AB-4969-4D7E-A75F-E0A3F3D3F660}" type="CELLRANGE">
                      <a:rPr lang="cs-CZ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87022163531184"/>
                      <c:h val="4.4474169275250393E-2"/>
                    </c:manualLayout>
                  </c15:layout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2204-4636-90B9-B89750DFBCB7}"/>
                </c:ext>
              </c:extLst>
            </c:dLbl>
            <c:dLbl>
              <c:idx val="5"/>
              <c:layout>
                <c:manualLayout>
                  <c:x val="0.23279860383819073"/>
                  <c:y val="-2.041728146503581E-3"/>
                </c:manualLayout>
              </c:layout>
              <c:tx>
                <c:rich>
                  <a:bodyPr/>
                  <a:lstStyle/>
                  <a:p>
                    <a:fld id="{5A1E8600-3875-4286-AA7C-D2C108ABBFE6}" type="CELLRANGE">
                      <a:rPr lang="cs-CZ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87022163531184"/>
                      <c:h val="4.4474169275250393E-2"/>
                    </c:manualLayout>
                  </c15:layout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2204-4636-90B9-B89750DFBC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noAutofit/>
              </a:bodyPr>
              <a:lstStyle/>
              <a:p>
                <a:pPr>
                  <a:defRPr sz="900" b="1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endParaRPr lang="cs-CZ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>
                  <c:manualLayout>
                    <c:x val="0.23279860383819073"/>
                    <c:y val="-2.0417281465035788E-3"/>
                    <c:w val="0.35287022163531184"/>
                    <c:h val="4.4474169275250393E-2"/>
                  </c:manualLayout>
                </c15:layout>
                <c15:showDataLabelsRange val="1"/>
                <c15:showLeaderLines val="0"/>
              </c:ext>
            </c:extLst>
          </c:dLbls>
          <c:cat>
            <c:strRef>
              <c:f>ANOMÁLIE!$H$66:$H$71</c:f>
              <c:strCache>
                <c:ptCount val="6"/>
                <c:pt idx="0">
                  <c:v>VYSOKÁ CENA PRO STOČNÉ (VÍCE NEŽ 1,5 NÁSOBEK PRŮMĚRU Z POROVNÁNÍ OPTIMÁLNÍCH POROVNÁNÍ SKUPINY)</c:v>
                </c:pt>
                <c:pt idx="1">
                  <c:v>PODÍL NEVYHOVUJÍCÍCH VZORKŮ VYPOUŠTĚNÝCH ODPADNÍCH VOD Z ČOV a VV VYŠŠÍ NEŽ 20 %</c:v>
                </c:pt>
                <c:pt idx="2">
                  <c:v>ZÁPORNÝ KALKULAČNÍ ZISK</c:v>
                </c:pt>
                <c:pt idx="3">
                  <c:v>OKF&lt;1</c:v>
                </c:pt>
                <c:pt idx="4">
                  <c:v>VYSOKÝ PODÍL KALKULAČNÍHO ZISKU K ROZDĚLENÍ NA ÚVN ( VÍCE NEŽ 1,5 NÁSOBEK MEDIÁNU Z POROVNÁNÍ S KLADNÝM ZISKEM)</c:v>
                </c:pt>
                <c:pt idx="5">
                  <c:v>VYSOKÁ RENTABILITA NÁKLADŮ (ROC) (VÍCE NEŽ 1,5 NÁSOBEK MEDIÁNU Z POROVNÁNÍ S KLADNÍM ZISKEM) </c:v>
                </c:pt>
              </c:strCache>
            </c:strRef>
          </c:cat>
          <c:val>
            <c:numRef>
              <c:f>ANOMÁLIE!$I$66:$I$71</c:f>
              <c:numCache>
                <c:formatCode>0.00</c:formatCode>
                <c:ptCount val="6"/>
                <c:pt idx="0">
                  <c:v>1.6227659999999999</c:v>
                </c:pt>
                <c:pt idx="1">
                  <c:v>27.497117000000003</c:v>
                </c:pt>
                <c:pt idx="2">
                  <c:v>50.834504999999986</c:v>
                </c:pt>
                <c:pt idx="3">
                  <c:v>105.10132199999997</c:v>
                </c:pt>
                <c:pt idx="4">
                  <c:v>112.729406</c:v>
                </c:pt>
                <c:pt idx="5">
                  <c:v>128.59038000000001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ANOMÁLIE!$Q$66:$Q$71</c15:f>
                <c15:dlblRangeCache>
                  <c:ptCount val="6"/>
                  <c:pt idx="0">
                    <c:v>1,62 MIL. M3; 0,31 %; 82 VÝSKYTŮ</c:v>
                  </c:pt>
                  <c:pt idx="1">
                    <c:v>27,5 MIL. M3; 64,44 %; 164 VÝSKYTŮ</c:v>
                  </c:pt>
                  <c:pt idx="2">
                    <c:v>50,83 MIL. M3; 9,87 %; 1485 VÝSKYTŮ</c:v>
                  </c:pt>
                  <c:pt idx="3">
                    <c:v>105,1 MIL. M3; 0,28 %; 2174 VÝSKYTŮ</c:v>
                  </c:pt>
                  <c:pt idx="4">
                    <c:v>112,73 MIL. M3; 21,88 %; 328 VÝSKYTŮ</c:v>
                  </c:pt>
                  <c:pt idx="5">
                    <c:v>128,59 MIL. M3; 24,96 %; 435 VÝSKYTŮ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2204-4636-90B9-B89750DFBCB7}"/>
            </c:ext>
          </c:extLst>
        </c:ser>
        <c:ser>
          <c:idx val="0"/>
          <c:order val="1"/>
          <c:tx>
            <c:strRef>
              <c:f>ANOMÁLIE!$L$65</c:f>
              <c:strCache>
                <c:ptCount val="1"/>
                <c:pt idx="0">
                  <c:v>BEZ VÝSKYTU DANÉ ANOMÁLIE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ANOMÁLIE!$H$66:$H$71</c:f>
              <c:strCache>
                <c:ptCount val="6"/>
                <c:pt idx="0">
                  <c:v>VYSOKÁ CENA PRO STOČNÉ (VÍCE NEŽ 1,5 NÁSOBEK PRŮMĚRU Z POROVNÁNÍ OPTIMÁLNÍCH POROVNÁNÍ SKUPINY)</c:v>
                </c:pt>
                <c:pt idx="1">
                  <c:v>PODÍL NEVYHOVUJÍCÍCH VZORKŮ VYPOUŠTĚNÝCH ODPADNÍCH VOD Z ČOV a VV VYŠŠÍ NEŽ 20 %</c:v>
                </c:pt>
                <c:pt idx="2">
                  <c:v>ZÁPORNÝ KALKULAČNÍ ZISK</c:v>
                </c:pt>
                <c:pt idx="3">
                  <c:v>OKF&lt;1</c:v>
                </c:pt>
                <c:pt idx="4">
                  <c:v>VYSOKÝ PODÍL KALKULAČNÍHO ZISKU K ROZDĚLENÍ NA ÚVN ( VÍCE NEŽ 1,5 NÁSOBEK MEDIÁNU Z POROVNÁNÍ S KLADNÝM ZISKEM)</c:v>
                </c:pt>
                <c:pt idx="5">
                  <c:v>VYSOKÁ RENTABILITA NÁKLADŮ (ROC) (VÍCE NEŽ 1,5 NÁSOBEK MEDIÁNU Z POROVNÁNÍ S KLADNÍM ZISKEM) </c:v>
                </c:pt>
              </c:strCache>
            </c:strRef>
          </c:cat>
          <c:val>
            <c:numRef>
              <c:f>ANOMÁLIE!$L$66:$L$71</c:f>
              <c:numCache>
                <c:formatCode>0.000</c:formatCode>
                <c:ptCount val="6"/>
                <c:pt idx="0">
                  <c:v>513.60823400000004</c:v>
                </c:pt>
                <c:pt idx="1">
                  <c:v>487.73388299999999</c:v>
                </c:pt>
                <c:pt idx="2">
                  <c:v>464.39649500000002</c:v>
                </c:pt>
                <c:pt idx="3">
                  <c:v>410.12967800000001</c:v>
                </c:pt>
                <c:pt idx="4">
                  <c:v>402.50159400000001</c:v>
                </c:pt>
                <c:pt idx="5">
                  <c:v>386.64062000000001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204-4636-90B9-B89750DFBCB7}"/>
            </c:ext>
          </c:extLst>
        </c:ser>
        <c:ser>
          <c:idx val="4"/>
          <c:order val="2"/>
          <c:tx>
            <c:strRef>
              <c:f>ANOMÁLIE!$M$65</c:f>
              <c:strCache>
                <c:ptCount val="1"/>
                <c:pt idx="0">
                  <c:v>NEANALYZOVANÁ DATA</c:v>
                </c:pt>
              </c:strCache>
            </c:strRef>
          </c:tx>
          <c:spPr>
            <a:solidFill>
              <a:srgbClr val="F8CBAD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ANOMÁLIE!$H$66:$H$71</c:f>
              <c:strCache>
                <c:ptCount val="6"/>
                <c:pt idx="0">
                  <c:v>VYSOKÁ CENA PRO STOČNÉ (VÍCE NEŽ 1,5 NÁSOBEK PRŮMĚRU Z POROVNÁNÍ OPTIMÁLNÍCH POROVNÁNÍ SKUPINY)</c:v>
                </c:pt>
                <c:pt idx="1">
                  <c:v>PODÍL NEVYHOVUJÍCÍCH VZORKŮ VYPOUŠTĚNÝCH ODPADNÍCH VOD Z ČOV a VV VYŠŠÍ NEŽ 20 %</c:v>
                </c:pt>
                <c:pt idx="2">
                  <c:v>ZÁPORNÝ KALKULAČNÍ ZISK</c:v>
                </c:pt>
                <c:pt idx="3">
                  <c:v>OKF&lt;1</c:v>
                </c:pt>
                <c:pt idx="4">
                  <c:v>VYSOKÝ PODÍL KALKULAČNÍHO ZISKU K ROZDĚLENÍ NA ÚVN ( VÍCE NEŽ 1,5 NÁSOBEK MEDIÁNU Z POROVNÁNÍ S KLADNÝM ZISKEM)</c:v>
                </c:pt>
                <c:pt idx="5">
                  <c:v>VYSOKÁ RENTABILITA NÁKLADŮ (ROC) (VÍCE NEŽ 1,5 NÁSOBEK MEDIÁNU Z POROVNÁNÍ S KLADNÍM ZISKEM) </c:v>
                </c:pt>
              </c:strCache>
            </c:strRef>
          </c:cat>
          <c:val>
            <c:numRef>
              <c:f>ANOMÁLIE!$M$66:$M$71</c:f>
              <c:numCache>
                <c:formatCode>General</c:formatCode>
                <c:ptCount val="6"/>
                <c:pt idx="0">
                  <c:v>14.075000000000045</c:v>
                </c:pt>
                <c:pt idx="1">
                  <c:v>14.075000000000045</c:v>
                </c:pt>
                <c:pt idx="2">
                  <c:v>14.075000000000045</c:v>
                </c:pt>
                <c:pt idx="3">
                  <c:v>14.075000000000045</c:v>
                </c:pt>
                <c:pt idx="4">
                  <c:v>14.075000000000045</c:v>
                </c:pt>
                <c:pt idx="5">
                  <c:v>14.075000000000045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04-4636-90B9-B89750DFB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04595992"/>
        <c:axId val="204596384"/>
        <c:extLst/>
      </c:barChart>
      <c:catAx>
        <c:axId val="204595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 cap="small" baseline="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  <c:crossAx val="204596384"/>
        <c:crosses val="autoZero"/>
        <c:auto val="1"/>
        <c:lblAlgn val="ctr"/>
        <c:lblOffset val="100"/>
        <c:noMultiLvlLbl val="0"/>
      </c:catAx>
      <c:valAx>
        <c:axId val="20459638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crossAx val="204595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847190993950773E-3"/>
          <c:y val="0.96043836578650343"/>
          <c:w val="0.98219504421017834"/>
          <c:h val="3.9561634213496552E-2"/>
        </c:manualLayout>
      </c:layout>
      <c:overlay val="0"/>
      <c:txPr>
        <a:bodyPr/>
        <a:lstStyle/>
        <a:p>
          <a:pPr>
            <a:defRPr>
              <a:solidFill>
                <a:schemeClr val="accent2">
                  <a:lumMod val="50000"/>
                </a:schemeClr>
              </a:solidFill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defRPr>
            </a:pP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BENCHMARKINGU VLASTNICKÝCH SUBJEKTŮ 2018 - Kanalizace</a:t>
            </a:r>
            <a:endParaRPr lang="sk-SK" sz="1100" b="1" i="0" u="none" strike="noStrike" kern="1200" cap="all" baseline="0">
              <a:solidFill>
                <a:schemeClr val="accent2">
                  <a:lumMod val="50000"/>
                </a:schemeClr>
              </a:solidFill>
              <a:latin typeface="+mj-lt"/>
              <a:ea typeface="+mn-ea"/>
              <a:cs typeface="+mn-cs"/>
            </a:endParaRPr>
          </a:p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defRPr>
            </a:pPr>
            <a:r>
              <a:rPr lang="sk-SK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Výskyt alespoň jedné anomálie ve skupině</a:t>
            </a:r>
          </a:p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defRPr>
            </a:pPr>
            <a:r>
              <a:rPr lang="sk-SK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- </a:t>
            </a: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VE VZTAHU K MNOŽSTVÍ odpadní a srážkové vody FAKTUROVANÉ </a:t>
            </a:r>
            <a:r>
              <a:rPr lang="en-US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[MIL.M</a:t>
            </a:r>
            <a:r>
              <a:rPr lang="en-US" sz="1100" b="1" i="0" u="none" strike="noStrike" kern="1200" cap="all" baseline="3000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3</a:t>
            </a:r>
            <a:r>
              <a:rPr lang="en-US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]</a:t>
            </a: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+mj-lt"/>
                <a:ea typeface="+mn-ea"/>
                <a:cs typeface="+mn-cs"/>
              </a:rPr>
              <a:t> </a:t>
            </a:r>
            <a:endParaRPr lang="sk-SK" sz="1100" b="1" i="0" u="none" strike="noStrike" kern="1200" cap="all" baseline="0">
              <a:solidFill>
                <a:schemeClr val="accent2">
                  <a:lumMod val="50000"/>
                </a:schemeClr>
              </a:solidFill>
              <a:latin typeface="+mj-lt"/>
              <a:ea typeface="+mn-ea"/>
              <a:cs typeface="+mn-cs"/>
            </a:endParaRPr>
          </a:p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defRPr>
            </a:pPr>
            <a:endParaRPr lang="sk-SK" sz="1100" cap="all">
              <a:solidFill>
                <a:srgbClr val="002060"/>
              </a:solidFill>
              <a:latin typeface="+mj-lt"/>
            </a:endParaRPr>
          </a:p>
        </c:rich>
      </c:tx>
      <c:layout>
        <c:manualLayout>
          <c:xMode val="edge"/>
          <c:yMode val="edge"/>
          <c:x val="1.2952933378538077E-3"/>
          <c:y val="3.210281939445298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096003125151354"/>
          <c:y val="0.12206876259820562"/>
          <c:w val="0.76684385914904729"/>
          <c:h val="0.64426796725371838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ANOMÁLIE!$I$92</c:f>
              <c:strCache>
                <c:ptCount val="1"/>
                <c:pt idx="0">
                  <c:v>OBJEM VODY ODPADNÍ A SRÁŽKOVÉ FAKTUROVANÉ (V MIL. M3) S JEDNOU NEBO VÍCERO ANOMÁLIEMI</c:v>
                </c:pt>
              </c:strCache>
            </c:strRef>
          </c:tx>
          <c:spPr>
            <a:solidFill>
              <a:srgbClr val="FF4A11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-1.6574585635359115E-2"/>
                  <c:y val="-0.1750359007689572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E44-44A6-90C6-331880184C2A}"/>
                </c:ext>
              </c:extLst>
            </c:dLbl>
            <c:dLbl>
              <c:idx val="1"/>
              <c:layout>
                <c:manualLayout>
                  <c:x val="-1.6574585635359115E-2"/>
                  <c:y val="-0.10810896267637488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44-44A6-90C6-331880184C2A}"/>
                </c:ext>
              </c:extLst>
            </c:dLbl>
            <c:dLbl>
              <c:idx val="2"/>
              <c:layout>
                <c:manualLayout>
                  <c:x val="-1.1049723756906077E-2"/>
                  <c:y val="-0.11182712590374065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E44-44A6-90C6-331880184C2A}"/>
                </c:ext>
              </c:extLst>
            </c:dLbl>
            <c:dLbl>
              <c:idx val="3"/>
              <c:layout>
                <c:manualLayout>
                  <c:x val="-1.6574585635359115E-2"/>
                  <c:y val="-0.12422100332829283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44-44A6-90C6-331880184C2A}"/>
                </c:ext>
              </c:extLst>
            </c:dLbl>
            <c:dLbl>
              <c:idx val="4"/>
              <c:layout>
                <c:manualLayout>
                  <c:x val="-1.6574585635359115E-2"/>
                  <c:y val="-0.13661488075284511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E44-44A6-90C6-331880184C2A}"/>
                </c:ext>
              </c:extLst>
            </c:dLbl>
            <c:dLbl>
              <c:idx val="5"/>
              <c:layout>
                <c:manualLayout>
                  <c:x val="-2.2099447513812154E-2"/>
                  <c:y val="-3.3745698129061252E-2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44-44A6-90C6-331880184C2A}"/>
                </c:ext>
              </c:extLst>
            </c:dLbl>
            <c:dLbl>
              <c:idx val="6"/>
              <c:layout>
                <c:manualLayout>
                  <c:x val="-1.4732965009208239E-2"/>
                  <c:y val="-0.11554528913110625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EE44-44A6-90C6-331880184C2A}"/>
                </c:ext>
              </c:extLst>
            </c:dLbl>
            <c:dLbl>
              <c:idx val="7"/>
              <c:layout>
                <c:manualLayout>
                  <c:x val="-1.8416206261511478E-3"/>
                  <c:y val="-7.3406105887628609E-2"/>
                </c:manualLayout>
              </c:layout>
              <c:tx>
                <c:rich>
                  <a:bodyPr/>
                  <a:lstStyle/>
                  <a:p>
                    <a:fld id="{8B6E6038-6D61-47A9-A30C-27E08ED1E8B9}" type="VALUE">
                      <a:rPr lang="en-US"/>
                      <a:pPr/>
                      <a:t>[HODNOTA]</a:t>
                    </a:fld>
                    <a:r>
                      <a:rPr lang="en-US"/>
                      <a:t> MIL. M3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E44-44A6-90C6-331880184C2A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900" b="1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endParaRPr lang="cs-CZ"/>
              </a:p>
            </c:txPr>
            <c:dLblPos val="ctr"/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ANOMÁLIE!$H$93:$H$100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ANOMÁLIE!$I$93:$I$100</c:f>
              <c:numCache>
                <c:formatCode>0.000</c:formatCode>
                <c:ptCount val="8"/>
                <c:pt idx="0">
                  <c:v>0</c:v>
                </c:pt>
                <c:pt idx="1">
                  <c:v>25.107813999999998</c:v>
                </c:pt>
                <c:pt idx="2">
                  <c:v>35.101061999999999</c:v>
                </c:pt>
                <c:pt idx="3">
                  <c:v>38.721381000000001</c:v>
                </c:pt>
                <c:pt idx="4">
                  <c:v>45.729697000000002</c:v>
                </c:pt>
                <c:pt idx="5">
                  <c:v>55.221788999999944</c:v>
                </c:pt>
                <c:pt idx="6">
                  <c:v>22.633988999999971</c:v>
                </c:pt>
                <c:pt idx="7">
                  <c:v>9.0463660377358354E-3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44-44A6-90C6-331880184C2A}"/>
            </c:ext>
          </c:extLst>
        </c:ser>
        <c:ser>
          <c:idx val="3"/>
          <c:order val="2"/>
          <c:tx>
            <c:strRef>
              <c:f>ANOMÁLIE!$K$92</c:f>
              <c:strCache>
                <c:ptCount val="1"/>
                <c:pt idx="0">
                  <c:v>OBJEM VODY ODPADNÍ A SRÁŽKOVÉ FAKTUROVANÉ BEZ ANOMÁLIE (MIL.M3)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ANOMÁLIE!$H$93:$H$100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ANOMÁLIE!$K$93:$K$100</c:f>
              <c:numCache>
                <c:formatCode>0.000</c:formatCode>
                <c:ptCount val="8"/>
                <c:pt idx="0">
                  <c:v>137.3503</c:v>
                </c:pt>
                <c:pt idx="1">
                  <c:v>42.085967000000004</c:v>
                </c:pt>
                <c:pt idx="2">
                  <c:v>28.156376999999999</c:v>
                </c:pt>
                <c:pt idx="3">
                  <c:v>42.697937000000003</c:v>
                </c:pt>
                <c:pt idx="4">
                  <c:v>22.645819999999986</c:v>
                </c:pt>
                <c:pt idx="5">
                  <c:v>10.695804000000024</c:v>
                </c:pt>
                <c:pt idx="6">
                  <c:v>0.58829299999999662</c:v>
                </c:pt>
                <c:pt idx="7">
                  <c:v>8.4861966339622636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E44-44A6-90C6-331880184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100"/>
        <c:axId val="204597168"/>
        <c:axId val="204597560"/>
      </c:barChart>
      <c:lineChart>
        <c:grouping val="standard"/>
        <c:varyColors val="0"/>
        <c:ser>
          <c:idx val="0"/>
          <c:order val="1"/>
          <c:tx>
            <c:strRef>
              <c:f>ANOMÁLIE!$J$92</c:f>
              <c:strCache>
                <c:ptCount val="1"/>
                <c:pt idx="0">
                  <c:v>OBJEM VODY ODPADNÍ A SRÁŽKOVÉ FAKTUROVANÉ VE SKUPINĚ (MIL.M3)</c:v>
                </c:pt>
              </c:strCache>
            </c:strRef>
          </c:tx>
          <c:spPr>
            <a:ln w="34925">
              <a:solidFill>
                <a:srgbClr val="008000"/>
              </a:solidFill>
            </a:ln>
          </c:spPr>
          <c:marker>
            <c:symbol val="square"/>
            <c:size val="8"/>
            <c:spPr>
              <a:solidFill>
                <a:srgbClr val="008000"/>
              </a:solidFill>
              <a:ln>
                <a:solidFill>
                  <a:srgbClr val="008000"/>
                </a:solidFill>
              </a:ln>
            </c:spPr>
          </c:marker>
          <c:dLbls>
            <c:dLbl>
              <c:idx val="0"/>
              <c:layout>
                <c:manualLayout>
                  <c:x val="9.2081031307550652E-3"/>
                  <c:y val="-1.4872652909462748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EE44-44A6-90C6-331880184C2A}"/>
                </c:ext>
              </c:extLst>
            </c:dLbl>
            <c:dLbl>
              <c:idx val="1"/>
              <c:layout>
                <c:manualLayout>
                  <c:x val="-3.6832412523020289E-2"/>
                  <c:y val="-8.7996529714321176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E44-44A6-90C6-331880184C2A}"/>
                </c:ext>
              </c:extLst>
            </c:dLbl>
            <c:dLbl>
              <c:idx val="2"/>
              <c:layout>
                <c:manualLayout>
                  <c:x val="-8.6556169429097635E-2"/>
                  <c:y val="-3.2224081303835903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EE44-44A6-90C6-331880184C2A}"/>
                </c:ext>
              </c:extLst>
            </c:dLbl>
            <c:dLbl>
              <c:idx val="3"/>
              <c:layout>
                <c:manualLayout>
                  <c:x val="-3.1307550644567222E-2"/>
                  <c:y val="-2.7266530334015087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E44-44A6-90C6-331880184C2A}"/>
                </c:ext>
              </c:extLst>
            </c:dLbl>
            <c:dLbl>
              <c:idx val="4"/>
              <c:layout>
                <c:manualLayout>
                  <c:x val="-4.2357274401473299E-2"/>
                  <c:y val="-3.0984693561380679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EE44-44A6-90C6-331880184C2A}"/>
                </c:ext>
              </c:extLst>
            </c:dLbl>
            <c:dLbl>
              <c:idx val="5"/>
              <c:layout>
                <c:manualLayout>
                  <c:x val="9.2081031307550652E-3"/>
                  <c:y val="-1.4872652909462726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E44-44A6-90C6-331880184C2A}"/>
                </c:ext>
              </c:extLst>
            </c:dLbl>
            <c:dLbl>
              <c:idx val="6"/>
              <c:layout>
                <c:manualLayout>
                  <c:x val="3.6832412523018906E-3"/>
                  <c:y val="-3.9660407758567266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EE44-44A6-90C6-331880184C2A}"/>
                </c:ext>
              </c:extLst>
            </c:dLbl>
            <c:dLbl>
              <c:idx val="7"/>
              <c:layout>
                <c:manualLayout>
                  <c:x val="9.2081031307550652E-3"/>
                  <c:y val="-1.4872652909462726E-2"/>
                </c:manualLayout>
              </c:layout>
              <c:tx>
                <c:rich>
                  <a:bodyPr/>
                  <a:lstStyle/>
                  <a:p>
                    <a:fld id="{C6B7C65C-7FEB-419F-A8E7-31D245896164}" type="VALUE">
                      <a:rPr lang="en-US" sz="900" b="1">
                        <a:solidFill>
                          <a:srgbClr val="008000"/>
                        </a:solidFill>
                      </a:rPr>
                      <a:pPr/>
                      <a:t>[HODNOTA]</a:t>
                    </a:fld>
                    <a:r>
                      <a:rPr lang="en-US" sz="900" b="1">
                        <a:solidFill>
                          <a:srgbClr val="008000"/>
                        </a:solidFill>
                      </a:rPr>
                      <a:t> MIL.M3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EE44-44A6-90C6-331880184C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solidFill>
                      <a:srgbClr val="008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ANOMÁLIE!$H$93:$H$100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ANOMÁLIE!$J$93:$J$100</c:f>
              <c:numCache>
                <c:formatCode>0.000</c:formatCode>
                <c:ptCount val="8"/>
                <c:pt idx="0">
                  <c:v>137.3503</c:v>
                </c:pt>
                <c:pt idx="1">
                  <c:v>67.193781000000001</c:v>
                </c:pt>
                <c:pt idx="2">
                  <c:v>63.257438999999998</c:v>
                </c:pt>
                <c:pt idx="3">
                  <c:v>81.419318000000004</c:v>
                </c:pt>
                <c:pt idx="4">
                  <c:v>68.375516999999988</c:v>
                </c:pt>
                <c:pt idx="5">
                  <c:v>65.917592999999968</c:v>
                </c:pt>
                <c:pt idx="6">
                  <c:v>23.222281999999968</c:v>
                </c:pt>
                <c:pt idx="7">
                  <c:v>8.4952430000000003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EE44-44A6-90C6-331880184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597168"/>
        <c:axId val="204597560"/>
      </c:lineChart>
      <c:lineChart>
        <c:grouping val="standard"/>
        <c:varyColors val="0"/>
        <c:ser>
          <c:idx val="2"/>
          <c:order val="3"/>
          <c:tx>
            <c:strRef>
              <c:f>ANOMÁLIE!$L$92</c:f>
              <c:strCache>
                <c:ptCount val="1"/>
                <c:pt idx="0">
                  <c:v>ČETNOST VÝSKYTU</c:v>
                </c:pt>
              </c:strCache>
            </c:strRef>
          </c:tx>
          <c:spPr>
            <a:ln w="19050">
              <a:noFill/>
            </a:ln>
          </c:spPr>
          <c:marker>
            <c:symbol val="triangle"/>
            <c:size val="20"/>
            <c:spPr>
              <a:solidFill>
                <a:srgbClr val="F8CBAD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7.1953116377746318E-2"/>
                  <c:y val="-3.4083823236182059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964183034144024E-2"/>
                      <c:h val="4.858693948782616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EE44-44A6-90C6-331880184C2A}"/>
                </c:ext>
              </c:extLst>
            </c:dLbl>
            <c:dLbl>
              <c:idx val="1"/>
              <c:layout>
                <c:manualLayout>
                  <c:x val="-6.3886081245995305E-2"/>
                  <c:y val="-7.4353319093070469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VÝSKYTY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863720073664822E-2"/>
                      <c:h val="3.619636781319791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EE44-44A6-90C6-331880184C2A}"/>
                </c:ext>
              </c:extLst>
            </c:dLbl>
            <c:dLbl>
              <c:idx val="2"/>
              <c:layout>
                <c:manualLayout>
                  <c:x val="-6.7919559112285519E-2"/>
                  <c:y val="-3.7181476763635125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863720073664822E-2"/>
                      <c:h val="3.619636781319791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EE44-44A6-90C6-331880184C2A}"/>
                </c:ext>
              </c:extLst>
            </c:dLbl>
            <c:dLbl>
              <c:idx val="3"/>
              <c:layout>
                <c:manualLayout>
                  <c:x val="-6.6911269044883551E-2"/>
                  <c:y val="-4.3376783818540918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913966234708717E-2"/>
                      <c:h val="4.548928596037320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6-EE44-44A6-90C6-331880184C2A}"/>
                </c:ext>
              </c:extLst>
            </c:dLbl>
            <c:dLbl>
              <c:idx val="4"/>
              <c:layout>
                <c:manualLayout>
                  <c:x val="-6.6911269044883551E-2"/>
                  <c:y val="-4.0279191268519608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947444100998917E-2"/>
                      <c:h val="4.239163243292024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EE44-44A6-90C6-331880184C2A}"/>
                </c:ext>
              </c:extLst>
            </c:dLbl>
            <c:dLbl>
              <c:idx val="5"/>
              <c:layout>
                <c:manualLayout>
                  <c:x val="-6.8620097994456272E-2"/>
                  <c:y val="-4.6476205691511514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997660900434238E-2"/>
                      <c:h val="5.168459301527910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8-EE44-44A6-90C6-331880184C2A}"/>
                </c:ext>
              </c:extLst>
            </c:dLbl>
            <c:dLbl>
              <c:idx val="6"/>
              <c:layout>
                <c:manualLayout>
                  <c:x val="-8.0986042419800883E-2"/>
                  <c:y val="4.895347482943091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964183034144024E-2"/>
                      <c:h val="5.47822465427320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EE44-44A6-90C6-331880184C2A}"/>
                </c:ext>
              </c:extLst>
            </c:dLbl>
            <c:dLbl>
              <c:idx val="7"/>
              <c:layout>
                <c:manualLayout>
                  <c:x val="-6.3886160645165904E-2"/>
                  <c:y val="4.6165281767565007E-2"/>
                </c:manualLayout>
              </c:layout>
              <c:tx>
                <c:rich>
                  <a:bodyPr/>
                  <a:lstStyle/>
                  <a:p>
                    <a:fld id="{6E470F33-6E2D-4B7D-A066-29895FBB75BE}" type="VALUE">
                      <a:rPr lang="en-US" sz="800"/>
                      <a:pPr/>
                      <a:t>[HODNOTA]</a:t>
                    </a:fld>
                    <a:r>
                      <a:rPr lang="en-US" sz="800"/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93070516785381E-2"/>
                      <c:h val="4.858693948782616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A-EE44-44A6-90C6-331880184C2A}"/>
                </c:ext>
              </c:extLst>
            </c:dLbl>
            <c:numFmt formatCode="#,##0" sourceLinked="0"/>
            <c:spPr>
              <a:solidFill>
                <a:srgbClr val="F8CBAD">
                  <a:alpha val="79000"/>
                </a:srgbClr>
              </a:solidFill>
              <a:ln>
                <a:noFill/>
              </a:ln>
              <a:effectLst/>
            </c:spPr>
            <c:txPr>
              <a:bodyPr wrap="square" lIns="38100" tIns="19050" rIns="38100" bIns="19050" anchor="ctr">
                <a:noAutofit/>
              </a:bodyPr>
              <a:lstStyle/>
              <a:p>
                <a:pPr>
                  <a:defRPr sz="8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ANOMÁLIE!$H$93:$H$100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ANOMÁLIE!$L$93:$L$100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16</c:v>
                </c:pt>
                <c:pt idx="4">
                  <c:v>59</c:v>
                </c:pt>
                <c:pt idx="5">
                  <c:v>874</c:v>
                </c:pt>
                <c:pt idx="6">
                  <c:v>1856</c:v>
                </c:pt>
                <c:pt idx="7">
                  <c:v>1855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EE44-44A6-90C6-331880184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598344"/>
        <c:axId val="204597952"/>
      </c:lineChart>
      <c:catAx>
        <c:axId val="20459716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txPr>
          <a:bodyPr rot="-2880000" vert="horz" anchor="t" anchorCtr="0"/>
          <a:lstStyle/>
          <a:p>
            <a:pPr>
              <a:defRPr sz="100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  <c:crossAx val="204597560"/>
        <c:crosses val="autoZero"/>
        <c:auto val="1"/>
        <c:lblAlgn val="ctr"/>
        <c:lblOffset val="100"/>
        <c:noMultiLvlLbl val="0"/>
      </c:catAx>
      <c:valAx>
        <c:axId val="204597560"/>
        <c:scaling>
          <c:orientation val="minMax"/>
          <c:max val="16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solidFill>
                      <a:srgbClr val="002060"/>
                    </a:solidFill>
                    <a:latin typeface="+mj-lt"/>
                  </a:defRPr>
                </a:pPr>
                <a:r>
                  <a:rPr lang="cs-CZ" sz="1050" b="1" i="0" u="none" strike="noStrike" cap="all" baseline="0">
                    <a:solidFill>
                      <a:schemeClr val="accent2">
                        <a:lumMod val="50000"/>
                      </a:schemeClr>
                    </a:solidFill>
                  </a:rPr>
                  <a:t>MNOŽSTVÍ odpadní a srážkové vody FAKTUROVANÉ </a:t>
                </a:r>
                <a:r>
                  <a:rPr lang="en-US" sz="1050" b="1" i="0" u="none" strike="noStrike" cap="all" baseline="0">
                    <a:solidFill>
                      <a:schemeClr val="accent2">
                        <a:lumMod val="50000"/>
                      </a:schemeClr>
                    </a:solidFill>
                  </a:rPr>
                  <a:t>[MIL.M3</a:t>
                </a:r>
                <a:endParaRPr lang="sk-SK" sz="1050" baseline="30000">
                  <a:solidFill>
                    <a:schemeClr val="accent2">
                      <a:lumMod val="50000"/>
                    </a:schemeClr>
                  </a:solidFill>
                  <a:latin typeface="+mj-lt"/>
                </a:endParaRPr>
              </a:p>
            </c:rich>
          </c:tx>
          <c:layout/>
          <c:overlay val="0"/>
        </c:title>
        <c:numFmt formatCode="0.000" sourceLinked="1"/>
        <c:majorTickMark val="none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>
                <a:solidFill>
                  <a:schemeClr val="accent2">
                    <a:lumMod val="50000"/>
                  </a:schemeClr>
                </a:solidFill>
              </a:defRPr>
            </a:pPr>
            <a:endParaRPr lang="cs-CZ"/>
          </a:p>
        </c:txPr>
        <c:crossAx val="204597168"/>
        <c:crosses val="autoZero"/>
        <c:crossBetween val="between"/>
      </c:valAx>
      <c:valAx>
        <c:axId val="204597952"/>
        <c:scaling>
          <c:orientation val="minMax"/>
          <c:max val="19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accent2">
                    <a:lumMod val="50000"/>
                  </a:schemeClr>
                </a:solidFill>
              </a:defRPr>
            </a:pPr>
            <a:endParaRPr lang="cs-CZ"/>
          </a:p>
        </c:txPr>
        <c:crossAx val="204598344"/>
        <c:crosses val="max"/>
        <c:crossBetween val="between"/>
      </c:valAx>
      <c:catAx>
        <c:axId val="204598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459795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1149860848730343E-3"/>
          <c:y val="0.93215285090835032"/>
          <c:w val="0.99416637622862691"/>
          <c:h val="6.0057526109011793E-2"/>
        </c:manualLayout>
      </c:layout>
      <c:overlay val="0"/>
      <c:txPr>
        <a:bodyPr/>
        <a:lstStyle/>
        <a:p>
          <a:pPr>
            <a:defRPr sz="900" b="0">
              <a:solidFill>
                <a:schemeClr val="accent2">
                  <a:lumMod val="50000"/>
                </a:schemeClr>
              </a:solidFill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 algn="l">
              <a:defRPr sz="1200">
                <a:solidFill>
                  <a:srgbClr val="002060"/>
                </a:solidFill>
                <a:latin typeface="+mj-lt"/>
              </a:defRPr>
            </a:pP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VÝSKYT ANOMÁLIÍ </a:t>
            </a:r>
            <a:r>
              <a:rPr lang="cs-CZ" sz="12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rPr>
              <a:t>VE </a:t>
            </a: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VZTAHU </a:t>
            </a:r>
            <a:r>
              <a:rPr lang="cs-CZ" sz="12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rPr>
              <a:t>K </a:t>
            </a: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MNOŽSTVÍ VODY PITNÉ FAKTUROVANÉ </a:t>
            </a:r>
            <a:r>
              <a:rPr lang="en-US" sz="1200" b="1" i="0" baseline="0">
                <a:solidFill>
                  <a:srgbClr val="002060"/>
                </a:solidFill>
                <a:latin typeface="+mj-lt"/>
              </a:rPr>
              <a:t>[MIL.M</a:t>
            </a:r>
            <a:r>
              <a:rPr lang="en-US" sz="1200" b="1" i="0" baseline="30000">
                <a:solidFill>
                  <a:srgbClr val="002060"/>
                </a:solidFill>
                <a:latin typeface="+mj-lt"/>
              </a:rPr>
              <a:t>3</a:t>
            </a:r>
            <a:r>
              <a:rPr lang="en-US" sz="1200" b="1" i="0" baseline="0">
                <a:solidFill>
                  <a:srgbClr val="002060"/>
                </a:solidFill>
                <a:latin typeface="+mj-lt"/>
              </a:rPr>
              <a:t>]</a:t>
            </a: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 </a:t>
            </a:r>
            <a:endParaRPr lang="sk-SK" sz="1200">
              <a:solidFill>
                <a:srgbClr val="002060"/>
              </a:solidFill>
              <a:latin typeface="+mj-lt"/>
            </a:endParaRPr>
          </a:p>
          <a:p>
            <a:pPr algn="l">
              <a:defRPr sz="1200">
                <a:solidFill>
                  <a:srgbClr val="002060"/>
                </a:solidFill>
                <a:latin typeface="+mj-lt"/>
              </a:defRPr>
            </a:pP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BENCHMARKINGU VLASTNICKÝCH SUBJEKTŮ 2018 - VODOVODY</a:t>
            </a:r>
            <a:endParaRPr lang="sk-SK" sz="1200">
              <a:solidFill>
                <a:srgbClr val="002060"/>
              </a:solidFill>
              <a:latin typeface="+mj-lt"/>
            </a:endParaRPr>
          </a:p>
        </c:rich>
      </c:tx>
      <c:layout>
        <c:manualLayout>
          <c:xMode val="edge"/>
          <c:yMode val="edge"/>
          <c:x val="1.4344998339594587E-3"/>
          <c:y val="7.0280980043589127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535252617480535"/>
          <c:y val="0.13810462876846788"/>
          <c:w val="0.47565370071057905"/>
          <c:h val="0.7636357669791966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grafy_anomalie!$B$59</c:f>
              <c:strCache>
                <c:ptCount val="1"/>
                <c:pt idx="0">
                  <c:v>NALEZENÁ ANOMÁLIE</c:v>
                </c:pt>
              </c:strCache>
            </c:strRef>
          </c:tx>
          <c:spPr>
            <a:solidFill>
              <a:srgbClr val="C183DD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0.19424311525356724"/>
                  <c:y val="4.804782277885747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819BF18E-C9AC-44A1-9D96-FE5E367CB0C0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64063225385275"/>
                      <c:h val="4.709948643338163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042F-4977-AEA8-44CD81FC88C5}"/>
                </c:ext>
              </c:extLst>
            </c:dLbl>
            <c:dLbl>
              <c:idx val="1"/>
              <c:layout>
                <c:manualLayout>
                  <c:x val="0.19633979820041977"/>
                  <c:y val="1.3868252858593621E-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97A7A31F-4118-48E2-A830-617B0FF32584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61166644830159"/>
                      <c:h val="4.3897180773306385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042F-4977-AEA8-44CD81FC88C5}"/>
                </c:ext>
              </c:extLst>
            </c:dLbl>
            <c:dLbl>
              <c:idx val="2"/>
              <c:layout>
                <c:manualLayout>
                  <c:x val="0.193253959538601"/>
                  <c:y val="4.8047192403727536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29426DE7-33AD-49C1-89E6-E50317EC2328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2176574254081"/>
                      <c:h val="4.7099360358355651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042F-4977-AEA8-44CD81FC88C5}"/>
                </c:ext>
              </c:extLst>
            </c:dLbl>
            <c:dLbl>
              <c:idx val="3"/>
              <c:layout>
                <c:manualLayout>
                  <c:x val="0.19710190477416639"/>
                  <c:y val="2.4030530328293083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3D00EA5B-1FDF-4FB9-838A-C5AA54DCE433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91354789653891"/>
                      <c:h val="5.1902818848468528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042F-4977-AEA8-44CD81FC88C5}"/>
                </c:ext>
              </c:extLst>
            </c:dLbl>
            <c:dLbl>
              <c:idx val="4"/>
              <c:layout>
                <c:manualLayout>
                  <c:x val="0.19421645704886101"/>
                  <c:y val="8.0183716527868572E-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841CEB0E-5D40-4FFC-B12A-4BE8790D60A0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92032074667209"/>
                      <c:h val="4.2295901868242773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042F-4977-AEA8-44CD81FC88C5}"/>
                </c:ext>
              </c:extLst>
            </c:dLbl>
            <c:dLbl>
              <c:idx val="5"/>
              <c:layout>
                <c:manualLayout>
                  <c:x val="0.19806432655089029"/>
                  <c:y val="2.4029899953161953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8A78BF65-EC0D-4898-8A6D-A48512436E19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61605975073063"/>
                      <c:h val="4.2295901868242773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042F-4977-AEA8-44CD81FC88C5}"/>
                </c:ext>
              </c:extLst>
            </c:dLbl>
            <c:dLbl>
              <c:idx val="6"/>
              <c:layout>
                <c:manualLayout>
                  <c:x val="0.19229276105893475"/>
                  <c:y val="4.0041182681726387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D988E1F4-F174-460B-80BD-AAD9E9CB5A9E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07305711293157"/>
                      <c:h val="4.8700513188393281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042F-4977-AEA8-44CD81FC88C5}"/>
                </c:ext>
              </c:extLst>
            </c:dLbl>
            <c:dLbl>
              <c:idx val="7"/>
              <c:layout>
                <c:manualLayout>
                  <c:x val="0.19806175161066292"/>
                  <c:y val="1.6024135802974405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D75E9BC3-2E04-45D9-8D1B-FE1CA1962B4B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61090987027602"/>
                      <c:h val="4.389705469828039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042F-4977-AEA8-44CD81FC88C5}"/>
                </c:ext>
              </c:extLst>
            </c:dLbl>
            <c:dLbl>
              <c:idx val="8"/>
              <c:layout>
                <c:manualLayout>
                  <c:x val="0.2105763946390416"/>
                  <c:y val="3.2036179188692591E-3"/>
                </c:manualLayout>
              </c:layout>
              <c:tx>
                <c:rich>
                  <a:bodyPr/>
                  <a:lstStyle/>
                  <a:p>
                    <a:fld id="{6E9D1002-040B-4EE9-B6B7-438ADF7FB3C2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042F-4977-AEA8-44CD81FC88C5}"/>
                </c:ext>
              </c:extLst>
            </c:dLbl>
            <c:dLbl>
              <c:idx val="9"/>
              <c:layout>
                <c:manualLayout>
                  <c:x val="0.21153883729331371"/>
                  <c:y val="1.6024766178104341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AFB6E53C-5B0F-4FF5-806C-B78F0206EF3D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309250321299527"/>
                      <c:h val="4.0694749038205136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042F-4977-AEA8-44CD81FC88C5}"/>
                </c:ext>
              </c:extLst>
            </c:dLbl>
            <c:dLbl>
              <c:idx val="10"/>
              <c:layout>
                <c:manualLayout>
                  <c:x val="0.18555890213636717"/>
                  <c:y val="8.0183716527862695E-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1154A706-375E-4E83-9C76-2EE6FD177F4E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60505945461252"/>
                      <c:h val="4.549820752831802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042F-4977-AEA8-44CD81FC88C5}"/>
                </c:ext>
              </c:extLst>
            </c:dLbl>
            <c:dLbl>
              <c:idx val="11"/>
              <c:layout>
                <c:manualLayout>
                  <c:x val="0.18940283349451953"/>
                  <c:y val="1.3237877728691956E-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0E0FC5AD-C534-414E-997F-5B16A172B8A8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029307363798916"/>
                      <c:h val="4.0694749038205143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042F-4977-AEA8-44CD81FC88C5}"/>
                </c:ext>
              </c:extLst>
            </c:dLbl>
            <c:dLbl>
              <c:idx val="12"/>
              <c:layout>
                <c:manualLayout>
                  <c:x val="0.21057633978305371"/>
                  <c:y val="-1.599892079777755E-3"/>
                </c:manualLayout>
              </c:layout>
              <c:tx>
                <c:rich>
                  <a:bodyPr/>
                  <a:lstStyle/>
                  <a:p>
                    <a:fld id="{45CA1EB6-2B1F-42B3-8DFD-DA6542141A75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C-042F-4977-AEA8-44CD81FC88C5}"/>
                </c:ext>
              </c:extLst>
            </c:dLbl>
            <c:dLbl>
              <c:idx val="13"/>
              <c:layout>
                <c:manualLayout>
                  <c:x val="0.19036987501694538"/>
                  <c:y val="1.2607502598427933E-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>
                        <a:solidFill>
                          <a:srgbClr val="002060"/>
                        </a:solidFill>
                      </a:defRPr>
                    </a:pPr>
                    <a:fld id="{3BF2E689-6FC8-4F24-BA78-BFF10FC0D815}" type="CELLRANGE">
                      <a:rPr lang="en-US"/>
                      <a:pPr>
                        <a:defRPr sz="900"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98363322551399"/>
                      <c:h val="4.0694749038205143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042F-4977-AEA8-44CD81FC88C5}"/>
                </c:ext>
              </c:extLst>
            </c:dLbl>
            <c:dLbl>
              <c:idx val="14"/>
              <c:layout>
                <c:manualLayout>
                  <c:x val="0.21057639463904151"/>
                  <c:y val="3.2036179188692396E-3"/>
                </c:manualLayout>
              </c:layout>
              <c:tx>
                <c:rich>
                  <a:bodyPr/>
                  <a:lstStyle/>
                  <a:p>
                    <a:fld id="{E3817809-826C-476A-B966-B81905D6B4E0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E-042F-4977-AEA8-44CD81FC88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solidFill>
                      <a:srgbClr val="002060"/>
                    </a:solidFill>
                  </a:defRPr>
                </a:pPr>
                <a:endParaRPr lang="cs-CZ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grafy_anomalie!$A$60:$A$74</c:f>
              <c:strCache>
                <c:ptCount val="15"/>
                <c:pt idx="0">
                  <c:v>NULOVÁ CENA PRO VODNÉ</c:v>
                </c:pt>
                <c:pt idx="1">
                  <c:v>NULOVÉ ODPISY + NULOVÉ OPRAVY +4.4 VE SMÍŠENÉM NEBO KOMBINOVANÉM MODELU</c:v>
                </c:pt>
                <c:pt idx="2">
                  <c:v>NÍZKÁ CENA PRO VODNÉ  (NA ÚROVNI 10% PERCENTILU Z CELÉHO SOUBORU DAT)</c:v>
                </c:pt>
                <c:pt idx="3">
                  <c:v>ZÁPORNÝ ZISK KALKULOVÁN A ZÁPORNÝ DOSAŽEN</c:v>
                </c:pt>
                <c:pt idx="4">
                  <c:v>NULOVÉ ZTRÁTY</c:v>
                </c:pt>
                <c:pt idx="5">
                  <c:v>VYSOKÉ ZTRÁTY VODY V M3 NA 1 KM PŘEPOČTENÉ DÉLKY VODOVODNÍHO ŘADU NA DEN (PŘEVYŠUJE 1,5 NÁSOBEK MEDIÁNU SKUPINY Z POROVNÁNÍ VYKAZUJÍCÍCH ZTRÁTY VODY NAD 4 M3/KM/DEN)</c:v>
                </c:pt>
                <c:pt idx="6">
                  <c:v>NULOVÝ CELÝ ŘÁDEK 20</c:v>
                </c:pt>
                <c:pt idx="7">
                  <c:v>KALKULOVÁN KLADNÝ NEBO NULOVÝ ZISK A DOSAŽEN ZÁPORNÝ ZISK</c:v>
                </c:pt>
                <c:pt idx="8">
                  <c:v>ZÁPORNÝ KALKULAČNÍ ZISK</c:v>
                </c:pt>
                <c:pt idx="9">
                  <c:v>VYSOKÁ HODNOTA NEFAKTUROVANÉ VODY V M3 NA KM PŘEPOČTENÉ DÉLKY (PŘEVYŠUJE 1,5 NÁSOBEK MEDIÁNU SKUPINY Z POROVNÁNÍ VYKAZUJÍCÍCH ZTRÁTY VODY NAD 4 M3/KM/DEN)</c:v>
                </c:pt>
                <c:pt idx="10">
                  <c:v>NÁJEM JE MENŠÍ NEBO ROVEN 0 V ODDÍLNÉM (BEZ SERVISNÍCH SMLUV) NEBO KOMBINOVANÉM MODELU</c:v>
                </c:pt>
                <c:pt idx="11">
                  <c:v>OKF &gt; 1 A NEPLNÍ OBNOVU</c:v>
                </c:pt>
                <c:pt idx="12">
                  <c:v>NEDOSTATEČNÁ TVORBA PROSTŘEDKŮ NA OBNOVU VIM</c:v>
                </c:pt>
                <c:pt idx="13">
                  <c:v>VYSOKÝ PODÍL KALKULAČNÍHO ZISKU K ROZDĚLENÍ NA ÚVN (BEZ ČÁSTI NA OBNOVU A ROZVOJ) (HODNOTA VÍCE NEŽ 1,5 NÁSOBEK MEDIÁNU SKUPINY Z POROVNÁNÍ S KLADNÝM KALKULAČNÍM ZISKEM)</c:v>
                </c:pt>
                <c:pt idx="14">
                  <c:v>VYSOKÁ PORUCHOVOST (POČET PORUCH /KM VYŠŠÍ NEŽ 1,5 NÁS. MEDIÁNU SKUPINY BEZ POROVNÁNÍ S NULOVÝM POČTEM PORUCH)</c:v>
                </c:pt>
              </c:strCache>
            </c:strRef>
          </c:cat>
          <c:val>
            <c:numRef>
              <c:f>grafy_anomalie!$B$60:$B$74</c:f>
              <c:numCache>
                <c:formatCode>General</c:formatCode>
                <c:ptCount val="15"/>
                <c:pt idx="0">
                  <c:v>0.24662499999999998</c:v>
                </c:pt>
                <c:pt idx="1">
                  <c:v>0.87751099999999982</c:v>
                </c:pt>
                <c:pt idx="2">
                  <c:v>5.1114069999999998</c:v>
                </c:pt>
                <c:pt idx="3">
                  <c:v>7.5690089999999977</c:v>
                </c:pt>
                <c:pt idx="4">
                  <c:v>7.6814249999999991</c:v>
                </c:pt>
                <c:pt idx="5">
                  <c:v>23.83276</c:v>
                </c:pt>
                <c:pt idx="6">
                  <c:v>23.913457999999999</c:v>
                </c:pt>
                <c:pt idx="7">
                  <c:v>24.143975999999999</c:v>
                </c:pt>
                <c:pt idx="8">
                  <c:v>31.712985</c:v>
                </c:pt>
                <c:pt idx="9">
                  <c:v>32.345269000000002</c:v>
                </c:pt>
                <c:pt idx="10">
                  <c:v>36.572038999999997</c:v>
                </c:pt>
                <c:pt idx="11">
                  <c:v>61.312389000000003</c:v>
                </c:pt>
                <c:pt idx="12">
                  <c:v>115.68498699999998</c:v>
                </c:pt>
                <c:pt idx="13">
                  <c:v>119.99661</c:v>
                </c:pt>
                <c:pt idx="14">
                  <c:v>198.65747799999997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grafy_anomalie!$K$60:$K$74</c15:f>
                <c15:dlblRangeCache>
                  <c:ptCount val="15"/>
                  <c:pt idx="0">
                    <c:v>0,25 MIL.M3;0,05 %; 8 VÝSKYTŮ</c:v>
                  </c:pt>
                  <c:pt idx="1">
                    <c:v>0,88 MIL.M3;0,18 %; 82 VÝSKYTŮ</c:v>
                  </c:pt>
                  <c:pt idx="2">
                    <c:v>5,11 MIL.M3;1,07 %; 187 VÝSKYTŮ</c:v>
                  </c:pt>
                  <c:pt idx="3">
                    <c:v>7,57 MIL.M3;1,59 %; 421 VÝSKYTŮ</c:v>
                  </c:pt>
                  <c:pt idx="4">
                    <c:v>7,68 MIL.M3;1,61 %; 369 VÝSKYTŮ</c:v>
                  </c:pt>
                  <c:pt idx="5">
                    <c:v>23,83 MIL.M3;5 %; 85 VÝSKYTŮ</c:v>
                  </c:pt>
                  <c:pt idx="6">
                    <c:v>23,91 MIL.M3;5,01 %; 401 VÝSKYTŮ</c:v>
                  </c:pt>
                  <c:pt idx="7">
                    <c:v>24,14 MIL.M3;5,06 %; 685 VÝSKYTŮ</c:v>
                  </c:pt>
                  <c:pt idx="8">
                    <c:v>31,71 MIL.M3;6,65 %; 1106 VÝSKYTŮ</c:v>
                  </c:pt>
                  <c:pt idx="9">
                    <c:v>32,35 MIL.M3;6,78 %; 120 VÝSKYTŮ</c:v>
                  </c:pt>
                  <c:pt idx="10">
                    <c:v>36,57 MIL.M3;7,67 %; 235 VÝSKYTŮ</c:v>
                  </c:pt>
                  <c:pt idx="11">
                    <c:v>61,31 MIL.M3;12,86 %; 15 VÝSKYTŮ</c:v>
                  </c:pt>
                  <c:pt idx="12">
                    <c:v>115,68 MIL.M3;24,26 %; 1564 VÝSKYTŮ</c:v>
                  </c:pt>
                  <c:pt idx="13">
                    <c:v>120 MIL.M3;25,16 %; 266 VÝSKYTŮ</c:v>
                  </c:pt>
                  <c:pt idx="14">
                    <c:v>198,66 MIL.M3;41,66 %; 397 VÝSKYTŮ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F-042F-4977-AEA8-44CD81FC88C5}"/>
            </c:ext>
          </c:extLst>
        </c:ser>
        <c:ser>
          <c:idx val="4"/>
          <c:order val="4"/>
          <c:tx>
            <c:strRef>
              <c:f>grafy_anomalie!$F$59</c:f>
              <c:strCache>
                <c:ptCount val="1"/>
                <c:pt idx="0">
                  <c:v>BEZ VÝSKYTU DANÉ ANOMÁLIE</c:v>
                </c:pt>
              </c:strCache>
            </c:strRef>
          </c:tx>
          <c:spPr>
            <a:solidFill>
              <a:srgbClr val="5B9BD5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grafy_anomalie!$A$60:$A$74</c:f>
              <c:strCache>
                <c:ptCount val="15"/>
                <c:pt idx="0">
                  <c:v>NULOVÁ CENA PRO VODNÉ</c:v>
                </c:pt>
                <c:pt idx="1">
                  <c:v>NULOVÉ ODPISY + NULOVÉ OPRAVY +4.4 VE SMÍŠENÉM NEBO KOMBINOVANÉM MODELU</c:v>
                </c:pt>
                <c:pt idx="2">
                  <c:v>NÍZKÁ CENA PRO VODNÉ  (NA ÚROVNI 10% PERCENTILU Z CELÉHO SOUBORU DAT)</c:v>
                </c:pt>
                <c:pt idx="3">
                  <c:v>ZÁPORNÝ ZISK KALKULOVÁN A ZÁPORNÝ DOSAŽEN</c:v>
                </c:pt>
                <c:pt idx="4">
                  <c:v>NULOVÉ ZTRÁTY</c:v>
                </c:pt>
                <c:pt idx="5">
                  <c:v>VYSOKÉ ZTRÁTY VODY V M3 NA 1 KM PŘEPOČTENÉ DÉLKY VODOVODNÍHO ŘADU NA DEN (PŘEVYŠUJE 1,5 NÁSOBEK MEDIÁNU SKUPINY Z POROVNÁNÍ VYKAZUJÍCÍCH ZTRÁTY VODY NAD 4 M3/KM/DEN)</c:v>
                </c:pt>
                <c:pt idx="6">
                  <c:v>NULOVÝ CELÝ ŘÁDEK 20</c:v>
                </c:pt>
                <c:pt idx="7">
                  <c:v>KALKULOVÁN KLADNÝ NEBO NULOVÝ ZISK A DOSAŽEN ZÁPORNÝ ZISK</c:v>
                </c:pt>
                <c:pt idx="8">
                  <c:v>ZÁPORNÝ KALKULAČNÍ ZISK</c:v>
                </c:pt>
                <c:pt idx="9">
                  <c:v>VYSOKÁ HODNOTA NEFAKTUROVANÉ VODY V M3 NA KM PŘEPOČTENÉ DÉLKY (PŘEVYŠUJE 1,5 NÁSOBEK MEDIÁNU SKUPINY Z POROVNÁNÍ VYKAZUJÍCÍCH ZTRÁTY VODY NAD 4 M3/KM/DEN)</c:v>
                </c:pt>
                <c:pt idx="10">
                  <c:v>NÁJEM JE MENŠÍ NEBO ROVEN 0 V ODDÍLNÉM (BEZ SERVISNÍCH SMLUV) NEBO KOMBINOVANÉM MODELU</c:v>
                </c:pt>
                <c:pt idx="11">
                  <c:v>OKF &gt; 1 A NEPLNÍ OBNOVU</c:v>
                </c:pt>
                <c:pt idx="12">
                  <c:v>NEDOSTATEČNÁ TVORBA PROSTŘEDKŮ NA OBNOVU VIM</c:v>
                </c:pt>
                <c:pt idx="13">
                  <c:v>VYSOKÝ PODÍL KALKULAČNÍHO ZISKU K ROZDĚLENÍ NA ÚVN (BEZ ČÁSTI NA OBNOVU A ROZVOJ) (HODNOTA VÍCE NEŽ 1,5 NÁSOBEK MEDIÁNU SKUPINY Z POROVNÁNÍ S KLADNÝM KALKULAČNÍM ZISKEM)</c:v>
                </c:pt>
                <c:pt idx="14">
                  <c:v>VYSOKÁ PORUCHOVOST (POČET PORUCH /KM VYŠŠÍ NEŽ 1,5 NÁS. MEDIÁNU SKUPINY BEZ POROVNÁNÍ S NULOVÝM POČTEM PORUCH)</c:v>
                </c:pt>
              </c:strCache>
            </c:strRef>
          </c:cat>
          <c:val>
            <c:numRef>
              <c:f>grafy_anomalie!$F$60:$F$74</c:f>
              <c:numCache>
                <c:formatCode>#,##0.00</c:formatCode>
                <c:ptCount val="15"/>
                <c:pt idx="0">
                  <c:v>476.63995399999999</c:v>
                </c:pt>
                <c:pt idx="1">
                  <c:v>476.00995399999999</c:v>
                </c:pt>
                <c:pt idx="2">
                  <c:v>471.77995399999998</c:v>
                </c:pt>
                <c:pt idx="3">
                  <c:v>469.319954</c:v>
                </c:pt>
                <c:pt idx="4">
                  <c:v>469.20995399999998</c:v>
                </c:pt>
                <c:pt idx="5">
                  <c:v>453.059954</c:v>
                </c:pt>
                <c:pt idx="6">
                  <c:v>452.97995399999996</c:v>
                </c:pt>
                <c:pt idx="7">
                  <c:v>452.749954</c:v>
                </c:pt>
                <c:pt idx="8">
                  <c:v>445.17995400000001</c:v>
                </c:pt>
                <c:pt idx="9">
                  <c:v>444.53995399999997</c:v>
                </c:pt>
                <c:pt idx="10">
                  <c:v>440.319954</c:v>
                </c:pt>
                <c:pt idx="11">
                  <c:v>415.57995399999999</c:v>
                </c:pt>
                <c:pt idx="12">
                  <c:v>361.20995399999998</c:v>
                </c:pt>
                <c:pt idx="13">
                  <c:v>356.88995399999999</c:v>
                </c:pt>
                <c:pt idx="14">
                  <c:v>278.22995400000002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10-042F-4977-AEA8-44CD81FC88C5}"/>
            </c:ext>
          </c:extLst>
        </c:ser>
        <c:ser>
          <c:idx val="5"/>
          <c:order val="5"/>
          <c:tx>
            <c:strRef>
              <c:f>grafy_anomalie!$G$59</c:f>
              <c:strCache>
                <c:ptCount val="1"/>
                <c:pt idx="0">
                  <c:v>NEANALIZOVANÁ DATA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grafy_anomalie!$A$60:$A$74</c:f>
              <c:strCache>
                <c:ptCount val="15"/>
                <c:pt idx="0">
                  <c:v>NULOVÁ CENA PRO VODNÉ</c:v>
                </c:pt>
                <c:pt idx="1">
                  <c:v>NULOVÉ ODPISY + NULOVÉ OPRAVY +4.4 VE SMÍŠENÉM NEBO KOMBINOVANÉM MODELU</c:v>
                </c:pt>
                <c:pt idx="2">
                  <c:v>NÍZKÁ CENA PRO VODNÉ  (NA ÚROVNI 10% PERCENTILU Z CELÉHO SOUBORU DAT)</c:v>
                </c:pt>
                <c:pt idx="3">
                  <c:v>ZÁPORNÝ ZISK KALKULOVÁN A ZÁPORNÝ DOSAŽEN</c:v>
                </c:pt>
                <c:pt idx="4">
                  <c:v>NULOVÉ ZTRÁTY</c:v>
                </c:pt>
                <c:pt idx="5">
                  <c:v>VYSOKÉ ZTRÁTY VODY V M3 NA 1 KM PŘEPOČTENÉ DÉLKY VODOVODNÍHO ŘADU NA DEN (PŘEVYŠUJE 1,5 NÁSOBEK MEDIÁNU SKUPINY Z POROVNÁNÍ VYKAZUJÍCÍCH ZTRÁTY VODY NAD 4 M3/KM/DEN)</c:v>
                </c:pt>
                <c:pt idx="6">
                  <c:v>NULOVÝ CELÝ ŘÁDEK 20</c:v>
                </c:pt>
                <c:pt idx="7">
                  <c:v>KALKULOVÁN KLADNÝ NEBO NULOVÝ ZISK A DOSAŽEN ZÁPORNÝ ZISK</c:v>
                </c:pt>
                <c:pt idx="8">
                  <c:v>ZÁPORNÝ KALKULAČNÍ ZISK</c:v>
                </c:pt>
                <c:pt idx="9">
                  <c:v>VYSOKÁ HODNOTA NEFAKTUROVANÉ VODY V M3 NA KM PŘEPOČTENÉ DÉLKY (PŘEVYŠUJE 1,5 NÁSOBEK MEDIÁNU SKUPINY Z POROVNÁNÍ VYKAZUJÍCÍCH ZTRÁTY VODY NAD 4 M3/KM/DEN)</c:v>
                </c:pt>
                <c:pt idx="10">
                  <c:v>NÁJEM JE MENŠÍ NEBO ROVEN 0 V ODDÍLNÉM (BEZ SERVISNÍCH SMLUV) NEBO KOMBINOVANÉM MODELU</c:v>
                </c:pt>
                <c:pt idx="11">
                  <c:v>OKF &gt; 1 A NEPLNÍ OBNOVU</c:v>
                </c:pt>
                <c:pt idx="12">
                  <c:v>NEDOSTATEČNÁ TVORBA PROSTŘEDKŮ NA OBNOVU VIM</c:v>
                </c:pt>
                <c:pt idx="13">
                  <c:v>VYSOKÝ PODÍL KALKULAČNÍHO ZISKU K ROZDĚLENÍ NA ÚVN (BEZ ČÁSTI NA OBNOVU A ROZVOJ) (HODNOTA VÍCE NEŽ 1,5 NÁSOBEK MEDIÁNU SKUPINY Z POROVNÁNÍ S KLADNÝM KALKULAČNÍM ZISKEM)</c:v>
                </c:pt>
                <c:pt idx="14">
                  <c:v>VYSOKÁ PORUCHOVOST (POČET PORUCH /KM VYŠŠÍ NEŽ 1,5 NÁS. MEDIÁNU SKUPINY BEZ POROVNÁNÍ S NULOVÝM POČTEM PORUCH)</c:v>
                </c:pt>
              </c:strCache>
            </c:strRef>
          </c:cat>
          <c:val>
            <c:numRef>
              <c:f>grafy_anomalie!$G$60:$G$74</c:f>
              <c:numCache>
                <c:formatCode>0.00</c:formatCode>
                <c:ptCount val="15"/>
                <c:pt idx="0">
                  <c:v>22.021046000000013</c:v>
                </c:pt>
                <c:pt idx="1">
                  <c:v>22.021046000000013</c:v>
                </c:pt>
                <c:pt idx="2">
                  <c:v>22.021046000000013</c:v>
                </c:pt>
                <c:pt idx="3">
                  <c:v>22.021046000000013</c:v>
                </c:pt>
                <c:pt idx="4">
                  <c:v>22.021046000000013</c:v>
                </c:pt>
                <c:pt idx="5">
                  <c:v>22.021046000000013</c:v>
                </c:pt>
                <c:pt idx="6">
                  <c:v>22.021046000000013</c:v>
                </c:pt>
                <c:pt idx="7">
                  <c:v>22.021046000000013</c:v>
                </c:pt>
                <c:pt idx="8">
                  <c:v>22.021046000000013</c:v>
                </c:pt>
                <c:pt idx="9">
                  <c:v>22.021046000000013</c:v>
                </c:pt>
                <c:pt idx="10">
                  <c:v>22.021046000000013</c:v>
                </c:pt>
                <c:pt idx="11">
                  <c:v>22.021046000000013</c:v>
                </c:pt>
                <c:pt idx="12">
                  <c:v>22.021046000000013</c:v>
                </c:pt>
                <c:pt idx="13" formatCode="General">
                  <c:v>22.021046000000013</c:v>
                </c:pt>
                <c:pt idx="14">
                  <c:v>22.021046000000013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11-042F-4977-AEA8-44CD81FC88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107245368"/>
        <c:axId val="10724732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grafy_anomalie!$C$59</c15:sqref>
                        </c15:formulaRef>
                      </c:ext>
                    </c:extLst>
                    <c:strCache>
                      <c:ptCount val="1"/>
                      <c:pt idx="0">
                        <c:v>NALEZENÁ ANOMÁLIE (ZAOKROUHLENO 2 DES. MÍSTA)</c:v>
                      </c:pt>
                    </c:strCache>
                  </c:strRef>
                </c:tx>
                <c:spPr>
                  <a:solidFill>
                    <a:srgbClr val="CE9CE4"/>
                  </a:solidFill>
                  <a:scene3d>
                    <a:camera prst="orthographicFront"/>
                    <a:lightRig rig="threePt" dir="t"/>
                  </a:scene3d>
                  <a:sp3d>
                    <a:bevelT/>
                    <a:bevelB/>
                  </a:sp3d>
                </c:spPr>
                <c:invertIfNegative val="0"/>
                <c:dLbls>
                  <c:dLbl>
                    <c:idx val="0"/>
                    <c:layout>
                      <c:manualLayout>
                        <c:x val="0.20669138845087637"/>
                        <c:y val="0"/>
                      </c:manualLayout>
                    </c:layout>
                    <c:tx>
                      <c:rich>
                        <a:bodyPr/>
                        <a:lstStyle/>
                        <a:p>
                          <a:fld id="{0DB72FF5-4C7E-400C-BA74-B25FBF8B0FBF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2-042F-4977-AEA8-44CD81FC88C5}"/>
                      </c:ext>
                    </c:extLst>
                  </c:dLbl>
                  <c:dLbl>
                    <c:idx val="1"/>
                    <c:layout>
                      <c:manualLayout>
                        <c:x val="0.20669138845087637"/>
                        <c:y val="0"/>
                      </c:manualLayout>
                    </c:layout>
                    <c:tx>
                      <c:rich>
                        <a:bodyPr/>
                        <a:lstStyle/>
                        <a:p>
                          <a:fld id="{313BF95E-AD61-444C-B404-52A326C275EB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3-042F-4977-AEA8-44CD81FC88C5}"/>
                      </c:ext>
                    </c:extLst>
                  </c:dLbl>
                  <c:dLbl>
                    <c:idx val="2"/>
                    <c:layout>
                      <c:manualLayout>
                        <c:x val="0.20669138845087637"/>
                        <c:y val="-1.1872029111904752E-16"/>
                      </c:manualLayout>
                    </c:layout>
                    <c:tx>
                      <c:rich>
                        <a:bodyPr/>
                        <a:lstStyle/>
                        <a:p>
                          <a:fld id="{C9885495-3639-4747-86F7-95793D94B646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4-042F-4977-AEA8-44CD81FC88C5}"/>
                      </c:ext>
                    </c:extLst>
                  </c:dLbl>
                  <c:dLbl>
                    <c:idx val="3"/>
                    <c:layout>
                      <c:manualLayout>
                        <c:x val="0.26904082373506177"/>
                        <c:y val="1.6189317625361088E-3"/>
                      </c:manualLayout>
                    </c:layout>
                    <c:tx>
                      <c:rich>
                        <a:bodyPr/>
                        <a:lstStyle/>
                        <a:p>
                          <a:fld id="{B4DC5CCC-9321-48EF-8F85-A666668C3B8E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5-042F-4977-AEA8-44CD81FC88C5}"/>
                      </c:ext>
                    </c:extLst>
                  </c:dLbl>
                  <c:dLbl>
                    <c:idx val="4"/>
                    <c:layout>
                      <c:manualLayout>
                        <c:x val="0.26080599265979199"/>
                        <c:y val="0"/>
                      </c:manualLayout>
                    </c:layout>
                    <c:tx>
                      <c:rich>
                        <a:bodyPr/>
                        <a:lstStyle/>
                        <a:p>
                          <a:fld id="{CD3D4A4A-F677-46B3-924F-21E75527CA06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6-042F-4977-AEA8-44CD81FC88C5}"/>
                      </c:ext>
                    </c:extLst>
                  </c:dLbl>
                  <c:dLbl>
                    <c:idx val="5"/>
                    <c:layout>
                      <c:manualLayout>
                        <c:x val="0.24433633050925244"/>
                        <c:y val="1.6189317625361088E-3"/>
                      </c:manualLayout>
                    </c:layout>
                    <c:tx>
                      <c:rich>
                        <a:bodyPr/>
                        <a:lstStyle/>
                        <a:p>
                          <a:fld id="{975D0542-0D8F-44B1-87F8-F75AD5DFF658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7-042F-4977-AEA8-44CD81FC88C5}"/>
                      </c:ext>
                    </c:extLst>
                  </c:dLbl>
                  <c:dLbl>
                    <c:idx val="6"/>
                    <c:layout>
                      <c:manualLayout>
                        <c:x val="0.20669138845087628"/>
                        <c:y val="0"/>
                      </c:manualLayout>
                    </c:layout>
                    <c:tx>
                      <c:rich>
                        <a:bodyPr/>
                        <a:lstStyle/>
                        <a:p>
                          <a:fld id="{F402E564-29D5-4961-A5C1-9161ECCB0EA1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8-042F-4977-AEA8-44CD81FC88C5}"/>
                      </c:ext>
                    </c:extLst>
                  </c:dLbl>
                  <c:dLbl>
                    <c:idx val="7"/>
                    <c:layout>
                      <c:manualLayout>
                        <c:x val="0.20669138845087637"/>
                        <c:y val="-5.9360145559523759E-17"/>
                      </c:manualLayout>
                    </c:layout>
                    <c:tx>
                      <c:rich>
                        <a:bodyPr/>
                        <a:lstStyle/>
                        <a:p>
                          <a:fld id="{81EB1326-DC82-452D-9925-3BCF7EC32BD6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9-042F-4977-AEA8-44CD81FC88C5}"/>
                      </c:ext>
                    </c:extLst>
                  </c:dLbl>
                  <c:dLbl>
                    <c:idx val="8"/>
                    <c:layout>
                      <c:manualLayout>
                        <c:x val="0.20669138845087628"/>
                        <c:y val="-1.1872029111904752E-16"/>
                      </c:manualLayout>
                    </c:layout>
                    <c:tx>
                      <c:rich>
                        <a:bodyPr/>
                        <a:lstStyle/>
                        <a:p>
                          <a:fld id="{8213CAB5-735C-430A-AC99-1A2B628FB4C7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A-042F-4977-AEA8-44CD81FC88C5}"/>
                      </c:ext>
                    </c:extLst>
                  </c:dLbl>
                  <c:dLbl>
                    <c:idx val="9"/>
                    <c:layout>
                      <c:manualLayout>
                        <c:x val="0.23374869055533412"/>
                        <c:y val="-1.6189317625361385E-3"/>
                      </c:manualLayout>
                    </c:layout>
                    <c:tx>
                      <c:rich>
                        <a:bodyPr/>
                        <a:lstStyle/>
                        <a:p>
                          <a:fld id="{92C67B32-FB3B-4902-AD4F-E1C56E0B8459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B-042F-4977-AEA8-44CD81FC88C5}"/>
                      </c:ext>
                    </c:extLst>
                  </c:dLbl>
                  <c:dLbl>
                    <c:idx val="10"/>
                    <c:layout>
                      <c:manualLayout>
                        <c:x val="0.20669138845087637"/>
                        <c:y val="1.1872029111904752E-16"/>
                      </c:manualLayout>
                    </c:layout>
                    <c:tx>
                      <c:rich>
                        <a:bodyPr/>
                        <a:lstStyle/>
                        <a:p>
                          <a:fld id="{5D43499D-585F-42ED-9A91-6B67E059E549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C-042F-4977-AEA8-44CD81FC88C5}"/>
                      </c:ext>
                    </c:extLst>
                  </c:dLbl>
                  <c:dLbl>
                    <c:idx val="11"/>
                    <c:tx>
                      <c:rich>
                        <a:bodyPr/>
                        <a:lstStyle/>
                        <a:p>
                          <a:fld id="{AA3D44C5-707C-44CE-83E2-10439FAE5E22}" type="CELLRANGE">
                            <a:rPr lang="cs-CZ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xForSave val="1"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D-042F-4977-AEA8-44CD81FC88C5}"/>
                      </c:ext>
                    </c:extLst>
                  </c:dLbl>
                  <c:dLbl>
                    <c:idx val="12"/>
                    <c:layout>
                      <c:manualLayout>
                        <c:x val="0.20669138845087628"/>
                        <c:y val="-1.1872029111904752E-16"/>
                      </c:manualLayout>
                    </c:layout>
                    <c:tx>
                      <c:rich>
                        <a:bodyPr/>
                        <a:lstStyle/>
                        <a:p>
                          <a:fld id="{20A93A13-C21A-4F9F-AA24-9958BDC94D97}" type="CELLRANGE">
                            <a:rPr lang="en-US"/>
                            <a:pPr/>
                            <a:t>[OBLAST BUNĚK]</a:t>
                          </a:fld>
                          <a:endParaRPr lang="cs-CZ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E-042F-4977-AEA8-44CD81FC88C5}"/>
                      </c:ext>
                    </c:extLst>
                  </c:dLbl>
                  <c:dLbl>
                    <c:idx val="13"/>
                    <c:layout>
                      <c:manualLayout>
                        <c:x val="0.27851310259812156"/>
                        <c:y val="-8.0258223440372769E-4"/>
                      </c:manualLayout>
                    </c:layout>
                    <c:tx>
                      <c:rich>
                        <a:bodyPr wrap="square" lIns="38100" tIns="19050" rIns="38100" bIns="19050" anchor="ctr">
                          <a:noAutofit/>
                        </a:bodyPr>
                        <a:lstStyle/>
                        <a:p>
                          <a:pPr>
                            <a:defRPr/>
                          </a:pPr>
                          <a:fld id="{AEBCDC55-A2AA-4719-9774-36DE701ACCE8}" type="CELLRANGE">
                            <a:rPr lang="en-US"/>
                            <a:pPr>
                              <a:defRPr/>
                            </a:pPr>
                            <a:t>[OBLAST BUNĚK]</a:t>
                          </a:fld>
                          <a:endParaRPr lang="cs-CZ"/>
                        </a:p>
                      </c:rich>
                    </c:tx>
                    <c:spPr>
                      <a:noFill/>
                      <a:ln>
                        <a:noFill/>
                      </a:ln>
                      <a:effectLst/>
                    </c:spPr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>
                        <c15:layout>
                          <c:manualLayout>
                            <c:w val="0.21573209591895798"/>
                            <c:h val="4.2395650605446297E-2"/>
                          </c:manualLayout>
                        </c15:layout>
                        <c15:dlblFieldTable/>
                        <c15:showDataLabelsRange val="1"/>
                      </c:ext>
                      <c:ext xmlns:c16="http://schemas.microsoft.com/office/drawing/2014/chart" uri="{C3380CC4-5D6E-409C-BE32-E72D297353CC}">
                        <c16:uniqueId val="{0000001F-042F-4977-AEA8-44CD81FC88C5}"/>
                      </c:ext>
                    </c:extLst>
                  </c:dLbl>
                  <c:dLbl>
                    <c:idx val="14"/>
                    <c:layout>
                      <c:manualLayout>
                        <c:x val="0.20669138845087637"/>
                        <c:y val="0"/>
                      </c:manualLayout>
                    </c:layout>
                    <c:tx>
                      <c:rich>
                        <a:bodyPr/>
                        <a:lstStyle/>
                        <a:p>
                          <a:endParaRPr lang="en-US"/>
                        </a:p>
                      </c:rich>
                    </c:tx>
                    <c:showLegendKey val="1"/>
                    <c:showVal val="0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0-042F-4977-AEA8-44CD81FC88C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1"/>
                  <c:showVal val="0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DataLabelsRange val="1"/>
                      <c15:showLeaderLines val="1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grafy_anomalie!$A$60:$A$74</c15:sqref>
                        </c15:formulaRef>
                      </c:ext>
                    </c:extLst>
                    <c:strCache>
                      <c:ptCount val="15"/>
                      <c:pt idx="0">
                        <c:v>NULOVÁ CENA PRO VODNÉ</c:v>
                      </c:pt>
                      <c:pt idx="1">
                        <c:v>NULOVÉ ODPISY + NULOVÉ OPRAVY +4.4 VE SMÍŠENÉM NEBO KOMBINOVANÉM MODELU</c:v>
                      </c:pt>
                      <c:pt idx="2">
                        <c:v>NÍZKÁ CENA PRO VODNÉ  (NA ÚROVNI 10% PERCENTILU Z CELÉHO SOUBORU DAT)</c:v>
                      </c:pt>
                      <c:pt idx="3">
                        <c:v>ZÁPORNÝ ZISK KALKULOVÁN A ZÁPORNÝ DOSAŽEN</c:v>
                      </c:pt>
                      <c:pt idx="4">
                        <c:v>NULOVÉ ZTRÁTY</c:v>
                      </c:pt>
                      <c:pt idx="5">
                        <c:v>VYSOKÉ ZTRÁTY VODY V M3 NA 1 KM PŘEPOČTENÉ DÉLKY VODOVODNÍHO ŘADU NA DEN (PŘEVYŠUJE 1,5 NÁSOBEK MEDIÁNU SKUPINY Z POROVNÁNÍ VYKAZUJÍCÍCH ZTRÁTY VODY NAD 4 M3/KM/DEN)</c:v>
                      </c:pt>
                      <c:pt idx="6">
                        <c:v>NULOVÝ CELÝ ŘÁDEK 20</c:v>
                      </c:pt>
                      <c:pt idx="7">
                        <c:v>KALKULOVÁN KLADNÝ NEBO NULOVÝ ZISK A DOSAŽEN ZÁPORNÝ ZISK</c:v>
                      </c:pt>
                      <c:pt idx="8">
                        <c:v>ZÁPORNÝ KALKULAČNÍ ZISK</c:v>
                      </c:pt>
                      <c:pt idx="9">
                        <c:v>VYSOKÁ HODNOTA NEFAKTUROVANÉ VODY V M3 NA KM PŘEPOČTENÉ DÉLKY (PŘEVYŠUJE 1,5 NÁSOBEK MEDIÁNU SKUPINY Z POROVNÁNÍ VYKAZUJÍCÍCH ZTRÁTY VODY NAD 4 M3/KM/DEN)</c:v>
                      </c:pt>
                      <c:pt idx="10">
                        <c:v>NÁJEM JE MENŠÍ NEBO ROVEN 0 V ODDÍLNÉM (BEZ SERVISNÍCH SMLUV) NEBO KOMBINOVANÉM MODELU</c:v>
                      </c:pt>
                      <c:pt idx="11">
                        <c:v>OKF &gt; 1 A NEPLNÍ OBNOVU</c:v>
                      </c:pt>
                      <c:pt idx="12">
                        <c:v>NEDOSTATEČNÁ TVORBA PROSTŘEDKŮ NA OBNOVU VIM</c:v>
                      </c:pt>
                      <c:pt idx="13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4">
                        <c:v>VYSOKÁ PORUCHOVOST (POČET PORUCH /KM VYŠŠÍ NEŽ 1,5 NÁS. MEDIÁNU SKUPINY BEZ POROVNÁNÍ S NULOVÝM POČTEM PORUCH)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grafy_anomalie!$C$60:$C$74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0.25</c:v>
                      </c:pt>
                      <c:pt idx="1">
                        <c:v>0.88</c:v>
                      </c:pt>
                      <c:pt idx="2">
                        <c:v>5.1100000000000003</c:v>
                      </c:pt>
                      <c:pt idx="3">
                        <c:v>7.57</c:v>
                      </c:pt>
                      <c:pt idx="4">
                        <c:v>7.68</c:v>
                      </c:pt>
                      <c:pt idx="5">
                        <c:v>23.83</c:v>
                      </c:pt>
                      <c:pt idx="6">
                        <c:v>23.91</c:v>
                      </c:pt>
                      <c:pt idx="7">
                        <c:v>24.14</c:v>
                      </c:pt>
                      <c:pt idx="8">
                        <c:v>31.71</c:v>
                      </c:pt>
                      <c:pt idx="9">
                        <c:v>32.35</c:v>
                      </c:pt>
                      <c:pt idx="10">
                        <c:v>36.57</c:v>
                      </c:pt>
                      <c:pt idx="11">
                        <c:v>61.31</c:v>
                      </c:pt>
                      <c:pt idx="12">
                        <c:v>115.68</c:v>
                      </c:pt>
                      <c:pt idx="13">
                        <c:v>120</c:v>
                      </c:pt>
                      <c:pt idx="14">
                        <c:v>198.66</c:v>
                      </c:pt>
                    </c:numCache>
                  </c:numRef>
                </c:val>
                <c:extLst>
                  <c:ext uri="{02D57815-91ED-43cb-92C2-25804820EDAC}">
                    <c15:datalabelsRange>
                      <c15:f>grafy_anomalie!$K$60:$K$73</c15:f>
                      <c15:dlblRangeCache>
                        <c:ptCount val="14"/>
                        <c:pt idx="0">
                          <c:v>0,25 MIL.M3;0,05 %; 8 VÝSKYTŮ</c:v>
                        </c:pt>
                        <c:pt idx="1">
                          <c:v>0,88 MIL.M3;0,18 %; 82 VÝSKYTŮ</c:v>
                        </c:pt>
                        <c:pt idx="2">
                          <c:v>5,11 MIL.M3;1,07 %; 187 VÝSKYTŮ</c:v>
                        </c:pt>
                        <c:pt idx="3">
                          <c:v>7,57 MIL.M3;1,59 %; 421 VÝSKYTŮ</c:v>
                        </c:pt>
                        <c:pt idx="4">
                          <c:v>7,68 MIL.M3;1,61 %; 369 VÝSKYTŮ</c:v>
                        </c:pt>
                        <c:pt idx="5">
                          <c:v>23,83 MIL.M3;5 %; 85 VÝSKYTŮ</c:v>
                        </c:pt>
                        <c:pt idx="6">
                          <c:v>23,91 MIL.M3;5,01 %; 401 VÝSKYTŮ</c:v>
                        </c:pt>
                        <c:pt idx="7">
                          <c:v>24,14 MIL.M3;5,06 %; 685 VÝSKYTŮ</c:v>
                        </c:pt>
                        <c:pt idx="8">
                          <c:v>31,71 MIL.M3;6,65 %; 1106 VÝSKYTŮ</c:v>
                        </c:pt>
                        <c:pt idx="9">
                          <c:v>32,35 MIL.M3;6,78 %; 120 VÝSKYTŮ</c:v>
                        </c:pt>
                        <c:pt idx="10">
                          <c:v>36,57 MIL.M3;7,67 %; 235 VÝSKYTŮ</c:v>
                        </c:pt>
                        <c:pt idx="11">
                          <c:v>61,31 MIL.M3;12,86 %; 15 VÝSKYTŮ</c:v>
                        </c:pt>
                        <c:pt idx="12">
                          <c:v>115,68 MIL.M3;24,26 %; 1564 VÝSKYTŮ</c:v>
                        </c:pt>
                        <c:pt idx="13">
                          <c:v>120 MIL.M3;25,16 %; 266 VÝSKYTŮ</c:v>
                        </c:pt>
                      </c15:dlblRangeCache>
                    </c15:datalabelsRange>
                  </c:ext>
                  <c:ext xmlns:c16="http://schemas.microsoft.com/office/drawing/2014/chart" uri="{C3380CC4-5D6E-409C-BE32-E72D297353CC}">
                    <c16:uniqueId val="{00000021-042F-4977-AEA8-44CD81FC88C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grafy_anomalie!$D$59</c15:sqref>
                        </c15:formulaRef>
                      </c:ext>
                    </c:extLst>
                    <c:strCache>
                      <c:ptCount val="1"/>
                      <c:pt idx="0">
                        <c:v>ANALYZOVANÉ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grafy_anomalie!$A$60:$A$74</c15:sqref>
                        </c15:formulaRef>
                      </c:ext>
                    </c:extLst>
                    <c:strCache>
                      <c:ptCount val="15"/>
                      <c:pt idx="0">
                        <c:v>NULOVÁ CENA PRO VODNÉ</c:v>
                      </c:pt>
                      <c:pt idx="1">
                        <c:v>NULOVÉ ODPISY + NULOVÉ OPRAVY +4.4 VE SMÍŠENÉM NEBO KOMBINOVANÉM MODELU</c:v>
                      </c:pt>
                      <c:pt idx="2">
                        <c:v>NÍZKÁ CENA PRO VODNÉ  (NA ÚROVNI 10% PERCENTILU Z CELÉHO SOUBORU DAT)</c:v>
                      </c:pt>
                      <c:pt idx="3">
                        <c:v>ZÁPORNÝ ZISK KALKULOVÁN A ZÁPORNÝ DOSAŽEN</c:v>
                      </c:pt>
                      <c:pt idx="4">
                        <c:v>NULOVÉ ZTRÁTY</c:v>
                      </c:pt>
                      <c:pt idx="5">
                        <c:v>VYSOKÉ ZTRÁTY VODY V M3 NA 1 KM PŘEPOČTENÉ DÉLKY VODOVODNÍHO ŘADU NA DEN (PŘEVYŠUJE 1,5 NÁSOBEK MEDIÁNU SKUPINY Z POROVNÁNÍ VYKAZUJÍCÍCH ZTRÁTY VODY NAD 4 M3/KM/DEN)</c:v>
                      </c:pt>
                      <c:pt idx="6">
                        <c:v>NULOVÝ CELÝ ŘÁDEK 20</c:v>
                      </c:pt>
                      <c:pt idx="7">
                        <c:v>KALKULOVÁN KLADNÝ NEBO NULOVÝ ZISK A DOSAŽEN ZÁPORNÝ ZISK</c:v>
                      </c:pt>
                      <c:pt idx="8">
                        <c:v>ZÁPORNÝ KALKULAČNÍ ZISK</c:v>
                      </c:pt>
                      <c:pt idx="9">
                        <c:v>VYSOKÁ HODNOTA NEFAKTUROVANÉ VODY V M3 NA KM PŘEPOČTENÉ DÉLKY (PŘEVYŠUJE 1,5 NÁSOBEK MEDIÁNU SKUPINY Z POROVNÁNÍ VYKAZUJÍCÍCH ZTRÁTY VODY NAD 4 M3/KM/DEN)</c:v>
                      </c:pt>
                      <c:pt idx="10">
                        <c:v>NÁJEM JE MENŠÍ NEBO ROVEN 0 V ODDÍLNÉM (BEZ SERVISNÍCH SMLUV) NEBO KOMBINOVANÉM MODELU</c:v>
                      </c:pt>
                      <c:pt idx="11">
                        <c:v>OKF &gt; 1 A NEPLNÍ OBNOVU</c:v>
                      </c:pt>
                      <c:pt idx="12">
                        <c:v>NEDOSTATEČNÁ TVORBA PROSTŘEDKŮ NA OBNOVU VIM</c:v>
                      </c:pt>
                      <c:pt idx="13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4">
                        <c:v>VYSOKÁ PORUCHOVOST (POČET PORUCH /KM VYŠŠÍ NEŽ 1,5 NÁS. MEDIÁNU SKUPINY BEZ POROVNÁNÍ S NULOVÝM POČTEM PORUCH)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grafy_anomalie!$D$60:$D$74</c15:sqref>
                        </c15:formulaRef>
                      </c:ext>
                    </c:extLst>
                    <c:numCache>
                      <c:formatCode>0.00</c:formatCode>
                      <c:ptCount val="15"/>
                      <c:pt idx="0">
                        <c:v>476.88995399999999</c:v>
                      </c:pt>
                      <c:pt idx="1">
                        <c:v>476.88995399999999</c:v>
                      </c:pt>
                      <c:pt idx="2">
                        <c:v>476.88995399999999</c:v>
                      </c:pt>
                      <c:pt idx="3">
                        <c:v>476.88995399999999</c:v>
                      </c:pt>
                      <c:pt idx="4">
                        <c:v>476.88995399999999</c:v>
                      </c:pt>
                      <c:pt idx="5">
                        <c:v>476.88995399999999</c:v>
                      </c:pt>
                      <c:pt idx="6">
                        <c:v>476.88995399999999</c:v>
                      </c:pt>
                      <c:pt idx="7">
                        <c:v>476.88995399999999</c:v>
                      </c:pt>
                      <c:pt idx="8">
                        <c:v>476.88995399999999</c:v>
                      </c:pt>
                      <c:pt idx="9">
                        <c:v>476.88995399999999</c:v>
                      </c:pt>
                      <c:pt idx="10">
                        <c:v>476.88995399999999</c:v>
                      </c:pt>
                      <c:pt idx="11" formatCode="General">
                        <c:v>476.88995399999999</c:v>
                      </c:pt>
                      <c:pt idx="12">
                        <c:v>476.88995399999999</c:v>
                      </c:pt>
                      <c:pt idx="13">
                        <c:v>476.88995399999999</c:v>
                      </c:pt>
                      <c:pt idx="14">
                        <c:v>476.88995399999999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042F-4977-AEA8-44CD81FC88C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grafy_anomalie!$E$59</c15:sqref>
                        </c15:formulaRef>
                      </c:ext>
                    </c:extLst>
                    <c:strCache>
                      <c:ptCount val="1"/>
                      <c:pt idx="0">
                        <c:v>CELKEM TRH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grafy_anomalie!$A$60:$A$74</c15:sqref>
                        </c15:formulaRef>
                      </c:ext>
                    </c:extLst>
                    <c:strCache>
                      <c:ptCount val="15"/>
                      <c:pt idx="0">
                        <c:v>NULOVÁ CENA PRO VODNÉ</c:v>
                      </c:pt>
                      <c:pt idx="1">
                        <c:v>NULOVÉ ODPISY + NULOVÉ OPRAVY +4.4 VE SMÍŠENÉM NEBO KOMBINOVANÉM MODELU</c:v>
                      </c:pt>
                      <c:pt idx="2">
                        <c:v>NÍZKÁ CENA PRO VODNÉ  (NA ÚROVNI 10% PERCENTILU Z CELÉHO SOUBORU DAT)</c:v>
                      </c:pt>
                      <c:pt idx="3">
                        <c:v>ZÁPORNÝ ZISK KALKULOVÁN A ZÁPORNÝ DOSAŽEN</c:v>
                      </c:pt>
                      <c:pt idx="4">
                        <c:v>NULOVÉ ZTRÁTY</c:v>
                      </c:pt>
                      <c:pt idx="5">
                        <c:v>VYSOKÉ ZTRÁTY VODY V M3 NA 1 KM PŘEPOČTENÉ DÉLKY VODOVODNÍHO ŘADU NA DEN (PŘEVYŠUJE 1,5 NÁSOBEK MEDIÁNU SKUPINY Z POROVNÁNÍ VYKAZUJÍCÍCH ZTRÁTY VODY NAD 4 M3/KM/DEN)</c:v>
                      </c:pt>
                      <c:pt idx="6">
                        <c:v>NULOVÝ CELÝ ŘÁDEK 20</c:v>
                      </c:pt>
                      <c:pt idx="7">
                        <c:v>KALKULOVÁN KLADNÝ NEBO NULOVÝ ZISK A DOSAŽEN ZÁPORNÝ ZISK</c:v>
                      </c:pt>
                      <c:pt idx="8">
                        <c:v>ZÁPORNÝ KALKULAČNÍ ZISK</c:v>
                      </c:pt>
                      <c:pt idx="9">
                        <c:v>VYSOKÁ HODNOTA NEFAKTUROVANÉ VODY V M3 NA KM PŘEPOČTENÉ DÉLKY (PŘEVYŠUJE 1,5 NÁSOBEK MEDIÁNU SKUPINY Z POROVNÁNÍ VYKAZUJÍCÍCH ZTRÁTY VODY NAD 4 M3/KM/DEN)</c:v>
                      </c:pt>
                      <c:pt idx="10">
                        <c:v>NÁJEM JE MENŠÍ NEBO ROVEN 0 V ODDÍLNÉM (BEZ SERVISNÍCH SMLUV) NEBO KOMBINOVANÉM MODELU</c:v>
                      </c:pt>
                      <c:pt idx="11">
                        <c:v>OKF &gt; 1 A NEPLNÍ OBNOVU</c:v>
                      </c:pt>
                      <c:pt idx="12">
                        <c:v>NEDOSTATEČNÁ TVORBA PROSTŘEDKŮ NA OBNOVU VIM</c:v>
                      </c:pt>
                      <c:pt idx="13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4">
                        <c:v>VYSOKÁ PORUCHOVOST (POČET PORUCH /KM VYŠŠÍ NEŽ 1,5 NÁS. MEDIÁNU SKUPINY BEZ POROVNÁNÍ S NULOVÝM POČTEM PORUCH)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grafy_anomalie!$E$60:$E$74</c15:sqref>
                        </c15:formulaRef>
                      </c:ext>
                    </c:extLst>
                    <c:numCache>
                      <c:formatCode>#,##0.00</c:formatCode>
                      <c:ptCount val="15"/>
                      <c:pt idx="0">
                        <c:v>498.911</c:v>
                      </c:pt>
                      <c:pt idx="1">
                        <c:v>498.911</c:v>
                      </c:pt>
                      <c:pt idx="2">
                        <c:v>498.911</c:v>
                      </c:pt>
                      <c:pt idx="3">
                        <c:v>498.911</c:v>
                      </c:pt>
                      <c:pt idx="4">
                        <c:v>498.911</c:v>
                      </c:pt>
                      <c:pt idx="5">
                        <c:v>498.911</c:v>
                      </c:pt>
                      <c:pt idx="6">
                        <c:v>498.911</c:v>
                      </c:pt>
                      <c:pt idx="7">
                        <c:v>498.911</c:v>
                      </c:pt>
                      <c:pt idx="8">
                        <c:v>498.911</c:v>
                      </c:pt>
                      <c:pt idx="9">
                        <c:v>498.911</c:v>
                      </c:pt>
                      <c:pt idx="10">
                        <c:v>498.911</c:v>
                      </c:pt>
                      <c:pt idx="11">
                        <c:v>498.911</c:v>
                      </c:pt>
                      <c:pt idx="12">
                        <c:v>498.911</c:v>
                      </c:pt>
                      <c:pt idx="13">
                        <c:v>498.911</c:v>
                      </c:pt>
                      <c:pt idx="14">
                        <c:v>498.911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042F-4977-AEA8-44CD81FC88C5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grafy_anomalie!$H$59</c15:sqref>
                        </c15:formulaRef>
                      </c:ext>
                    </c:extLst>
                    <c:strCache>
                      <c:ptCount val="1"/>
                      <c:pt idx="0">
                        <c:v>ČETNOST VÝSKYTU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grafy_anomalie!$A$60:$A$74</c15:sqref>
                        </c15:formulaRef>
                      </c:ext>
                    </c:extLst>
                    <c:strCache>
                      <c:ptCount val="15"/>
                      <c:pt idx="0">
                        <c:v>NULOVÁ CENA PRO VODNÉ</c:v>
                      </c:pt>
                      <c:pt idx="1">
                        <c:v>NULOVÉ ODPISY + NULOVÉ OPRAVY +4.4 VE SMÍŠENÉM NEBO KOMBINOVANÉM MODELU</c:v>
                      </c:pt>
                      <c:pt idx="2">
                        <c:v>NÍZKÁ CENA PRO VODNÉ  (NA ÚROVNI 10% PERCENTILU Z CELÉHO SOUBORU DAT)</c:v>
                      </c:pt>
                      <c:pt idx="3">
                        <c:v>ZÁPORNÝ ZISK KALKULOVÁN A ZÁPORNÝ DOSAŽEN</c:v>
                      </c:pt>
                      <c:pt idx="4">
                        <c:v>NULOVÉ ZTRÁTY</c:v>
                      </c:pt>
                      <c:pt idx="5">
                        <c:v>VYSOKÉ ZTRÁTY VODY V M3 NA 1 KM PŘEPOČTENÉ DÉLKY VODOVODNÍHO ŘADU NA DEN (PŘEVYŠUJE 1,5 NÁSOBEK MEDIÁNU SKUPINY Z POROVNÁNÍ VYKAZUJÍCÍCH ZTRÁTY VODY NAD 4 M3/KM/DEN)</c:v>
                      </c:pt>
                      <c:pt idx="6">
                        <c:v>NULOVÝ CELÝ ŘÁDEK 20</c:v>
                      </c:pt>
                      <c:pt idx="7">
                        <c:v>KALKULOVÁN KLADNÝ NEBO NULOVÝ ZISK A DOSAŽEN ZÁPORNÝ ZISK</c:v>
                      </c:pt>
                      <c:pt idx="8">
                        <c:v>ZÁPORNÝ KALKULAČNÍ ZISK</c:v>
                      </c:pt>
                      <c:pt idx="9">
                        <c:v>VYSOKÁ HODNOTA NEFAKTUROVANÉ VODY V M3 NA KM PŘEPOČTENÉ DÉLKY (PŘEVYŠUJE 1,5 NÁSOBEK MEDIÁNU SKUPINY Z POROVNÁNÍ VYKAZUJÍCÍCH ZTRÁTY VODY NAD 4 M3/KM/DEN)</c:v>
                      </c:pt>
                      <c:pt idx="10">
                        <c:v>NÁJEM JE MENŠÍ NEBO ROVEN 0 V ODDÍLNÉM (BEZ SERVISNÍCH SMLUV) NEBO KOMBINOVANÉM MODELU</c:v>
                      </c:pt>
                      <c:pt idx="11">
                        <c:v>OKF &gt; 1 A NEPLNÍ OBNOVU</c:v>
                      </c:pt>
                      <c:pt idx="12">
                        <c:v>NEDOSTATEČNÁ TVORBA PROSTŘEDKŮ NA OBNOVU VIM</c:v>
                      </c:pt>
                      <c:pt idx="13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4">
                        <c:v>VYSOKÁ PORUCHOVOST (POČET PORUCH /KM VYŠŠÍ NEŽ 1,5 NÁS. MEDIÁNU SKUPINY BEZ POROVNÁNÍ S NULOVÝM POČTEM PORUCH)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grafy_anomalie!$H$60:$H$74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8</c:v>
                      </c:pt>
                      <c:pt idx="1">
                        <c:v>82</c:v>
                      </c:pt>
                      <c:pt idx="2">
                        <c:v>187</c:v>
                      </c:pt>
                      <c:pt idx="3">
                        <c:v>421</c:v>
                      </c:pt>
                      <c:pt idx="4">
                        <c:v>369</c:v>
                      </c:pt>
                      <c:pt idx="5">
                        <c:v>85</c:v>
                      </c:pt>
                      <c:pt idx="6">
                        <c:v>401</c:v>
                      </c:pt>
                      <c:pt idx="7">
                        <c:v>685</c:v>
                      </c:pt>
                      <c:pt idx="8">
                        <c:v>1106</c:v>
                      </c:pt>
                      <c:pt idx="9">
                        <c:v>120</c:v>
                      </c:pt>
                      <c:pt idx="10">
                        <c:v>235</c:v>
                      </c:pt>
                      <c:pt idx="11">
                        <c:v>15</c:v>
                      </c:pt>
                      <c:pt idx="12">
                        <c:v>1564</c:v>
                      </c:pt>
                      <c:pt idx="13">
                        <c:v>266</c:v>
                      </c:pt>
                      <c:pt idx="14">
                        <c:v>397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042F-4977-AEA8-44CD81FC88C5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grafy_anomalie!$I$59</c15:sqref>
                        </c15:formulaRef>
                      </c:ext>
                    </c:extLst>
                    <c:strCache>
                      <c:ptCount val="1"/>
                      <c:pt idx="0">
                        <c:v>%PODÍL Z ANALYZOVANÉHO TRHU (476,89 MIL. M3)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grafy_anomalie!$A$60:$A$74</c15:sqref>
                        </c15:formulaRef>
                      </c:ext>
                    </c:extLst>
                    <c:strCache>
                      <c:ptCount val="15"/>
                      <c:pt idx="0">
                        <c:v>NULOVÁ CENA PRO VODNÉ</c:v>
                      </c:pt>
                      <c:pt idx="1">
                        <c:v>NULOVÉ ODPISY + NULOVÉ OPRAVY +4.4 VE SMÍŠENÉM NEBO KOMBINOVANÉM MODELU</c:v>
                      </c:pt>
                      <c:pt idx="2">
                        <c:v>NÍZKÁ CENA PRO VODNÉ  (NA ÚROVNI 10% PERCENTILU Z CELÉHO SOUBORU DAT)</c:v>
                      </c:pt>
                      <c:pt idx="3">
                        <c:v>ZÁPORNÝ ZISK KALKULOVÁN A ZÁPORNÝ DOSAŽEN</c:v>
                      </c:pt>
                      <c:pt idx="4">
                        <c:v>NULOVÉ ZTRÁTY</c:v>
                      </c:pt>
                      <c:pt idx="5">
                        <c:v>VYSOKÉ ZTRÁTY VODY V M3 NA 1 KM PŘEPOČTENÉ DÉLKY VODOVODNÍHO ŘADU NA DEN (PŘEVYŠUJE 1,5 NÁSOBEK MEDIÁNU SKUPINY Z POROVNÁNÍ VYKAZUJÍCÍCH ZTRÁTY VODY NAD 4 M3/KM/DEN)</c:v>
                      </c:pt>
                      <c:pt idx="6">
                        <c:v>NULOVÝ CELÝ ŘÁDEK 20</c:v>
                      </c:pt>
                      <c:pt idx="7">
                        <c:v>KALKULOVÁN KLADNÝ NEBO NULOVÝ ZISK A DOSAŽEN ZÁPORNÝ ZISK</c:v>
                      </c:pt>
                      <c:pt idx="8">
                        <c:v>ZÁPORNÝ KALKULAČNÍ ZISK</c:v>
                      </c:pt>
                      <c:pt idx="9">
                        <c:v>VYSOKÁ HODNOTA NEFAKTUROVANÉ VODY V M3 NA KM PŘEPOČTENÉ DÉLKY (PŘEVYŠUJE 1,5 NÁSOBEK MEDIÁNU SKUPINY Z POROVNÁNÍ VYKAZUJÍCÍCH ZTRÁTY VODY NAD 4 M3/KM/DEN)</c:v>
                      </c:pt>
                      <c:pt idx="10">
                        <c:v>NÁJEM JE MENŠÍ NEBO ROVEN 0 V ODDÍLNÉM (BEZ SERVISNÍCH SMLUV) NEBO KOMBINOVANÉM MODELU</c:v>
                      </c:pt>
                      <c:pt idx="11">
                        <c:v>OKF &gt; 1 A NEPLNÍ OBNOVU</c:v>
                      </c:pt>
                      <c:pt idx="12">
                        <c:v>NEDOSTATEČNÁ TVORBA PROSTŘEDKŮ NA OBNOVU VIM</c:v>
                      </c:pt>
                      <c:pt idx="13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4">
                        <c:v>VYSOKÁ PORUCHOVOST (POČET PORUCH /KM VYŠŠÍ NEŽ 1,5 NÁS. MEDIÁNU SKUPINY BEZ POROVNÁNÍ S NULOVÝM POČTEM PORUCH)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grafy_anomalie!$I$60:$I$74</c15:sqref>
                        </c15:formulaRef>
                      </c:ext>
                    </c:extLst>
                    <c:numCache>
                      <c:formatCode>0.00%</c:formatCode>
                      <c:ptCount val="15"/>
                      <c:pt idx="0">
                        <c:v>5.2422995683402464E-4</c:v>
                      </c:pt>
                      <c:pt idx="1">
                        <c:v>1.8452894480557667E-3</c:v>
                      </c:pt>
                      <c:pt idx="2">
                        <c:v>1.0715260317687464E-2</c:v>
                      </c:pt>
                      <c:pt idx="3">
                        <c:v>1.5873683092934267E-2</c:v>
                      </c:pt>
                      <c:pt idx="4">
                        <c:v>1.6104344273941237E-2</c:v>
                      </c:pt>
                      <c:pt idx="5">
                        <c:v>4.9969599485419229E-2</c:v>
                      </c:pt>
                      <c:pt idx="6">
                        <c:v>5.0137353071606119E-2</c:v>
                      </c:pt>
                      <c:pt idx="7">
                        <c:v>5.0619644631893425E-2</c:v>
                      </c:pt>
                      <c:pt idx="8">
                        <c:v>6.6493327724827689E-2</c:v>
                      </c:pt>
                      <c:pt idx="9">
                        <c:v>6.7835356414322798E-2</c:v>
                      </c:pt>
                      <c:pt idx="10">
                        <c:v>7.6684358085681123E-2</c:v>
                      </c:pt>
                      <c:pt idx="11">
                        <c:v>0.12856215461397622</c:v>
                      </c:pt>
                      <c:pt idx="12">
                        <c:v>0.2425716856262399</c:v>
                      </c:pt>
                      <c:pt idx="13">
                        <c:v>0.25163037928033183</c:v>
                      </c:pt>
                      <c:pt idx="14">
                        <c:v>0.41657409289858938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042F-4977-AEA8-44CD81FC88C5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grafy_anomalie!$J$59</c15:sqref>
                        </c15:formulaRef>
                      </c:ext>
                    </c:extLst>
                    <c:strCache>
                      <c:ptCount val="1"/>
                      <c:pt idx="0">
                        <c:v>Sloupec1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grafy_anomalie!$A$60:$A$74</c15:sqref>
                        </c15:formulaRef>
                      </c:ext>
                    </c:extLst>
                    <c:strCache>
                      <c:ptCount val="15"/>
                      <c:pt idx="0">
                        <c:v>NULOVÁ CENA PRO VODNÉ</c:v>
                      </c:pt>
                      <c:pt idx="1">
                        <c:v>NULOVÉ ODPISY + NULOVÉ OPRAVY +4.4 VE SMÍŠENÉM NEBO KOMBINOVANÉM MODELU</c:v>
                      </c:pt>
                      <c:pt idx="2">
                        <c:v>NÍZKÁ CENA PRO VODNÉ  (NA ÚROVNI 10% PERCENTILU Z CELÉHO SOUBORU DAT)</c:v>
                      </c:pt>
                      <c:pt idx="3">
                        <c:v>ZÁPORNÝ ZISK KALKULOVÁN A ZÁPORNÝ DOSAŽEN</c:v>
                      </c:pt>
                      <c:pt idx="4">
                        <c:v>NULOVÉ ZTRÁTY</c:v>
                      </c:pt>
                      <c:pt idx="5">
                        <c:v>VYSOKÉ ZTRÁTY VODY V M3 NA 1 KM PŘEPOČTENÉ DÉLKY VODOVODNÍHO ŘADU NA DEN (PŘEVYŠUJE 1,5 NÁSOBEK MEDIÁNU SKUPINY Z POROVNÁNÍ VYKAZUJÍCÍCH ZTRÁTY VODY NAD 4 M3/KM/DEN)</c:v>
                      </c:pt>
                      <c:pt idx="6">
                        <c:v>NULOVÝ CELÝ ŘÁDEK 20</c:v>
                      </c:pt>
                      <c:pt idx="7">
                        <c:v>KALKULOVÁN KLADNÝ NEBO NULOVÝ ZISK A DOSAŽEN ZÁPORNÝ ZISK</c:v>
                      </c:pt>
                      <c:pt idx="8">
                        <c:v>ZÁPORNÝ KALKULAČNÍ ZISK</c:v>
                      </c:pt>
                      <c:pt idx="9">
                        <c:v>VYSOKÁ HODNOTA NEFAKTUROVANÉ VODY V M3 NA KM PŘEPOČTENÉ DÉLKY (PŘEVYŠUJE 1,5 NÁSOBEK MEDIÁNU SKUPINY Z POROVNÁNÍ VYKAZUJÍCÍCH ZTRÁTY VODY NAD 4 M3/KM/DEN)</c:v>
                      </c:pt>
                      <c:pt idx="10">
                        <c:v>NÁJEM JE MENŠÍ NEBO ROVEN 0 V ODDÍLNÉM (BEZ SERVISNÍCH SMLUV) NEBO KOMBINOVANÉM MODELU</c:v>
                      </c:pt>
                      <c:pt idx="11">
                        <c:v>OKF &gt; 1 A NEPLNÍ OBNOVU</c:v>
                      </c:pt>
                      <c:pt idx="12">
                        <c:v>NEDOSTATEČNÁ TVORBA PROSTŘEDKŮ NA OBNOVU VIM</c:v>
                      </c:pt>
                      <c:pt idx="13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4">
                        <c:v>VYSOKÁ PORUCHOVOST (POČET PORUCH /KM VYŠŠÍ NEŽ 1,5 NÁS. MEDIÁNU SKUPINY BEZ POROVNÁNÍ S NULOVÝM POČTEM PORUCH)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grafy_anomalie!$J$60:$J$74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0.05</c:v>
                      </c:pt>
                      <c:pt idx="1">
                        <c:v>0.18</c:v>
                      </c:pt>
                      <c:pt idx="2">
                        <c:v>1.07</c:v>
                      </c:pt>
                      <c:pt idx="3">
                        <c:v>1.59</c:v>
                      </c:pt>
                      <c:pt idx="4">
                        <c:v>1.61</c:v>
                      </c:pt>
                      <c:pt idx="5">
                        <c:v>5</c:v>
                      </c:pt>
                      <c:pt idx="6">
                        <c:v>5.01</c:v>
                      </c:pt>
                      <c:pt idx="7">
                        <c:v>5.0599999999999996</c:v>
                      </c:pt>
                      <c:pt idx="8">
                        <c:v>6.65</c:v>
                      </c:pt>
                      <c:pt idx="9">
                        <c:v>6.78</c:v>
                      </c:pt>
                      <c:pt idx="10">
                        <c:v>7.67</c:v>
                      </c:pt>
                      <c:pt idx="11">
                        <c:v>12.86</c:v>
                      </c:pt>
                      <c:pt idx="12">
                        <c:v>24.26</c:v>
                      </c:pt>
                      <c:pt idx="13">
                        <c:v>25.16</c:v>
                      </c:pt>
                      <c:pt idx="14">
                        <c:v>41.66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042F-4977-AEA8-44CD81FC88C5}"/>
                  </c:ext>
                </c:extLst>
              </c15:ser>
            </c15:filteredBarSeries>
          </c:ext>
        </c:extLst>
      </c:barChart>
      <c:catAx>
        <c:axId val="107245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cap="small" baseline="0">
                <a:solidFill>
                  <a:srgbClr val="002060"/>
                </a:solidFill>
                <a:latin typeface="+mj-lt"/>
              </a:defRPr>
            </a:pPr>
            <a:endParaRPr lang="cs-CZ"/>
          </a:p>
        </c:txPr>
        <c:crossAx val="107247328"/>
        <c:crosses val="autoZero"/>
        <c:auto val="0"/>
        <c:lblAlgn val="ctr"/>
        <c:lblOffset val="100"/>
        <c:noMultiLvlLbl val="0"/>
      </c:catAx>
      <c:valAx>
        <c:axId val="107247328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crossAx val="1072453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Benchmarking vlastnických subjektů 2018 - </a:t>
            </a:r>
            <a:r>
              <a:rPr lang="cs-CZ" sz="1200" b="1" i="0" cap="all" baseline="0">
                <a:solidFill>
                  <a:srgbClr val="002060"/>
                </a:solidFill>
                <a:effectLst/>
                <a:latin typeface="+mj-lt"/>
              </a:rPr>
              <a:t>VODOVOD</a:t>
            </a:r>
            <a:endParaRPr lang="cs-CZ" sz="1050">
              <a:solidFill>
                <a:srgbClr val="002060"/>
              </a:solidFill>
              <a:effectLst/>
              <a:latin typeface="+mj-lt"/>
            </a:endParaRPr>
          </a:p>
          <a:p>
            <a:pPr algn="l">
              <a:defRPr>
                <a:solidFill>
                  <a:srgbClr val="002060"/>
                </a:solidFill>
              </a:defRPr>
            </a:pP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Výskyt alespoň jedné anomálie </a:t>
            </a:r>
            <a:r>
              <a:rPr lang="sk-SK" sz="1200" b="1" i="0" u="none" strike="noStrike" kern="1200" cap="all" spc="0" baseline="0">
                <a:solidFill>
                  <a:srgbClr val="002060"/>
                </a:solidFill>
                <a:effectLst/>
                <a:latin typeface="+mj-lt"/>
                <a:ea typeface="+mn-ea"/>
                <a:cs typeface="+mn-cs"/>
              </a:rPr>
              <a:t>ve </a:t>
            </a: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skupině</a:t>
            </a:r>
            <a:endParaRPr lang="cs-CZ" sz="1050">
              <a:solidFill>
                <a:srgbClr val="002060"/>
              </a:solidFill>
              <a:effectLst/>
              <a:latin typeface="+mj-lt"/>
            </a:endParaRPr>
          </a:p>
          <a:p>
            <a:pPr algn="l">
              <a:defRPr>
                <a:solidFill>
                  <a:srgbClr val="002060"/>
                </a:solidFill>
              </a:defRPr>
            </a:pP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- převeden</a:t>
            </a:r>
            <a:r>
              <a:rPr lang="sk-SK" sz="1200" b="1" i="0" u="none" strike="noStrike" kern="1200" cap="all" spc="0" baseline="0">
                <a:solidFill>
                  <a:srgbClr val="002060"/>
                </a:solidFill>
                <a:effectLst/>
                <a:latin typeface="+mj-lt"/>
                <a:ea typeface="+mn-ea"/>
                <a:cs typeface="+mn-cs"/>
              </a:rPr>
              <a:t>o na </a:t>
            </a: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objem PITNÉ vody fakturované (mil. m</a:t>
            </a:r>
            <a:r>
              <a:rPr lang="sk-SK" sz="1200" b="1" i="0" cap="all" baseline="30000">
                <a:solidFill>
                  <a:srgbClr val="002060"/>
                </a:solidFill>
                <a:effectLst/>
                <a:latin typeface="+mj-lt"/>
              </a:rPr>
              <a:t>3</a:t>
            </a: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) a četnost anomáliÍ</a:t>
            </a:r>
            <a:endParaRPr lang="cs-CZ" sz="1050">
              <a:solidFill>
                <a:srgbClr val="002060"/>
              </a:solidFill>
              <a:effectLst/>
              <a:latin typeface="+mj-lt"/>
            </a:endParaRPr>
          </a:p>
        </c:rich>
      </c:tx>
      <c:layout>
        <c:manualLayout>
          <c:xMode val="edge"/>
          <c:yMode val="edge"/>
          <c:x val="3.0626618222113285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290846111058844"/>
          <c:y val="0.13295385264200157"/>
          <c:w val="0.79331926056814639"/>
          <c:h val="0.663066420571040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grafy_anomalie!$B$88</c:f>
              <c:strCache>
                <c:ptCount val="1"/>
                <c:pt idx="0">
                  <c:v>Objem vody pitné fakturované (mil. m3) s výskytem alespoň jedné anomálie</c:v>
                </c:pt>
              </c:strCache>
            </c:strRef>
          </c:tx>
          <c:spPr>
            <a:solidFill>
              <a:srgbClr val="C183DD"/>
            </a:solidFill>
            <a:ln>
              <a:solidFill>
                <a:srgbClr val="C183DD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D691BBD-1CDD-4D1E-92D7-CEA95F009CB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m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; </a:t>
                    </a:r>
                    <a:fld id="{50186365-0FB2-4517-92AD-AD18DC21E758}" type="CELLRANGE">
                      <a:rPr lang="en-US" sz="800" b="1" i="0" u="none" strike="noStrike" kern="1200" baseline="0">
                        <a:solidFill>
                          <a:srgbClr val="4472C4">
                            <a:lumMod val="50000"/>
                          </a:srgbClr>
                        </a:solidFill>
                      </a:rPr>
                      <a:pPr/>
                      <a:t>[OBLAST BUNĚK]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7C68-4FE3-83AA-F3844EF8C87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D691BBD-1CDD-4D1E-92D7-CEA95F009CB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m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; </a:t>
                    </a:r>
                    <a:fld id="{50186365-0FB2-4517-92AD-AD18DC21E758}" type="CELLRANGE">
                      <a:rPr lang="en-US" sz="800" b="1" i="0" u="none" strike="noStrike" kern="1200" baseline="0">
                        <a:solidFill>
                          <a:srgbClr val="4472C4">
                            <a:lumMod val="50000"/>
                          </a:srgbClr>
                        </a:solidFill>
                      </a:rPr>
                      <a:pPr/>
                      <a:t>[OBLAST BUNĚK]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7C68-4FE3-83AA-F3844EF8C87C}"/>
                </c:ext>
              </c:extLst>
            </c:dLbl>
            <c:dLbl>
              <c:idx val="2"/>
              <c:layout>
                <c:manualLayout>
                  <c:x val="-1.5124073544167609E-2"/>
                  <c:y val="-0.2212369971256287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D691BBD-1CDD-4D1E-92D7-CEA95F009CB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m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; </a:t>
                    </a:r>
                    <a:fld id="{50186365-0FB2-4517-92AD-AD18DC21E758}" type="CELLRANGE">
                      <a:rPr lang="en-US" sz="800" b="1" i="0" u="none" strike="noStrike" kern="1200" baseline="0">
                        <a:solidFill>
                          <a:srgbClr val="4472C4">
                            <a:lumMod val="50000"/>
                          </a:srgbClr>
                        </a:solidFill>
                      </a:rPr>
                      <a:pPr/>
                      <a:t>[OBLAST BUNĚK]</a:t>
                    </a:fld>
                    <a:endParaRPr lang="en-US" baseline="0"/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7C68-4FE3-83AA-F3844EF8C87C}"/>
                </c:ext>
              </c:extLst>
            </c:dLbl>
            <c:dLbl>
              <c:idx val="3"/>
              <c:layout>
                <c:manualLayout>
                  <c:x val="-8.6423277395244035E-3"/>
                  <c:y val="-0.1577909218625633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D691BBD-1CDD-4D1E-92D7-CEA95F009CB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m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; </a:t>
                    </a:r>
                    <a:fld id="{50186365-0FB2-4517-92AD-AD18DC21E758}" type="CELLRANGE">
                      <a:rPr lang="en-US" sz="800" b="1" i="0" u="none" strike="noStrike" kern="1200" baseline="0">
                        <a:solidFill>
                          <a:srgbClr val="4472C4">
                            <a:lumMod val="50000"/>
                          </a:srgbClr>
                        </a:solidFill>
                      </a:rPr>
                      <a:pPr/>
                      <a:t>[OBLAST BUNĚK]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7C68-4FE3-83AA-F3844EF8C87C}"/>
                </c:ext>
              </c:extLst>
            </c:dLbl>
            <c:dLbl>
              <c:idx val="4"/>
              <c:layout>
                <c:manualLayout>
                  <c:x val="0"/>
                  <c:y val="-0.1013183814064879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D691BBD-1CDD-4D1E-92D7-CEA95F009CB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m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; </a:t>
                    </a:r>
                    <a:fld id="{50186365-0FB2-4517-92AD-AD18DC21E758}" type="CELLRANGE">
                      <a:rPr lang="en-US" sz="800" b="1" i="0" u="none" strike="noStrike" kern="1200" baseline="0">
                        <a:solidFill>
                          <a:srgbClr val="4472C4">
                            <a:lumMod val="50000"/>
                          </a:srgbClr>
                        </a:solidFill>
                      </a:rPr>
                      <a:pPr/>
                      <a:t>[OBLAST BUNĚK]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7C68-4FE3-83AA-F3844EF8C87C}"/>
                </c:ext>
              </c:extLst>
            </c:dLbl>
            <c:dLbl>
              <c:idx val="5"/>
              <c:layout>
                <c:manualLayout>
                  <c:x val="-6.4817458046434019E-3"/>
                  <c:y val="-0.1229108233455755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D691BBD-1CDD-4D1E-92D7-CEA95F009CBF}" type="VALUE">
                      <a:rPr lang="en-US" baseline="0"/>
                      <a:pPr/>
                      <a:t>[HODNOTA]</a:t>
                    </a:fld>
                    <a:r>
                      <a:rPr lang="en-US" baseline="0"/>
                      <a:t> mil. m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; </a:t>
                    </a:r>
                    <a:fld id="{50186365-0FB2-4517-92AD-AD18DC21E758}" type="CELLRANGE">
                      <a:rPr lang="en-US" sz="800" b="1" i="0" u="none" strike="noStrike" kern="1200" baseline="0">
                        <a:solidFill>
                          <a:srgbClr val="4472C4">
                            <a:lumMod val="50000"/>
                          </a:srgbClr>
                        </a:solidFill>
                      </a:rPr>
                      <a:pPr/>
                      <a:t>[OBLAST BUNĚK]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7C68-4FE3-83AA-F3844EF8C87C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grafy_anomalie!$A$89:$A$95</c:f>
              <c:strCache>
                <c:ptCount val="6"/>
                <c:pt idx="0">
                  <c:v>I.skupina(&gt;10 000mil.Kč)</c:v>
                </c:pt>
                <c:pt idx="1">
                  <c:v>II.skupina(&gt;1 000mil.Kč)</c:v>
                </c:pt>
                <c:pt idx="2">
                  <c:v>III.skupina(&gt;100mil.Kč)</c:v>
                </c:pt>
                <c:pt idx="3">
                  <c:v>IV.skupina(&gt;10mil.Kč)</c:v>
                </c:pt>
                <c:pt idx="4">
                  <c:v>V.skupina(&gt;1mil.Kč)</c:v>
                </c:pt>
                <c:pt idx="5">
                  <c:v>VI.skupina(&lt;1mil.Kč)</c:v>
                </c:pt>
              </c:strCache>
            </c:strRef>
          </c:cat>
          <c:val>
            <c:numRef>
              <c:f>grafy_anomalie!$B$89:$B$94</c:f>
              <c:numCache>
                <c:formatCode>General</c:formatCode>
                <c:ptCount val="6"/>
                <c:pt idx="0">
                  <c:v>167.295265</c:v>
                </c:pt>
                <c:pt idx="1">
                  <c:v>137.79688200000001</c:v>
                </c:pt>
                <c:pt idx="2">
                  <c:v>46.972010000000004</c:v>
                </c:pt>
                <c:pt idx="3">
                  <c:v>34.959671000000036</c:v>
                </c:pt>
                <c:pt idx="4">
                  <c:v>7.9671920000000007</c:v>
                </c:pt>
                <c:pt idx="5">
                  <c:v>0.20976900000000001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grafy_anomalie!$F$89:$F$94</c15:f>
                <c15:dlblRangeCache>
                  <c:ptCount val="6"/>
                  <c:pt idx="0">
                    <c:v>100,00%</c:v>
                  </c:pt>
                  <c:pt idx="1">
                    <c:v>67,27%</c:v>
                  </c:pt>
                  <c:pt idx="2">
                    <c:v>80,71%</c:v>
                  </c:pt>
                  <c:pt idx="3">
                    <c:v>91,78%</c:v>
                  </c:pt>
                  <c:pt idx="4">
                    <c:v>96,54%</c:v>
                  </c:pt>
                  <c:pt idx="5">
                    <c:v>93,48%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7C68-4FE3-83AA-F3844EF8C87C}"/>
            </c:ext>
          </c:extLst>
        </c:ser>
        <c:ser>
          <c:idx val="2"/>
          <c:order val="2"/>
          <c:tx>
            <c:strRef>
              <c:f>grafy_anomalie!$D$88</c:f>
              <c:strCache>
                <c:ptCount val="1"/>
                <c:pt idx="0">
                  <c:v>Objem vody fakturované bez anomálií</c:v>
                </c:pt>
              </c:strCache>
            </c:strRef>
          </c:tx>
          <c:spPr>
            <a:solidFill>
              <a:srgbClr val="5B9BD5"/>
            </a:solidFill>
            <a:ln>
              <a:solidFill>
                <a:srgbClr val="5B9BD5"/>
              </a:solidFill>
            </a:ln>
            <a:effectLst/>
          </c:spPr>
          <c:invertIfNegative val="0"/>
          <c:cat>
            <c:strRef>
              <c:f>grafy_anomalie!$A$89:$A$95</c:f>
              <c:strCache>
                <c:ptCount val="6"/>
                <c:pt idx="0">
                  <c:v>I.skupina(&gt;10 000mil.Kč)</c:v>
                </c:pt>
                <c:pt idx="1">
                  <c:v>II.skupina(&gt;1 000mil.Kč)</c:v>
                </c:pt>
                <c:pt idx="2">
                  <c:v>III.skupina(&gt;100mil.Kč)</c:v>
                </c:pt>
                <c:pt idx="3">
                  <c:v>IV.skupina(&gt;10mil.Kč)</c:v>
                </c:pt>
                <c:pt idx="4">
                  <c:v>V.skupina(&gt;1mil.Kč)</c:v>
                </c:pt>
                <c:pt idx="5">
                  <c:v>VI.skupina(&lt;1mil.Kč)</c:v>
                </c:pt>
              </c:strCache>
            </c:strRef>
          </c:cat>
          <c:val>
            <c:numRef>
              <c:f>grafy_anomalie!$D$89:$D$94</c:f>
              <c:numCache>
                <c:formatCode>General</c:formatCode>
                <c:ptCount val="6"/>
                <c:pt idx="0">
                  <c:v>0</c:v>
                </c:pt>
                <c:pt idx="1">
                  <c:v>67.034933999999964</c:v>
                </c:pt>
                <c:pt idx="2">
                  <c:v>11.224896999999999</c:v>
                </c:pt>
                <c:pt idx="3">
                  <c:v>3.1294419999999619</c:v>
                </c:pt>
                <c:pt idx="4">
                  <c:v>0.28527199999999375</c:v>
                </c:pt>
                <c:pt idx="5">
                  <c:v>1.4620000000000022E-2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C68-4FE3-83AA-F3844EF8C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6750720"/>
        <c:axId val="406751112"/>
      </c:barChart>
      <c:lineChart>
        <c:grouping val="stacked"/>
        <c:varyColors val="0"/>
        <c:ser>
          <c:idx val="1"/>
          <c:order val="1"/>
          <c:tx>
            <c:strRef>
              <c:f>grafy_anomalie!$C$88</c:f>
              <c:strCache>
                <c:ptCount val="1"/>
                <c:pt idx="0">
                  <c:v>Objem vody pitné fakturované ve skupině</c:v>
                </c:pt>
              </c:strCache>
            </c:strRef>
          </c:tx>
          <c:spPr>
            <a:ln w="28575" cap="rnd">
              <a:solidFill>
                <a:srgbClr val="969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69696"/>
              </a:solidFill>
              <a:ln w="38100">
                <a:solidFill>
                  <a:srgbClr val="969696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1235026061381623"/>
                  <c:y val="-4.4845840950412712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C68-4FE3-83AA-F3844EF8C87C}"/>
                </c:ext>
              </c:extLst>
            </c:dLbl>
            <c:dLbl>
              <c:idx val="1"/>
              <c:layout>
                <c:manualLayout>
                  <c:x val="1.0802870149661933E-2"/>
                  <c:y val="-1.6609632764486657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C68-4FE3-83AA-F3844EF8C87C}"/>
                </c:ext>
              </c:extLst>
            </c:dLbl>
            <c:dLbl>
              <c:idx val="2"/>
              <c:layout>
                <c:manualLayout>
                  <c:x val="-1.2963491609286488E-2"/>
                  <c:y val="-1.660957072237508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7C68-4FE3-83AA-F3844EF8C87C}"/>
                </c:ext>
              </c:extLst>
            </c:dLbl>
            <c:dLbl>
              <c:idx val="3"/>
              <c:layout>
                <c:manualLayout>
                  <c:x val="1.080287014966199E-2"/>
                  <c:y val="-1.660963276448664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C68-4FE3-83AA-F3844EF8C87C}"/>
                </c:ext>
              </c:extLst>
            </c:dLbl>
            <c:dLbl>
              <c:idx val="4"/>
              <c:layout>
                <c:manualLayout>
                  <c:x val="1.0802870149661878E-2"/>
                  <c:y val="-1.660963276448664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7C68-4FE3-83AA-F3844EF8C87C}"/>
                </c:ext>
              </c:extLst>
            </c:dLbl>
            <c:dLbl>
              <c:idx val="5"/>
              <c:layout>
                <c:manualLayout>
                  <c:x val="1.0802909674405406E-2"/>
                  <c:y val="2.4914356083562621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C68-4FE3-83AA-F3844EF8C87C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grafy_anomalie!$A$89:$A$95</c:f>
              <c:strCache>
                <c:ptCount val="6"/>
                <c:pt idx="0">
                  <c:v>I.skupina(&gt;10 000mil.Kč)</c:v>
                </c:pt>
                <c:pt idx="1">
                  <c:v>II.skupina(&gt;1 000mil.Kč)</c:v>
                </c:pt>
                <c:pt idx="2">
                  <c:v>III.skupina(&gt;100mil.Kč)</c:v>
                </c:pt>
                <c:pt idx="3">
                  <c:v>IV.skupina(&gt;10mil.Kč)</c:v>
                </c:pt>
                <c:pt idx="4">
                  <c:v>V.skupina(&gt;1mil.Kč)</c:v>
                </c:pt>
                <c:pt idx="5">
                  <c:v>VI.skupina(&lt;1mil.Kč)</c:v>
                </c:pt>
              </c:strCache>
            </c:strRef>
          </c:cat>
          <c:val>
            <c:numRef>
              <c:f>grafy_anomalie!$C$89:$C$94</c:f>
              <c:numCache>
                <c:formatCode>General</c:formatCode>
                <c:ptCount val="6"/>
                <c:pt idx="0">
                  <c:v>167.295265</c:v>
                </c:pt>
                <c:pt idx="1">
                  <c:v>204.83181599999998</c:v>
                </c:pt>
                <c:pt idx="2">
                  <c:v>58.196907000000003</c:v>
                </c:pt>
                <c:pt idx="3">
                  <c:v>38.089112999999998</c:v>
                </c:pt>
                <c:pt idx="4">
                  <c:v>8.2524639999999945</c:v>
                </c:pt>
                <c:pt idx="5">
                  <c:v>0.22438900000000003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7C68-4FE3-83AA-F3844EF8C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6750720"/>
        <c:axId val="406751112"/>
      </c:lineChart>
      <c:scatterChart>
        <c:scatterStyle val="lineMarker"/>
        <c:varyColors val="0"/>
        <c:ser>
          <c:idx val="3"/>
          <c:order val="3"/>
          <c:tx>
            <c:strRef>
              <c:f>grafy_anomalie!$E$88</c:f>
              <c:strCache>
                <c:ptCount val="1"/>
                <c:pt idx="0">
                  <c:v>četnost výskytu anomálií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12"/>
            <c:spPr>
              <a:solidFill>
                <a:srgbClr val="FF3399"/>
              </a:solidFill>
              <a:ln w="50800">
                <a:solidFill>
                  <a:srgbClr val="FF339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8335712241789212E-2"/>
                  <c:y val="-2.65753131558002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8BFFDCE-7457-464B-B5B0-720F2B2EA734}" type="YVALUE">
                      <a:rPr lang="en-US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0" i="0" u="none" strike="noStrike" kern="1200" baseline="0">
                        <a:solidFill>
                          <a:srgbClr val="002060"/>
                        </a:solidFill>
                      </a:rPr>
                      <a:t>výskyty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C68-4FE3-83AA-F3844EF8C87C}"/>
                </c:ext>
              </c:extLst>
            </c:dLbl>
            <c:dLbl>
              <c:idx val="1"/>
              <c:layout>
                <c:manualLayout>
                  <c:x val="-6.9138621916194604E-2"/>
                  <c:y val="-2.823627022803763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6033DFF-094B-4CE7-BC18-4C2194E694CA}" type="YVALUE">
                      <a:rPr lang="en-US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0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7C68-4FE3-83AA-F3844EF8C87C}"/>
                </c:ext>
              </c:extLst>
            </c:dLbl>
            <c:dLbl>
              <c:idx val="2"/>
              <c:layout>
                <c:manualLayout>
                  <c:x val="-7.3459785785956758E-2"/>
                  <c:y val="2.657531315580012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B48B0FC-A454-43AC-A10B-53481956F602}" type="YVALUE">
                      <a:rPr lang="en-US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0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C68-4FE3-83AA-F3844EF8C87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A9EBCD9C-A430-4782-88AB-4DF25C49B4DF}" type="YVALUE">
                      <a:rPr lang="en-US" baseline="0">
                        <a:solidFill>
                          <a:srgbClr val="002060"/>
                        </a:solidFill>
                      </a:rPr>
                      <a:pPr/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7C68-4FE3-83AA-F3844EF8C87C}"/>
                </c:ext>
              </c:extLst>
            </c:dLbl>
            <c:dLbl>
              <c:idx val="4"/>
              <c:layout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21BF0EA-631B-4CF8-941A-413900972CFD}" type="YVALUE">
                      <a:rPr lang="en-US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0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C68-4FE3-83AA-F3844EF8C87C}"/>
                </c:ext>
              </c:extLst>
            </c:dLbl>
            <c:dLbl>
              <c:idx val="5"/>
              <c:layout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715FE27-4E44-492E-8DE4-0645CE42034E}" type="YVALUE">
                      <a:rPr lang="en-US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0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7C68-4FE3-83AA-F3844EF8C8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grafy_anomalie!$A$89:$A$94</c:f>
              <c:strCache>
                <c:ptCount val="6"/>
                <c:pt idx="0">
                  <c:v>I.skupina(&gt;10 000mil.Kč)</c:v>
                </c:pt>
                <c:pt idx="1">
                  <c:v>II.skupina(&gt;1 000mil.Kč)</c:v>
                </c:pt>
                <c:pt idx="2">
                  <c:v>III.skupina(&gt;100mil.Kč)</c:v>
                </c:pt>
                <c:pt idx="3">
                  <c:v>IV.skupina(&gt;10mil.Kč)</c:v>
                </c:pt>
                <c:pt idx="4">
                  <c:v>V.skupina(&gt;1mil.Kč)</c:v>
                </c:pt>
                <c:pt idx="5">
                  <c:v>VI.skupina(&lt;1mil.Kč)</c:v>
                </c:pt>
              </c:strCache>
            </c:strRef>
          </c:xVal>
          <c:yVal>
            <c:numRef>
              <c:f>grafy_anomalie!$E$89:$E$94</c:f>
              <c:numCache>
                <c:formatCode>General</c:formatCode>
                <c:ptCount val="6"/>
                <c:pt idx="0">
                  <c:v>4</c:v>
                </c:pt>
                <c:pt idx="1">
                  <c:v>57</c:v>
                </c:pt>
                <c:pt idx="2">
                  <c:v>267</c:v>
                </c:pt>
                <c:pt idx="3">
                  <c:v>3128</c:v>
                </c:pt>
                <c:pt idx="4">
                  <c:v>2383</c:v>
                </c:pt>
                <c:pt idx="5">
                  <c:v>102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7C68-4FE3-83AA-F3844EF8C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6751896"/>
        <c:axId val="406751504"/>
      </c:scatterChart>
      <c:catAx>
        <c:axId val="4067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5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06751112"/>
        <c:crosses val="autoZero"/>
        <c:auto val="1"/>
        <c:lblAlgn val="ctr"/>
        <c:lblOffset val="100"/>
        <c:noMultiLvlLbl val="0"/>
      </c:catAx>
      <c:valAx>
        <c:axId val="406751112"/>
        <c:scaling>
          <c:orientation val="minMax"/>
          <c:max val="2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Objem vody</a:t>
                </a:r>
                <a:r>
                  <a:rPr lang="cs-C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cs-CZ" baseline="0"/>
                  <a:t>odpadní a srážkové fakturované </a:t>
                </a:r>
                <a:r>
                  <a:rPr lang="cs-C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v </a:t>
                </a:r>
                <a:r>
                  <a:rPr lang="cs-CZ" baseline="0"/>
                  <a:t>mil. m3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1.0459037426345758E-2"/>
              <c:y val="0.237899071022303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1" i="0" u="none" strike="noStrike" kern="1200" baseline="300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06750720"/>
        <c:crosses val="autoZero"/>
        <c:crossBetween val="between"/>
      </c:valAx>
      <c:valAx>
        <c:axId val="406751504"/>
        <c:scaling>
          <c:orientation val="minMax"/>
          <c:max val="37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rgbClr val="C00000"/>
                    </a:solidFill>
                  </a:rPr>
                  <a:t>četnost výskytů anomálii 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rgbClr val="C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06751896"/>
        <c:crosses val="max"/>
        <c:crossBetween val="midCat"/>
      </c:valAx>
      <c:valAx>
        <c:axId val="406751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67515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349155380327769E-2"/>
          <c:y val="0.91465424218422386"/>
          <c:w val="0.97627819101241331"/>
          <c:h val="7.53800804485238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400" b="1" i="0" cap="small" baseline="0">
                <a:solidFill>
                  <a:schemeClr val="accent2"/>
                </a:solidFill>
                <a:latin typeface="Calibri Light" pitchFamily="34" charset="0"/>
              </a:defRPr>
            </a:pP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Benchmarking vlastnictkých subjektů 2018 - Kanalizace</a:t>
            </a:r>
          </a:p>
          <a:p>
            <a:pPr algn="l">
              <a:defRPr sz="1400" b="1" i="0" cap="small" baseline="0">
                <a:solidFill>
                  <a:schemeClr val="accent2"/>
                </a:solidFill>
                <a:latin typeface="Calibri Light" pitchFamily="34" charset="0"/>
              </a:defRPr>
            </a:pPr>
            <a:r>
              <a:rPr lang="sk-SK" sz="1400" b="1" i="0" cap="sm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- Výskyt alespoň jedné anomálie podle množství vody odpadní a srážkové </a:t>
            </a:r>
            <a:r>
              <a:rPr lang="sk-SK" sz="1400" b="1" i="0" u="none" strike="noStrike" cap="small" baseline="0">
                <a:solidFill>
                  <a:schemeClr val="accent2">
                    <a:lumMod val="50000"/>
                  </a:schemeClr>
                </a:solidFill>
                <a:effectLst/>
              </a:rPr>
              <a:t>fakturované </a:t>
            </a:r>
            <a:endParaRPr lang="sk-SK" sz="1400" b="1" i="0" cap="small" baseline="0">
              <a:solidFill>
                <a:schemeClr val="accent2">
                  <a:lumMod val="50000"/>
                </a:schemeClr>
              </a:solidFill>
              <a:latin typeface="Calibri Light" pitchFamily="34" charset="0"/>
            </a:endParaRPr>
          </a:p>
        </c:rich>
      </c:tx>
      <c:layout>
        <c:manualLayout>
          <c:xMode val="edge"/>
          <c:yMode val="edge"/>
          <c:x val="2.1577122136841312E-3"/>
          <c:y val="5.7731142808922667E-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3806049334304841"/>
          <c:y val="0.11835577604535788"/>
          <c:w val="0.50973860351248812"/>
          <c:h val="0.79479613784739001"/>
        </c:manualLayout>
      </c:layout>
      <c:pieChart>
        <c:varyColors val="1"/>
        <c:ser>
          <c:idx val="0"/>
          <c:order val="0"/>
          <c:explosion val="15"/>
          <c:dPt>
            <c:idx val="0"/>
            <c:bubble3D val="0"/>
            <c:explosion val="7"/>
            <c:spPr>
              <a:solidFill>
                <a:srgbClr val="FF4A11"/>
              </a:solidFill>
            </c:spPr>
            <c:extLst>
              <c:ext xmlns:c16="http://schemas.microsoft.com/office/drawing/2014/chart" uri="{C3380CC4-5D6E-409C-BE32-E72D297353CC}">
                <c16:uniqueId val="{00000001-FA10-4EE5-A1D6-5B4407CC3181}"/>
              </c:ext>
            </c:extLst>
          </c:dPt>
          <c:dPt>
            <c:idx val="1"/>
            <c:bubble3D val="0"/>
            <c:explosion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FA10-4EE5-A1D6-5B4407CC3181}"/>
              </c:ext>
            </c:extLst>
          </c:dPt>
          <c:dLbls>
            <c:dLbl>
              <c:idx val="0"/>
              <c:layout>
                <c:manualLayout>
                  <c:x val="-0.22527307294967411"/>
                  <c:y val="-0.13242261684798426"/>
                </c:manualLayout>
              </c:layout>
              <c:tx>
                <c:rich>
                  <a:bodyPr/>
                  <a:lstStyle/>
                  <a:p>
                    <a:fld id="{F646DD02-45F1-4A4D-B943-642358439DCB}" type="VALUE"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[HODNOTA]</a:t>
                    </a:fld>
                    <a:r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 MIL.M</a:t>
                    </a:r>
                    <a:r>
                      <a:rPr lang="en-US" b="1" baseline="3000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3</a:t>
                    </a:r>
                    <a:r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; </a:t>
                    </a:r>
                    <a:fld id="{6B1966E4-B108-4E06-B98B-932E4160988D}" type="PERCENTAGE"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[PROCENTO]</a:t>
                    </a:fld>
                    <a:endParaRPr lang="en-US" b="1" baseline="0">
                      <a:solidFill>
                        <a:schemeClr val="accent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37036522584621"/>
                      <c:h val="0.121790191388531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10-4EE5-A1D6-5B4407CC3181}"/>
                </c:ext>
              </c:extLst>
            </c:dLbl>
            <c:dLbl>
              <c:idx val="1"/>
              <c:layout>
                <c:manualLayout>
                  <c:x val="0.17674618594025396"/>
                  <c:y val="0.17370750688671183"/>
                </c:manualLayout>
              </c:layout>
              <c:tx>
                <c:rich>
                  <a:bodyPr/>
                  <a:lstStyle/>
                  <a:p>
                    <a:fld id="{F646DD02-45F1-4A4D-B943-642358439DCB}" type="VALUE"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[HODNOTA]</a:t>
                    </a:fld>
                    <a:r>
                      <a:rPr lang="en-US" b="1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 MIL.M</a:t>
                    </a:r>
                    <a:r>
                      <a:rPr lang="en-US" b="1" baseline="3000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3</a:t>
                    </a:r>
                    <a:r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; </a:t>
                    </a:r>
                    <a:fld id="{6B1966E4-B108-4E06-B98B-932E4160988D}" type="PERCENTAGE">
                      <a:rPr lang="en-US" b="1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pPr/>
                      <a:t>[PROCENTO]</a:t>
                    </a:fld>
                    <a:endParaRPr lang="en-US" b="1" baseline="0">
                      <a:solidFill>
                        <a:schemeClr val="accent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87774006198505"/>
                      <c:h val="0.102057910631207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A10-4EE5-A1D6-5B4407CC318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noAutofit/>
              </a:bodyPr>
              <a:lstStyle/>
              <a:p>
                <a:pPr>
                  <a:defRPr sz="1000" b="1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(ANOMÁLIE!$O$28,ANOMÁLIE!$Q$28)</c:f>
              <c:strCache>
                <c:ptCount val="2"/>
                <c:pt idx="0">
                  <c:v>OBJEM VODY FAKTUROVANÉ V MIL. M3 S NEJMÉNĚ JEDNOU ANOMÁLII</c:v>
                </c:pt>
                <c:pt idx="1">
                  <c:v>OBJEM VODY FAKTUROVANÉ V MIL. M3 BEZ ANOMÁLIE</c:v>
                </c:pt>
              </c:strCache>
            </c:strRef>
          </c:cat>
          <c:val>
            <c:numRef>
              <c:f>(ANOMÁLIE!$O$35,ANOMÁLIE!$Q$35)</c:f>
              <c:numCache>
                <c:formatCode>General</c:formatCode>
                <c:ptCount val="2"/>
                <c:pt idx="0">
                  <c:v>359.8</c:v>
                </c:pt>
                <c:pt idx="1">
                  <c:v>155.43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10-4EE5-A1D6-5B4407CC3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r"/>
      <c:legendEntry>
        <c:idx val="0"/>
        <c:txPr>
          <a:bodyPr anchor="t" anchorCtr="0"/>
          <a:lstStyle/>
          <a:p>
            <a:pPr>
              <a:defRPr sz="1000" b="0" cap="small" baseline="0">
                <a:ln w="0">
                  <a:solidFill>
                    <a:schemeClr val="accent2"/>
                  </a:solidFill>
                </a:ln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</c:legendEntry>
      <c:legendEntry>
        <c:idx val="1"/>
        <c:txPr>
          <a:bodyPr anchor="t" anchorCtr="0"/>
          <a:lstStyle/>
          <a:p>
            <a:pPr>
              <a:defRPr sz="1000" b="0" cap="small" baseline="0">
                <a:ln w="0">
                  <a:solidFill>
                    <a:schemeClr val="accent2"/>
                  </a:solidFill>
                </a:ln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</c:legendEntry>
      <c:layout>
        <c:manualLayout>
          <c:xMode val="edge"/>
          <c:yMode val="edge"/>
          <c:x val="0"/>
          <c:y val="0.90652080042341276"/>
          <c:w val="1"/>
          <c:h val="9.3479199576587235E-2"/>
        </c:manualLayout>
      </c:layout>
      <c:overlay val="1"/>
      <c:txPr>
        <a:bodyPr anchor="t" anchorCtr="0"/>
        <a:lstStyle/>
        <a:p>
          <a:pPr>
            <a:defRPr sz="1000" b="0" cap="small" baseline="0">
              <a:ln w="0">
                <a:solidFill>
                  <a:schemeClr val="accent2"/>
                </a:solidFill>
              </a:ln>
              <a:solidFill>
                <a:schemeClr val="accent2">
                  <a:lumMod val="50000"/>
                </a:schemeClr>
              </a:solidFill>
              <a:latin typeface="+mj-lt"/>
            </a:defRPr>
          </a:pPr>
          <a:endParaRPr lang="cs-CZ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 algn="l">
              <a:defRPr sz="1100" cap="small" baseline="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VÝSKYT ANOMÁLIÍ </a:t>
            </a: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  <a:ea typeface="+mn-ea"/>
                <a:cs typeface="+mn-cs"/>
              </a:rPr>
              <a:t>VE </a:t>
            </a: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VZTAHU </a:t>
            </a:r>
            <a:r>
              <a:rPr lang="cs-CZ" sz="1100" b="1" i="0" u="none" strike="noStrike" kern="120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  <a:ea typeface="+mn-ea"/>
                <a:cs typeface="+mn-cs"/>
              </a:rPr>
              <a:t>K </a:t>
            </a: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MNOŽSTVÍ odpadní a srážkové vody FAKTUROVANÉ </a:t>
            </a:r>
            <a:r>
              <a:rPr lang="en-US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[MIL.M</a:t>
            </a:r>
            <a:r>
              <a:rPr lang="en-US" sz="1100" b="1" i="0" cap="all" baseline="3000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3</a:t>
            </a:r>
            <a:r>
              <a:rPr lang="en-US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]</a:t>
            </a: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 </a:t>
            </a:r>
            <a:endParaRPr lang="sk-SK" sz="1100" cap="all" baseline="0">
              <a:solidFill>
                <a:schemeClr val="accent2">
                  <a:lumMod val="50000"/>
                </a:schemeClr>
              </a:solidFill>
              <a:latin typeface="Calibri Light" pitchFamily="34" charset="0"/>
            </a:endParaRPr>
          </a:p>
          <a:p>
            <a:pPr algn="l">
              <a:defRPr sz="1100" cap="small" baseline="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r>
              <a:rPr lang="cs-CZ" sz="1100" b="1" i="0" cap="all" baseline="0">
                <a:solidFill>
                  <a:schemeClr val="accent2">
                    <a:lumMod val="50000"/>
                  </a:schemeClr>
                </a:solidFill>
                <a:latin typeface="Calibri Light" pitchFamily="34" charset="0"/>
              </a:rPr>
              <a:t>BENCHMARKINGU VLASTNICKÝCH SUBJEKTŮ 2018 - Kanalizace</a:t>
            </a:r>
            <a:endParaRPr lang="sk-SK" sz="1100" cap="all" baseline="0">
              <a:solidFill>
                <a:schemeClr val="accent2">
                  <a:lumMod val="50000"/>
                </a:schemeClr>
              </a:solidFill>
              <a:latin typeface="Calibri Light" pitchFamily="34" charset="0"/>
            </a:endParaRPr>
          </a:p>
        </c:rich>
      </c:tx>
      <c:layout>
        <c:manualLayout>
          <c:xMode val="edge"/>
          <c:yMode val="edge"/>
          <c:x val="5.0024568846702413E-4"/>
          <c:y val="6.800841705131703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5441625097740956"/>
          <c:y val="0.12525862068965485"/>
          <c:w val="0.4854938645614858"/>
          <c:h val="0.7658230091865615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ANOMÁLIE!$B$119</c:f>
              <c:strCache>
                <c:ptCount val="1"/>
                <c:pt idx="0">
                  <c:v>OBJEMY ZA JEDNOTLIVÉ  NALEZENÉ ANOMÁLIE</c:v>
                </c:pt>
              </c:strCache>
            </c:strRef>
          </c:tx>
          <c:spPr>
            <a:solidFill>
              <a:srgbClr val="FF4A1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.19654550347689459"/>
                  <c:y val="7.6062980147562184E-4"/>
                </c:manualLayout>
              </c:layout>
              <c:tx>
                <c:rich>
                  <a:bodyPr/>
                  <a:lstStyle/>
                  <a:p>
                    <a:fld id="{A135D64F-6BF5-4E31-9137-502CB904A8B8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95557735547665"/>
                      <c:h val="4.212739171656178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E809-49A1-99B1-A77378B14E5E}"/>
                </c:ext>
              </c:extLst>
            </c:dLbl>
            <c:dLbl>
              <c:idx val="1"/>
              <c:layout>
                <c:manualLayout>
                  <c:x val="0.20095564680655281"/>
                  <c:y val="7.6062980147562184E-4"/>
                </c:manualLayout>
              </c:layout>
              <c:tx>
                <c:rich>
                  <a:bodyPr/>
                  <a:lstStyle/>
                  <a:p>
                    <a:fld id="{EC89107A-0387-49AC-9AEC-DC75CA727303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77586401479309"/>
                      <c:h val="4.212739171656178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E809-49A1-99B1-A77378B14E5E}"/>
                </c:ext>
              </c:extLst>
            </c:dLbl>
            <c:dLbl>
              <c:idx val="2"/>
              <c:layout>
                <c:manualLayout>
                  <c:x val="0.21308347732924932"/>
                  <c:y val="7.6065332597756495E-4"/>
                </c:manualLayout>
              </c:layout>
              <c:tx>
                <c:rich>
                  <a:bodyPr/>
                  <a:lstStyle/>
                  <a:p>
                    <a:fld id="{868BE989-7CE4-4998-81EA-3089BE708F16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E809-49A1-99B1-A77378B14E5E}"/>
                </c:ext>
              </c:extLst>
            </c:dLbl>
            <c:dLbl>
              <c:idx val="3"/>
              <c:layout>
                <c:manualLayout>
                  <c:x val="0.21308347732924932"/>
                  <c:y val="7.6065332597756495E-4"/>
                </c:manualLayout>
              </c:layout>
              <c:tx>
                <c:rich>
                  <a:bodyPr/>
                  <a:lstStyle/>
                  <a:p>
                    <a:fld id="{11C7D8BE-955C-464B-9E4E-C5FF60C91877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E809-49A1-99B1-A77378B14E5E}"/>
                </c:ext>
              </c:extLst>
            </c:dLbl>
            <c:dLbl>
              <c:idx val="4"/>
              <c:layout>
                <c:manualLayout>
                  <c:x val="0.21308347732924932"/>
                  <c:y val="7.6065332597756495E-4"/>
                </c:manualLayout>
              </c:layout>
              <c:tx>
                <c:rich>
                  <a:bodyPr/>
                  <a:lstStyle/>
                  <a:p>
                    <a:fld id="{1B05139A-E0F3-4EBF-801C-7F64E62ACC6F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E809-49A1-99B1-A77378B14E5E}"/>
                </c:ext>
              </c:extLst>
            </c:dLbl>
            <c:dLbl>
              <c:idx val="5"/>
              <c:layout>
                <c:manualLayout>
                  <c:x val="0.19544296764448002"/>
                  <c:y val="7.6062980147562184E-4"/>
                </c:manualLayout>
              </c:layout>
              <c:tx>
                <c:rich>
                  <a:bodyPr/>
                  <a:lstStyle/>
                  <a:p>
                    <a:fld id="{7248DCA4-9B2C-42E9-BEB7-DA3EF735C4B2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75050569064754"/>
                      <c:h val="4.212739171656178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E809-49A1-99B1-A77378B14E5E}"/>
                </c:ext>
              </c:extLst>
            </c:dLbl>
            <c:dLbl>
              <c:idx val="6"/>
              <c:layout>
                <c:manualLayout>
                  <c:x val="0.2130834773292494"/>
                  <c:y val="7.60653325977505E-4"/>
                </c:manualLayout>
              </c:layout>
              <c:tx>
                <c:rich>
                  <a:bodyPr/>
                  <a:lstStyle/>
                  <a:p>
                    <a:fld id="{A4A4D387-626F-45EE-BB10-E74DE5EE60B6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E809-49A1-99B1-A77378B14E5E}"/>
                </c:ext>
              </c:extLst>
            </c:dLbl>
            <c:dLbl>
              <c:idx val="7"/>
              <c:layout>
                <c:manualLayout>
                  <c:x val="0.20426325430379644"/>
                  <c:y val="7.6062980147562184E-4"/>
                </c:manualLayout>
              </c:layout>
              <c:tx>
                <c:rich>
                  <a:bodyPr/>
                  <a:lstStyle/>
                  <a:p>
                    <a:fld id="{911C0694-D614-45D0-9A1E-8C37F9F90429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3910790092804"/>
                      <c:h val="4.212739171656178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E809-49A1-99B1-A77378B14E5E}"/>
                </c:ext>
              </c:extLst>
            </c:dLbl>
            <c:dLbl>
              <c:idx val="8"/>
              <c:layout>
                <c:manualLayout>
                  <c:x val="0.21308347732924932"/>
                  <c:y val="7.6065332597756495E-4"/>
                </c:manualLayout>
              </c:layout>
              <c:tx>
                <c:rich>
                  <a:bodyPr/>
                  <a:lstStyle/>
                  <a:p>
                    <a:fld id="{471BC97C-D800-4186-8E87-E116D7D4EDF7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E809-49A1-99B1-A77378B14E5E}"/>
                </c:ext>
              </c:extLst>
            </c:dLbl>
            <c:dLbl>
              <c:idx val="9"/>
              <c:layout>
                <c:manualLayout>
                  <c:x val="0.2130834773292494"/>
                  <c:y val="7.6065332597753492E-4"/>
                </c:manualLayout>
              </c:layout>
              <c:tx>
                <c:rich>
                  <a:bodyPr/>
                  <a:lstStyle/>
                  <a:p>
                    <a:fld id="{B41B76DC-269A-44F8-BE87-DBDC46E5D9AC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E809-49A1-99B1-A77378B14E5E}"/>
                </c:ext>
              </c:extLst>
            </c:dLbl>
            <c:dLbl>
              <c:idx val="10"/>
              <c:layout>
                <c:manualLayout>
                  <c:x val="0.2130834773292494"/>
                  <c:y val="7.6065332597753492E-4"/>
                </c:manualLayout>
              </c:layout>
              <c:tx>
                <c:rich>
                  <a:bodyPr/>
                  <a:lstStyle/>
                  <a:p>
                    <a:fld id="{DD5E392E-EF8E-49F1-B1B8-0FA85F9C3632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E809-49A1-99B1-A77378B14E5E}"/>
                </c:ext>
              </c:extLst>
            </c:dLbl>
            <c:dLbl>
              <c:idx val="11"/>
              <c:layout>
                <c:manualLayout>
                  <c:x val="0.2130834773292494"/>
                  <c:y val="7.6065332597756495E-4"/>
                </c:manualLayout>
              </c:layout>
              <c:tx>
                <c:rich>
                  <a:bodyPr/>
                  <a:lstStyle/>
                  <a:p>
                    <a:fld id="{78BEA2AA-AE88-4C98-8DB7-385F2FD027A7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3170764882792"/>
                      <c:h val="4.212733452414479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E809-49A1-99B1-A77378B14E5E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noAutofit/>
              </a:bodyPr>
              <a:lstStyle/>
              <a:p>
                <a:pPr>
                  <a:defRPr sz="800" b="1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endParaRPr lang="cs-CZ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ANOMÁLIE!$A$120:$A$131</c:f>
              <c:strCache>
                <c:ptCount val="12"/>
                <c:pt idx="0">
                  <c:v>NULOVÉ ODPISY + NULOVÉ OPRAVY +4.4 VE SMÍŠENÉM NEBO KOMBINOVANÉM MODELU</c:v>
                </c:pt>
                <c:pt idx="1">
                  <c:v>NULOVÁ CENA PRO STOČNÉ</c:v>
                </c:pt>
                <c:pt idx="2">
                  <c:v>NÍZKÁ CENA PRO STOČNÉ  (NA ÚROVNI 10% PERCENTILU CENY PRO STOČNÉ ZE SOUBORU DAT, U KTERÝCH JSOU JEDNOTKOVÉ NÁKLADY VÍCE NEŽ 4,76 KČ/M3)</c:v>
                </c:pt>
                <c:pt idx="3">
                  <c:v>ZÁPORNÝ ZISK KALKULOVÁN A ZÁPORNÝ ZISK DOSAŽEN</c:v>
                </c:pt>
                <c:pt idx="4">
                  <c:v>NÁJEM JE MENŠÍ NEBO ROVEN 0 V ODDÍLNÉM (BEZ SERVISNÍCH SMLUV) NEBO KOMBINOVANÉM MODELU</c:v>
                </c:pt>
                <c:pt idx="5">
                  <c:v>NULOVÝ CELÝ ŘÁDEK 20</c:v>
                </c:pt>
                <c:pt idx="6">
                  <c:v>KALKULOVÁN KLADNÝ NEBO NULOVÝ ZISK A DOSAŽEN ZÁPORNÝ</c:v>
                </c:pt>
                <c:pt idx="7">
                  <c:v>OKF &gt; 1 A NEPLNÍ OBNOVU</c:v>
                </c:pt>
                <c:pt idx="8">
                  <c:v>ZÁPORNÝ KALKULAČNÍ ZISK</c:v>
                </c:pt>
                <c:pt idx="9">
                  <c:v>VYSOKÝ PODÍL KALKULAČNÍHO ZISKU K ROZDĚLENÍ NA ÚVN (BEZ ČÁSTI NA OBNOVU A ROZVOJ) (HODNOTA VÍCE NEŽ 1,5 NÁSOBEK MEDIÁNU SKUPINY Z POROVNÁNÍ S KLADNÝM KALKULAČNÍM ZISKEM)</c:v>
                </c:pt>
                <c:pt idx="10">
                  <c:v>NEDOSTATEČNÁ TVORBA PROSTŘEDKŮ NA OBNOVU VIM</c:v>
                </c:pt>
                <c:pt idx="11">
                  <c:v> VYSOKÝ POČET PORUCH NA 1 KM STOKOVÉ SÍTĚ / ROK (HODNOTA 1,5 NÁSOBKU MEDIÁNU SKUPINY Z POROVNÁNÍ BEZ NULOVÉ HODNOTY UKAZATELE)</c:v>
                </c:pt>
              </c:strCache>
            </c:strRef>
          </c:cat>
          <c:val>
            <c:numRef>
              <c:f>ANOMÁLIE!$B$120:$B$131</c:f>
              <c:numCache>
                <c:formatCode>0.00</c:formatCode>
                <c:ptCount val="12"/>
                <c:pt idx="0">
                  <c:v>0.33293500000000004</c:v>
                </c:pt>
                <c:pt idx="1">
                  <c:v>1.46807</c:v>
                </c:pt>
                <c:pt idx="2">
                  <c:v>11.013210999999997</c:v>
                </c:pt>
                <c:pt idx="3">
                  <c:v>19.021095000000003</c:v>
                </c:pt>
                <c:pt idx="4">
                  <c:v>27.180447000000004</c:v>
                </c:pt>
                <c:pt idx="5">
                  <c:v>30.909420000000004</c:v>
                </c:pt>
                <c:pt idx="6">
                  <c:v>31.811796999999977</c:v>
                </c:pt>
                <c:pt idx="7">
                  <c:v>36.331911000000005</c:v>
                </c:pt>
                <c:pt idx="8">
                  <c:v>50.83289199999998</c:v>
                </c:pt>
                <c:pt idx="9">
                  <c:v>109.03117999999998</c:v>
                </c:pt>
                <c:pt idx="10">
                  <c:v>126.99544800000002</c:v>
                </c:pt>
                <c:pt idx="11">
                  <c:v>203.73589699999999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ANOMÁLIE!$I$120:$I$131</c15:f>
                <c15:dlblRangeCache>
                  <c:ptCount val="12"/>
                  <c:pt idx="0">
                    <c:v>0,33 MIL. M3; 0,06%; 8 VÝSKYTŮ</c:v>
                  </c:pt>
                  <c:pt idx="1">
                    <c:v>1,47 MIL. M3; 0,28%; 103 VÝSKYTŮ</c:v>
                  </c:pt>
                  <c:pt idx="2">
                    <c:v>11,01 MIL. M3; 2,14%; 437 VÝSKYTŮ</c:v>
                  </c:pt>
                  <c:pt idx="3">
                    <c:v>19,02 MIL. M3; 3,69%; 712 VÝSKYTŮ</c:v>
                  </c:pt>
                  <c:pt idx="4">
                    <c:v>27,18 MIL. M3; 5,28%; 113 VÝSKYTŮ</c:v>
                  </c:pt>
                  <c:pt idx="5">
                    <c:v>30,91 MIL. M3; 6%; 581 VÝSKYTŮ</c:v>
                  </c:pt>
                  <c:pt idx="6">
                    <c:v>31,81 MIL. M3; 6,17%; 772 VÝSKYTŮ</c:v>
                  </c:pt>
                  <c:pt idx="7">
                    <c:v>36,33 MIL. M3; 7,05%; 81 VÝSKYTŮ</c:v>
                  </c:pt>
                  <c:pt idx="8">
                    <c:v>50,83 MIL. M3; 9,87%; 1484 VÝSKYTŮ</c:v>
                  </c:pt>
                  <c:pt idx="9">
                    <c:v>109,03 MIL. M3; 21,16%; 329 VÝSKYTŮ</c:v>
                  </c:pt>
                  <c:pt idx="10">
                    <c:v>127 MIL. M3; 24,65%; 2136 VÝSKYTŮ</c:v>
                  </c:pt>
                  <c:pt idx="11">
                    <c:v>203,74 MIL. M3; 39,54%; 202 VÝSKYTŮ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C-E809-49A1-99B1-A77378B14E5E}"/>
            </c:ext>
          </c:extLst>
        </c:ser>
        <c:ser>
          <c:idx val="3"/>
          <c:order val="3"/>
          <c:tx>
            <c:strRef>
              <c:f>ANOMÁLIE!$E$119</c:f>
              <c:strCache>
                <c:ptCount val="1"/>
                <c:pt idx="0">
                  <c:v>BEZ VÝSKYTU DANÉ ANOMÁLIE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ANOMÁLIE!$A$120:$A$131</c:f>
              <c:strCache>
                <c:ptCount val="12"/>
                <c:pt idx="0">
                  <c:v>NULOVÉ ODPISY + NULOVÉ OPRAVY +4.4 VE SMÍŠENÉM NEBO KOMBINOVANÉM MODELU</c:v>
                </c:pt>
                <c:pt idx="1">
                  <c:v>NULOVÁ CENA PRO STOČNÉ</c:v>
                </c:pt>
                <c:pt idx="2">
                  <c:v>NÍZKÁ CENA PRO STOČNÉ  (NA ÚROVNI 10% PERCENTILU CENY PRO STOČNÉ ZE SOUBORU DAT, U KTERÝCH JSOU JEDNOTKOVÉ NÁKLADY VÍCE NEŽ 4,76 KČ/M3)</c:v>
                </c:pt>
                <c:pt idx="3">
                  <c:v>ZÁPORNÝ ZISK KALKULOVÁN A ZÁPORNÝ ZISK DOSAŽEN</c:v>
                </c:pt>
                <c:pt idx="4">
                  <c:v>NÁJEM JE MENŠÍ NEBO ROVEN 0 V ODDÍLNÉM (BEZ SERVISNÍCH SMLUV) NEBO KOMBINOVANÉM MODELU</c:v>
                </c:pt>
                <c:pt idx="5">
                  <c:v>NULOVÝ CELÝ ŘÁDEK 20</c:v>
                </c:pt>
                <c:pt idx="6">
                  <c:v>KALKULOVÁN KLADNÝ NEBO NULOVÝ ZISK A DOSAŽEN ZÁPORNÝ</c:v>
                </c:pt>
                <c:pt idx="7">
                  <c:v>OKF &gt; 1 A NEPLNÍ OBNOVU</c:v>
                </c:pt>
                <c:pt idx="8">
                  <c:v>ZÁPORNÝ KALKULAČNÍ ZISK</c:v>
                </c:pt>
                <c:pt idx="9">
                  <c:v>VYSOKÝ PODÍL KALKULAČNÍHO ZISKU K ROZDĚLENÍ NA ÚVN (BEZ ČÁSTI NA OBNOVU A ROZVOJ) (HODNOTA VÍCE NEŽ 1,5 NÁSOBEK MEDIÁNU SKUPINY Z POROVNÁNÍ S KLADNÝM KALKULAČNÍM ZISKEM)</c:v>
                </c:pt>
                <c:pt idx="10">
                  <c:v>NEDOSTATEČNÁ TVORBA PROSTŘEDKŮ NA OBNOVU VIM</c:v>
                </c:pt>
                <c:pt idx="11">
                  <c:v> VYSOKÝ POČET PORUCH NA 1 KM STOKOVÉ SÍTĚ / ROK (HODNOTA 1,5 NÁSOBKU MEDIÁNU SKUPINY Z POROVNÁNÍ BEZ NULOVÉ HODNOTY UKAZATELE)</c:v>
                </c:pt>
              </c:strCache>
            </c:strRef>
          </c:cat>
          <c:val>
            <c:numRef>
              <c:f>ANOMÁLIE!$E$120:$E$131</c:f>
              <c:numCache>
                <c:formatCode>0.00</c:formatCode>
                <c:ptCount val="12"/>
                <c:pt idx="0" formatCode="General">
                  <c:v>514.897065</c:v>
                </c:pt>
                <c:pt idx="1">
                  <c:v>513.76193000000001</c:v>
                </c:pt>
                <c:pt idx="2" formatCode="General">
                  <c:v>504.21678900000001</c:v>
                </c:pt>
                <c:pt idx="3" formatCode="General">
                  <c:v>496.20890500000002</c:v>
                </c:pt>
                <c:pt idx="4" formatCode="General">
                  <c:v>488.049553</c:v>
                </c:pt>
                <c:pt idx="5" formatCode="General">
                  <c:v>484.32058000000001</c:v>
                </c:pt>
                <c:pt idx="6" formatCode="General">
                  <c:v>483.41820300000006</c:v>
                </c:pt>
                <c:pt idx="7" formatCode="General">
                  <c:v>478.89808900000003</c:v>
                </c:pt>
                <c:pt idx="8" formatCode="General">
                  <c:v>464.39710800000006</c:v>
                </c:pt>
                <c:pt idx="9" formatCode="General">
                  <c:v>406.19882000000007</c:v>
                </c:pt>
                <c:pt idx="10" formatCode="General">
                  <c:v>388.23455200000001</c:v>
                </c:pt>
                <c:pt idx="11" formatCode="General">
                  <c:v>311.494103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809-49A1-99B1-A77378B14E5E}"/>
            </c:ext>
          </c:extLst>
        </c:ser>
        <c:ser>
          <c:idx val="4"/>
          <c:order val="4"/>
          <c:tx>
            <c:strRef>
              <c:f>ANOMÁLIE!$F$119</c:f>
              <c:strCache>
                <c:ptCount val="1"/>
                <c:pt idx="0">
                  <c:v>NEANALYZOVANÝ TRH</c:v>
                </c:pt>
              </c:strCache>
            </c:strRef>
          </c:tx>
          <c:spPr>
            <a:solidFill>
              <a:srgbClr val="F8CBA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ANOMÁLIE!$A$120:$A$131</c:f>
              <c:strCache>
                <c:ptCount val="12"/>
                <c:pt idx="0">
                  <c:v>NULOVÉ ODPISY + NULOVÉ OPRAVY +4.4 VE SMÍŠENÉM NEBO KOMBINOVANÉM MODELU</c:v>
                </c:pt>
                <c:pt idx="1">
                  <c:v>NULOVÁ CENA PRO STOČNÉ</c:v>
                </c:pt>
                <c:pt idx="2">
                  <c:v>NÍZKÁ CENA PRO STOČNÉ  (NA ÚROVNI 10% PERCENTILU CENY PRO STOČNÉ ZE SOUBORU DAT, U KTERÝCH JSOU JEDNOTKOVÉ NÁKLADY VÍCE NEŽ 4,76 KČ/M3)</c:v>
                </c:pt>
                <c:pt idx="3">
                  <c:v>ZÁPORNÝ ZISK KALKULOVÁN A ZÁPORNÝ ZISK DOSAŽEN</c:v>
                </c:pt>
                <c:pt idx="4">
                  <c:v>NÁJEM JE MENŠÍ NEBO ROVEN 0 V ODDÍLNÉM (BEZ SERVISNÍCH SMLUV) NEBO KOMBINOVANÉM MODELU</c:v>
                </c:pt>
                <c:pt idx="5">
                  <c:v>NULOVÝ CELÝ ŘÁDEK 20</c:v>
                </c:pt>
                <c:pt idx="6">
                  <c:v>KALKULOVÁN KLADNÝ NEBO NULOVÝ ZISK A DOSAŽEN ZÁPORNÝ</c:v>
                </c:pt>
                <c:pt idx="7">
                  <c:v>OKF &gt; 1 A NEPLNÍ OBNOVU</c:v>
                </c:pt>
                <c:pt idx="8">
                  <c:v>ZÁPORNÝ KALKULAČNÍ ZISK</c:v>
                </c:pt>
                <c:pt idx="9">
                  <c:v>VYSOKÝ PODÍL KALKULAČNÍHO ZISKU K ROZDĚLENÍ NA ÚVN (BEZ ČÁSTI NA OBNOVU A ROZVOJ) (HODNOTA VÍCE NEŽ 1,5 NÁSOBEK MEDIÁNU SKUPINY Z POROVNÁNÍ S KLADNÝM KALKULAČNÍM ZISKEM)</c:v>
                </c:pt>
                <c:pt idx="10">
                  <c:v>NEDOSTATEČNÁ TVORBA PROSTŘEDKŮ NA OBNOVU VIM</c:v>
                </c:pt>
                <c:pt idx="11">
                  <c:v> VYSOKÝ POČET PORUCH NA 1 KM STOKOVÉ SÍTĚ / ROK (HODNOTA 1,5 NÁSOBKU MEDIÁNU SKUPINY Z POROVNÁNÍ BEZ NULOVÉ HODNOTY UKAZATELE)</c:v>
                </c:pt>
              </c:strCache>
            </c:strRef>
          </c:cat>
          <c:val>
            <c:numRef>
              <c:f>ANOMÁLIE!$F$120:$F$131</c:f>
              <c:numCache>
                <c:formatCode>0.00</c:formatCode>
                <c:ptCount val="12"/>
                <c:pt idx="0">
                  <c:v>14.076000000000022</c:v>
                </c:pt>
                <c:pt idx="1">
                  <c:v>14.076000000000022</c:v>
                </c:pt>
                <c:pt idx="2">
                  <c:v>14.076000000000022</c:v>
                </c:pt>
                <c:pt idx="3">
                  <c:v>14.076000000000022</c:v>
                </c:pt>
                <c:pt idx="4">
                  <c:v>14.076000000000022</c:v>
                </c:pt>
                <c:pt idx="5">
                  <c:v>14.076000000000022</c:v>
                </c:pt>
                <c:pt idx="6">
                  <c:v>14.076000000000022</c:v>
                </c:pt>
                <c:pt idx="7">
                  <c:v>14.076000000000022</c:v>
                </c:pt>
                <c:pt idx="8">
                  <c:v>14.076000000000022</c:v>
                </c:pt>
                <c:pt idx="9">
                  <c:v>14.076000000000022</c:v>
                </c:pt>
                <c:pt idx="10">
                  <c:v>14.076000000000022</c:v>
                </c:pt>
                <c:pt idx="11">
                  <c:v>14.076000000000022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809-49A1-99B1-A77378B14E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1581044968"/>
        <c:axId val="158104536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ANOMÁLIE!$C$119</c15:sqref>
                        </c15:formulaRef>
                      </c:ext>
                    </c:extLst>
                    <c:strCache>
                      <c:ptCount val="1"/>
                      <c:pt idx="0">
                        <c:v>ANALYZOVANÉ</c:v>
                      </c:pt>
                    </c:strCache>
                  </c:strRef>
                </c:tx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ANOMÁLIE!$A$120:$A$131</c15:sqref>
                        </c15:formulaRef>
                      </c:ext>
                    </c:extLst>
                    <c:strCache>
                      <c:ptCount val="12"/>
                      <c:pt idx="0">
                        <c:v>NULOVÉ ODPISY + NULOVÉ OPRAVY +4.4 VE SMÍŠENÉM NEBO KOMBINOVANÉM MODELU</c:v>
                      </c:pt>
                      <c:pt idx="1">
                        <c:v>NULOVÁ CENA PRO STOČNÉ</c:v>
                      </c:pt>
                      <c:pt idx="2">
                        <c:v>NÍZKÁ CENA PRO STOČNÉ  (NA ÚROVNI 10% PERCENTILU CENY PRO STOČNÉ ZE SOUBORU DAT, U KTERÝCH JSOU JEDNOTKOVÉ NÁKLADY VÍCE NEŽ 4,76 KČ/M3)</c:v>
                      </c:pt>
                      <c:pt idx="3">
                        <c:v>ZÁPORNÝ ZISK KALKULOVÁN A ZÁPORNÝ ZISK DOSAŽEN</c:v>
                      </c:pt>
                      <c:pt idx="4">
                        <c:v>NÁJEM JE MENŠÍ NEBO ROVEN 0 V ODDÍLNÉM (BEZ SERVISNÍCH SMLUV) NEBO KOMBINOVANÉM MODELU</c:v>
                      </c:pt>
                      <c:pt idx="5">
                        <c:v>NULOVÝ CELÝ ŘÁDEK 20</c:v>
                      </c:pt>
                      <c:pt idx="6">
                        <c:v>KALKULOVÁN KLADNÝ NEBO NULOVÝ ZISK A DOSAŽEN ZÁPORNÝ</c:v>
                      </c:pt>
                      <c:pt idx="7">
                        <c:v>OKF &gt; 1 A NEPLNÍ OBNOVU</c:v>
                      </c:pt>
                      <c:pt idx="8">
                        <c:v>ZÁPORNÝ KALKULAČNÍ ZISK</c:v>
                      </c:pt>
                      <c:pt idx="9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0">
                        <c:v>NEDOSTATEČNÁ TVORBA PROSTŘEDKŮ NA OBNOVU VIM</c:v>
                      </c:pt>
                      <c:pt idx="11">
                        <c:v> VYSOKÝ POČET PORUCH NA 1 KM STOKOVÉ SÍTĚ / ROK (HODNOTA 1,5 NÁSOBKU MEDIÁNU SKUPINY Z POROVNÁNÍ BEZ NULOVÉ HODNOTY UKAZATELE)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ANOMÁLIE!$C$120:$C$131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515.23</c:v>
                      </c:pt>
                      <c:pt idx="1">
                        <c:v>515.23</c:v>
                      </c:pt>
                      <c:pt idx="2">
                        <c:v>515.23</c:v>
                      </c:pt>
                      <c:pt idx="3">
                        <c:v>515.23</c:v>
                      </c:pt>
                      <c:pt idx="4">
                        <c:v>515.23</c:v>
                      </c:pt>
                      <c:pt idx="5">
                        <c:v>515.23</c:v>
                      </c:pt>
                      <c:pt idx="6">
                        <c:v>515.23</c:v>
                      </c:pt>
                      <c:pt idx="7">
                        <c:v>515.23</c:v>
                      </c:pt>
                      <c:pt idx="8">
                        <c:v>515.23</c:v>
                      </c:pt>
                      <c:pt idx="9">
                        <c:v>515.23</c:v>
                      </c:pt>
                      <c:pt idx="10">
                        <c:v>515.23</c:v>
                      </c:pt>
                      <c:pt idx="11">
                        <c:v>515.23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E809-49A1-99B1-A77378B14E5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ANOMÁLIE!$D$119</c15:sqref>
                        </c15:formulaRef>
                      </c:ext>
                    </c:extLst>
                    <c:strCache>
                      <c:ptCount val="1"/>
                      <c:pt idx="0">
                        <c:v>CELKEM TRH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ANOMÁLIE!$A$120:$A$131</c15:sqref>
                        </c15:formulaRef>
                      </c:ext>
                    </c:extLst>
                    <c:strCache>
                      <c:ptCount val="12"/>
                      <c:pt idx="0">
                        <c:v>NULOVÉ ODPISY + NULOVÉ OPRAVY +4.4 VE SMÍŠENÉM NEBO KOMBINOVANÉM MODELU</c:v>
                      </c:pt>
                      <c:pt idx="1">
                        <c:v>NULOVÁ CENA PRO STOČNÉ</c:v>
                      </c:pt>
                      <c:pt idx="2">
                        <c:v>NÍZKÁ CENA PRO STOČNÉ  (NA ÚROVNI 10% PERCENTILU CENY PRO STOČNÉ ZE SOUBORU DAT, U KTERÝCH JSOU JEDNOTKOVÉ NÁKLADY VÍCE NEŽ 4,76 KČ/M3)</c:v>
                      </c:pt>
                      <c:pt idx="3">
                        <c:v>ZÁPORNÝ ZISK KALKULOVÁN A ZÁPORNÝ ZISK DOSAŽEN</c:v>
                      </c:pt>
                      <c:pt idx="4">
                        <c:v>NÁJEM JE MENŠÍ NEBO ROVEN 0 V ODDÍLNÉM (BEZ SERVISNÍCH SMLUV) NEBO KOMBINOVANÉM MODELU</c:v>
                      </c:pt>
                      <c:pt idx="5">
                        <c:v>NULOVÝ CELÝ ŘÁDEK 20</c:v>
                      </c:pt>
                      <c:pt idx="6">
                        <c:v>KALKULOVÁN KLADNÝ NEBO NULOVÝ ZISK A DOSAŽEN ZÁPORNÝ</c:v>
                      </c:pt>
                      <c:pt idx="7">
                        <c:v>OKF &gt; 1 A NEPLNÍ OBNOVU</c:v>
                      </c:pt>
                      <c:pt idx="8">
                        <c:v>ZÁPORNÝ KALKULAČNÍ ZISK</c:v>
                      </c:pt>
                      <c:pt idx="9">
                        <c:v>VYSOKÝ PODÍL KALKULAČNÍHO ZISKU K ROZDĚLENÍ NA ÚVN (BEZ ČÁSTI NA OBNOVU A ROZVOJ) (HODNOTA VÍCE NEŽ 1,5 NÁSOBEK MEDIÁNU SKUPINY Z POROVNÁNÍ S KLADNÝM KALKULAČNÍM ZISKEM)</c:v>
                      </c:pt>
                      <c:pt idx="10">
                        <c:v>NEDOSTATEČNÁ TVORBA PROSTŘEDKŮ NA OBNOVU VIM</c:v>
                      </c:pt>
                      <c:pt idx="11">
                        <c:v> VYSOKÝ POČET PORUCH NA 1 KM STOKOVÉ SÍTĚ / ROK (HODNOTA 1,5 NÁSOBKU MEDIÁNU SKUPINY Z POROVNÁNÍ BEZ NULOVÉ HODNOTY UKAZATELE)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ANOMÁLIE!$D$120:$D$131</c15:sqref>
                        </c15:formulaRef>
                      </c:ext>
                    </c:extLst>
                    <c:numCache>
                      <c:formatCode>0.00</c:formatCode>
                      <c:ptCount val="12"/>
                      <c:pt idx="0">
                        <c:v>529.30600000000004</c:v>
                      </c:pt>
                      <c:pt idx="1">
                        <c:v>529.30600000000004</c:v>
                      </c:pt>
                      <c:pt idx="2">
                        <c:v>529.30600000000004</c:v>
                      </c:pt>
                      <c:pt idx="3">
                        <c:v>529.30600000000004</c:v>
                      </c:pt>
                      <c:pt idx="4">
                        <c:v>529.30600000000004</c:v>
                      </c:pt>
                      <c:pt idx="5">
                        <c:v>529.30600000000004</c:v>
                      </c:pt>
                      <c:pt idx="6">
                        <c:v>529.30600000000004</c:v>
                      </c:pt>
                      <c:pt idx="7">
                        <c:v>529.30600000000004</c:v>
                      </c:pt>
                      <c:pt idx="8">
                        <c:v>529.30600000000004</c:v>
                      </c:pt>
                      <c:pt idx="9">
                        <c:v>529.30600000000004</c:v>
                      </c:pt>
                      <c:pt idx="10">
                        <c:v>529.30600000000004</c:v>
                      </c:pt>
                      <c:pt idx="11">
                        <c:v>529.30600000000004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809-49A1-99B1-A77378B14E5E}"/>
                  </c:ext>
                </c:extLst>
              </c15:ser>
            </c15:filteredBarSeries>
          </c:ext>
        </c:extLst>
      </c:barChart>
      <c:catAx>
        <c:axId val="1581044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 b="1" cap="small" baseline="0">
                <a:solidFill>
                  <a:schemeClr val="accent2">
                    <a:lumMod val="50000"/>
                  </a:schemeClr>
                </a:solidFill>
                <a:latin typeface="+mj-lt"/>
              </a:defRPr>
            </a:pPr>
            <a:endParaRPr lang="cs-CZ"/>
          </a:p>
        </c:txPr>
        <c:crossAx val="1581045360"/>
        <c:crosses val="autoZero"/>
        <c:auto val="0"/>
        <c:lblAlgn val="ctr"/>
        <c:lblOffset val="100"/>
        <c:noMultiLvlLbl val="0"/>
      </c:catAx>
      <c:valAx>
        <c:axId val="1581045360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cs-CZ"/>
          </a:p>
        </c:txPr>
        <c:crossAx val="1581044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846794694799032E-3"/>
          <c:y val="0.97728223454011864"/>
          <c:w val="0.98261566887904306"/>
          <c:h val="2.271776545988136E-2"/>
        </c:manualLayout>
      </c:layout>
      <c:overlay val="0"/>
      <c:txPr>
        <a:bodyPr/>
        <a:lstStyle/>
        <a:p>
          <a:pPr>
            <a:defRPr sz="90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 rtl="0">
              <a:defRPr/>
            </a:pPr>
            <a:r>
              <a:rPr lang="cs-CZ" cap="small" baseline="0">
                <a:solidFill>
                  <a:schemeClr val="accent2">
                    <a:lumMod val="50000"/>
                  </a:schemeClr>
                </a:solidFill>
              </a:rPr>
              <a:t>BENCHMARKINGU VLASTNICKÝCH SUBJEKTŮ 2018 - Kanalizace</a:t>
            </a:r>
            <a:endParaRPr lang="sk-SK" cap="small" baseline="0">
              <a:solidFill>
                <a:schemeClr val="accent2">
                  <a:lumMod val="50000"/>
                </a:schemeClr>
              </a:solidFill>
            </a:endParaRPr>
          </a:p>
          <a:p>
            <a:pPr algn="l" rtl="0">
              <a:defRPr/>
            </a:pPr>
            <a:r>
              <a:rPr lang="sk-SK" cap="small" baseline="0">
                <a:solidFill>
                  <a:schemeClr val="accent2">
                    <a:lumMod val="50000"/>
                  </a:schemeClr>
                </a:solidFill>
              </a:rPr>
              <a:t>Výskyt alespoň jedné anomálie </a:t>
            </a:r>
            <a:r>
              <a:rPr lang="sk-SK" sz="1080" b="1" i="0" u="none" strike="noStrike" kern="1200" cap="small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rPr>
              <a:t>ve </a:t>
            </a:r>
            <a:r>
              <a:rPr lang="sk-SK" cap="small" baseline="0">
                <a:solidFill>
                  <a:schemeClr val="accent2">
                    <a:lumMod val="50000"/>
                  </a:schemeClr>
                </a:solidFill>
              </a:rPr>
              <a:t>skupině</a:t>
            </a:r>
          </a:p>
          <a:p>
            <a:pPr algn="l" rtl="0">
              <a:defRPr/>
            </a:pPr>
            <a:r>
              <a:rPr lang="sk-SK" cap="small" baseline="0">
                <a:solidFill>
                  <a:schemeClr val="accent2">
                    <a:lumMod val="50000"/>
                  </a:schemeClr>
                </a:solidFill>
              </a:rPr>
              <a:t>- </a:t>
            </a:r>
            <a:r>
              <a:rPr lang="cs-CZ" sz="1080" b="1" i="0" u="none" strike="noStrike" kern="1200" cap="small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rPr>
              <a:t>VE </a:t>
            </a:r>
            <a:r>
              <a:rPr lang="cs-CZ" cap="small" baseline="0">
                <a:solidFill>
                  <a:schemeClr val="accent2">
                    <a:lumMod val="50000"/>
                  </a:schemeClr>
                </a:solidFill>
              </a:rPr>
              <a:t>VZTAHU </a:t>
            </a:r>
            <a:r>
              <a:rPr lang="cs-CZ" sz="1080" b="1" i="0" u="none" strike="noStrike" kern="1200" cap="small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rPr>
              <a:t>K </a:t>
            </a:r>
            <a:r>
              <a:rPr lang="cs-CZ" cap="small" baseline="0">
                <a:solidFill>
                  <a:schemeClr val="accent2">
                    <a:lumMod val="50000"/>
                  </a:schemeClr>
                </a:solidFill>
              </a:rPr>
              <a:t>MNOŽSTVÍ odpadní a srážkové vody FAKTUROVANÉ </a:t>
            </a:r>
            <a:r>
              <a:rPr lang="en-US" cap="small" baseline="0">
                <a:solidFill>
                  <a:schemeClr val="accent2">
                    <a:lumMod val="50000"/>
                  </a:schemeClr>
                </a:solidFill>
              </a:rPr>
              <a:t>[MIL.M3</a:t>
            </a:r>
            <a:r>
              <a:rPr lang="en-US"/>
              <a:t>]</a:t>
            </a:r>
            <a:r>
              <a:rPr lang="cs-CZ"/>
              <a:t> </a:t>
            </a:r>
            <a:endParaRPr lang="sk-SK"/>
          </a:p>
          <a:p>
            <a:pPr algn="l" rtl="0">
              <a:defRPr/>
            </a:pPr>
            <a:endParaRPr lang="sk-SK"/>
          </a:p>
        </c:rich>
      </c:tx>
      <c:layout>
        <c:manualLayout>
          <c:xMode val="edge"/>
          <c:yMode val="edge"/>
          <c:x val="1.2952933378538077E-3"/>
          <c:y val="3.210281939445298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794041844697309"/>
          <c:y val="0.15994115651526677"/>
          <c:w val="0.83061915437374001"/>
          <c:h val="0.65476143745152016"/>
        </c:manualLayout>
      </c:layout>
      <c:barChart>
        <c:barDir val="col"/>
        <c:grouping val="stacked"/>
        <c:varyColors val="0"/>
        <c:ser>
          <c:idx val="13"/>
          <c:order val="13"/>
          <c:tx>
            <c:strRef>
              <c:f>ANOMÁLIE!$A$213</c:f>
              <c:strCache>
                <c:ptCount val="1"/>
                <c:pt idx="0">
                  <c:v>OBJEM VODY ODPADNÍ A SRÁŽKOVÉ FAKTUROVANÉ V MIL. M3 S JEDNOU NEBO VÍCERO ANOMÁLIEMI</c:v>
                </c:pt>
              </c:strCache>
            </c:strRef>
          </c:tx>
          <c:spPr>
            <a:solidFill>
              <a:srgbClr val="FF4A11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-7.9944868002610782E-3"/>
                  <c:y val="-0.22996001226532994"/>
                </c:manualLayout>
              </c:layout>
              <c:tx>
                <c:rich>
                  <a:bodyPr/>
                  <a:lstStyle/>
                  <a:p>
                    <a:fld id="{E921458A-A144-48C3-B6B1-08ED278808D7}" type="VALUE">
                      <a:rPr lang="en-US" sz="900" b="1"/>
                      <a:pPr/>
                      <a:t>[HODNOTA]</a:t>
                    </a:fld>
                    <a:r>
                      <a:rPr lang="en-US" sz="900" b="1"/>
                      <a:t> MIL.M</a:t>
                    </a:r>
                    <a:r>
                      <a:rPr lang="en-US" sz="900" b="1" baseline="30000"/>
                      <a:t>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323-4187-A025-D05BAF2E5367}"/>
                </c:ext>
              </c:extLst>
            </c:dLbl>
            <c:dLbl>
              <c:idx val="1"/>
              <c:layout>
                <c:manualLayout>
                  <c:x val="-2.3426585565693218E-2"/>
                  <c:y val="-0.26659296599631666"/>
                </c:manualLayout>
              </c:layout>
              <c:tx>
                <c:rich>
                  <a:bodyPr/>
                  <a:lstStyle/>
                  <a:p>
                    <a:fld id="{E921458A-A144-48C3-B6B1-08ED278808D7}" type="VALUE">
                      <a:rPr lang="en-US" sz="900" b="1"/>
                      <a:pPr/>
                      <a:t>[HODNOTA]</a:t>
                    </a:fld>
                    <a:r>
                      <a:rPr lang="en-US" sz="900" b="1"/>
                      <a:t> MIL.M</a:t>
                    </a:r>
                    <a:r>
                      <a:rPr lang="en-US" sz="900" b="1" baseline="30000"/>
                      <a:t>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323-4187-A025-D05BAF2E5367}"/>
                </c:ext>
              </c:extLst>
            </c:dLbl>
            <c:dLbl>
              <c:idx val="2"/>
              <c:layout>
                <c:manualLayout>
                  <c:x val="-6.5313710786151724E-2"/>
                  <c:y val="-8.3428197341383015E-2"/>
                </c:manualLayout>
              </c:layout>
              <c:tx>
                <c:rich>
                  <a:bodyPr/>
                  <a:lstStyle/>
                  <a:p>
                    <a:fld id="{E921458A-A144-48C3-B6B1-08ED278808D7}" type="VALUE">
                      <a:rPr lang="en-US" sz="900" b="1"/>
                      <a:pPr/>
                      <a:t>[HODNOTA]</a:t>
                    </a:fld>
                    <a:r>
                      <a:rPr lang="en-US" sz="900" b="1"/>
                      <a:t> MIL.M</a:t>
                    </a:r>
                    <a:r>
                      <a:rPr lang="en-US" sz="900" b="1" baseline="30000"/>
                      <a:t>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323-4187-A025-D05BAF2E5367}"/>
                </c:ext>
              </c:extLst>
            </c:dLbl>
            <c:dLbl>
              <c:idx val="3"/>
              <c:layout>
                <c:manualLayout>
                  <c:x val="-5.8699954172395118E-2"/>
                  <c:y val="-1.9718712591841048E-2"/>
                </c:manualLayout>
              </c:layout>
              <c:tx>
                <c:rich>
                  <a:bodyPr/>
                  <a:lstStyle/>
                  <a:p>
                    <a:fld id="{E921458A-A144-48C3-B6B1-08ED278808D7}" type="VALUE">
                      <a:rPr lang="en-US" sz="900" b="1"/>
                      <a:pPr/>
                      <a:t>[HODNOTA]</a:t>
                    </a:fld>
                    <a:r>
                      <a:rPr lang="en-US" sz="900" b="1"/>
                      <a:t> MIL.M</a:t>
                    </a:r>
                    <a:r>
                      <a:rPr lang="en-US" sz="900" b="1" baseline="30000"/>
                      <a:t>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323-4187-A025-D05BAF2E5367}"/>
                </c:ext>
              </c:extLst>
            </c:dLbl>
            <c:dLbl>
              <c:idx val="4"/>
              <c:layout>
                <c:manualLayout>
                  <c:x val="-4.7677026482800762E-2"/>
                  <c:y val="-8.9799145816337467E-2"/>
                </c:manualLayout>
              </c:layout>
              <c:tx>
                <c:rich>
                  <a:bodyPr/>
                  <a:lstStyle/>
                  <a:p>
                    <a:fld id="{E921458A-A144-48C3-B6B1-08ED278808D7}" type="VALUE">
                      <a:rPr lang="en-US" sz="900" b="1"/>
                      <a:pPr/>
                      <a:t>[HODNOTA]</a:t>
                    </a:fld>
                    <a:r>
                      <a:rPr lang="en-US" sz="900" b="1"/>
                      <a:t> MIL.M</a:t>
                    </a:r>
                    <a:r>
                      <a:rPr lang="en-US" sz="900" b="1" baseline="30000"/>
                      <a:t>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323-4187-A025-D05BAF2E5367}"/>
                </c:ext>
              </c:extLst>
            </c:dLbl>
            <c:dLbl>
              <c:idx val="5"/>
              <c:layout>
                <c:manualLayout>
                  <c:x val="3.8301809496035219E-2"/>
                  <c:y val="4.2398035038962369E-2"/>
                </c:manualLayout>
              </c:layout>
              <c:tx>
                <c:rich>
                  <a:bodyPr/>
                  <a:lstStyle/>
                  <a:p>
                    <a:fld id="{E921458A-A144-48C3-B6B1-08ED278808D7}" type="VALUE">
                      <a:rPr lang="en-US" sz="900" b="1"/>
                      <a:pPr/>
                      <a:t>[HODNOTA]</a:t>
                    </a:fld>
                    <a:r>
                      <a:rPr lang="en-US" sz="900" b="1"/>
                      <a:t> MIL.M</a:t>
                    </a:r>
                    <a:r>
                      <a:rPr lang="en-US" sz="900" b="1" baseline="30000"/>
                      <a:t>3</a:t>
                    </a:r>
                  </a:p>
                </c:rich>
              </c:tx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323-4187-A025-D05BAF2E5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cs-CZ"/>
              </a:p>
            </c:txPr>
            <c:dLblPos val="ctr"/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ANOMÁLIE!$B$199:$H$199</c:f>
              <c:strCache>
                <c:ptCount val="6"/>
                <c:pt idx="0">
                  <c:v>I.SKUPINA (&gt;10 000 MIL.KČ)</c:v>
                </c:pt>
                <c:pt idx="1">
                  <c:v>II.SKUPINA (&gt;1 000 MIL.KČ)</c:v>
                </c:pt>
                <c:pt idx="2">
                  <c:v>III.SKUPINA (&gt;100 MIL.KČ)</c:v>
                </c:pt>
                <c:pt idx="3">
                  <c:v>IV.SKUPINA (&gt;10 MIL.KČ)</c:v>
                </c:pt>
                <c:pt idx="4">
                  <c:v>V.SKUPINA (&gt;1 MIL.KČ)</c:v>
                </c:pt>
                <c:pt idx="5">
                  <c:v>VI.SKUPINA (&lt;1 MIL.KČ)</c:v>
                </c:pt>
              </c:strCache>
              <c:extLst/>
            </c:strRef>
          </c:cat>
          <c:val>
            <c:numRef>
              <c:f>ANOMÁLIE!$B$213:$H$213</c:f>
              <c:numCache>
                <c:formatCode>#,##0.00</c:formatCode>
                <c:ptCount val="6"/>
                <c:pt idx="0">
                  <c:v>116.316</c:v>
                </c:pt>
                <c:pt idx="1">
                  <c:v>141.13200000000001</c:v>
                </c:pt>
                <c:pt idx="2">
                  <c:v>60.271000000000001</c:v>
                </c:pt>
                <c:pt idx="3">
                  <c:v>38.938000000000002</c:v>
                </c:pt>
                <c:pt idx="4">
                  <c:v>2.9809999999999999</c:v>
                </c:pt>
                <c:pt idx="5">
                  <c:v>0.16700000000000001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4323-4187-A025-D05BAF2E5367}"/>
            </c:ext>
          </c:extLst>
        </c:ser>
        <c:ser>
          <c:idx val="15"/>
          <c:order val="14"/>
          <c:tx>
            <c:strRef>
              <c:f>ANOMÁLIE!$A$215</c:f>
              <c:strCache>
                <c:ptCount val="1"/>
                <c:pt idx="0">
                  <c:v>OBJEM VODY ODPADNÍ A SRÁŽKOVÉ FAKTUROVANÉ BEZ ANOMÁLIÍ</c:v>
                </c:pt>
              </c:strCache>
            </c:strRef>
          </c:tx>
          <c:spPr>
            <a:solidFill>
              <a:srgbClr val="FFC000"/>
            </a:solidFill>
            <a:ln w="19050">
              <a:noFill/>
            </a:ln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ANOMÁLIE!$B$199:$H$199</c:f>
              <c:strCache>
                <c:ptCount val="6"/>
                <c:pt idx="0">
                  <c:v>I.SKUPINA (&gt;10 000 MIL.KČ)</c:v>
                </c:pt>
                <c:pt idx="1">
                  <c:v>II.SKUPINA (&gt;1 000 MIL.KČ)</c:v>
                </c:pt>
                <c:pt idx="2">
                  <c:v>III.SKUPINA (&gt;100 MIL.KČ)</c:v>
                </c:pt>
                <c:pt idx="3">
                  <c:v>IV.SKUPINA (&gt;10 MIL.KČ)</c:v>
                </c:pt>
                <c:pt idx="4">
                  <c:v>V.SKUPINA (&gt;1 MIL.KČ)</c:v>
                </c:pt>
                <c:pt idx="5">
                  <c:v>VI.SKUPINA (&lt;1 MIL.KČ)</c:v>
                </c:pt>
              </c:strCache>
              <c:extLst/>
            </c:strRef>
          </c:cat>
          <c:val>
            <c:numRef>
              <c:f>ANOMÁLIE!$B$215:$H$215</c:f>
              <c:numCache>
                <c:formatCode>0.000</c:formatCode>
                <c:ptCount val="6"/>
                <c:pt idx="0">
                  <c:v>88.228000000000009</c:v>
                </c:pt>
                <c:pt idx="1">
                  <c:v>45.72999999999999</c:v>
                </c:pt>
                <c:pt idx="2">
                  <c:v>17.912000000000006</c:v>
                </c:pt>
                <c:pt idx="3">
                  <c:v>3.4009999999999962</c:v>
                </c:pt>
                <c:pt idx="4">
                  <c:v>0.14900000000000002</c:v>
                </c:pt>
                <c:pt idx="5">
                  <c:v>4.9999999999999767E-3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4323-4187-A025-D05BAF2E5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81046928"/>
        <c:axId val="1581047320"/>
        <c:extLst>
          <c:ext xmlns:c15="http://schemas.microsoft.com/office/drawing/2012/chart" uri="{02D57815-91ED-43cb-92C2-25804820EDAC}">
            <c15:filteredBar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ANOMÁLIE!$B$200:$H$200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22.94</c:v>
                      </c:pt>
                      <c:pt idx="2">
                        <c:v>2.19</c:v>
                      </c:pt>
                      <c:pt idx="3">
                        <c:v>1.95</c:v>
                      </c:pt>
                      <c:pt idx="4">
                        <c:v>0.11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6-4323-4187-A025-D05BAF2E5367}"/>
                  </c:ext>
                </c:extLst>
              </c15:ser>
            </c15:filteredBarSeries>
            <c15:filteredBar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ANOMÁLIE!$B$201:$H$201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49.83</c:v>
                      </c:pt>
                      <c:pt idx="2">
                        <c:v>40.11</c:v>
                      </c:pt>
                      <c:pt idx="3">
                        <c:v>34.64</c:v>
                      </c:pt>
                      <c:pt idx="4">
                        <c:v>2.35</c:v>
                      </c:pt>
                      <c:pt idx="5">
                        <c:v>0.06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4323-4187-A025-D05BAF2E5367}"/>
                  </c:ext>
                </c:extLst>
              </c15:ser>
            </c15:filteredBarSeries>
          </c:ext>
        </c:extLst>
      </c:barChart>
      <c:lineChart>
        <c:grouping val="stacked"/>
        <c:varyColors val="0"/>
        <c:ser>
          <c:idx val="14"/>
          <c:order val="15"/>
          <c:tx>
            <c:strRef>
              <c:f>ANOMÁLIE!$A$214</c:f>
              <c:strCache>
                <c:ptCount val="1"/>
                <c:pt idx="0">
                  <c:v>MNOŽSTVÍ VODY FAKTUROVANÉ ODPADNÍ A SRÁŽKOVÉ</c:v>
                </c:pt>
              </c:strCache>
            </c:strRef>
          </c:tx>
          <c:spPr>
            <a:ln w="50800">
              <a:solidFill>
                <a:srgbClr val="008000"/>
              </a:solidFill>
            </a:ln>
          </c:spPr>
          <c:marker>
            <c:symbol val="square"/>
            <c:size val="9"/>
            <c:spPr>
              <a:solidFill>
                <a:srgbClr val="008000"/>
              </a:solidFill>
            </c:spPr>
          </c:marker>
          <c:dLbls>
            <c:dLbl>
              <c:idx val="0"/>
              <c:layout>
                <c:manualLayout>
                  <c:x val="-4.3460175725858287E-2"/>
                  <c:y val="-5.5040718899185624E-2"/>
                </c:manualLayout>
              </c:layout>
              <c:tx>
                <c:rich>
                  <a:bodyPr/>
                  <a:lstStyle/>
                  <a:p>
                    <a:fld id="{EA71D596-3F54-4AAA-B1EE-560C9BD1F853}" type="VALUE">
                      <a:rPr lang="en-US"/>
                      <a:pPr/>
                      <a:t>[HODNOTA]</a:t>
                    </a:fld>
                    <a:r>
                      <a:rPr lang="en-US"/>
                      <a:t> MIL. M</a:t>
                    </a:r>
                    <a:r>
                      <a:rPr lang="en-US" baseline="30000"/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4323-4187-A025-D05BAF2E5367}"/>
                </c:ext>
              </c:extLst>
            </c:dLbl>
            <c:dLbl>
              <c:idx val="1"/>
              <c:layout>
                <c:manualLayout>
                  <c:x val="-4.3460175725858259E-2"/>
                  <c:y val="-5.5040718899185624E-2"/>
                </c:manualLayout>
              </c:layout>
              <c:tx>
                <c:rich>
                  <a:bodyPr/>
                  <a:lstStyle/>
                  <a:p>
                    <a:fld id="{EA71D596-3F54-4AAA-B1EE-560C9BD1F853}" type="VALUE">
                      <a:rPr lang="en-US"/>
                      <a:pPr/>
                      <a:t>[HODNOTA]</a:t>
                    </a:fld>
                    <a:r>
                      <a:rPr lang="en-US"/>
                      <a:t> MIL. M</a:t>
                    </a:r>
                    <a:r>
                      <a:rPr lang="en-US" baseline="30000"/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323-4187-A025-D05BAF2E5367}"/>
                </c:ext>
              </c:extLst>
            </c:dLbl>
            <c:dLbl>
              <c:idx val="2"/>
              <c:layout>
                <c:manualLayout>
                  <c:x val="-4.3460175725858259E-2"/>
                  <c:y val="-5.5040718899185624E-2"/>
                </c:manualLayout>
              </c:layout>
              <c:tx>
                <c:rich>
                  <a:bodyPr/>
                  <a:lstStyle/>
                  <a:p>
                    <a:fld id="{EA71D596-3F54-4AAA-B1EE-560C9BD1F853}" type="VALUE">
                      <a:rPr lang="en-US"/>
                      <a:pPr/>
                      <a:t>[HODNOTA]</a:t>
                    </a:fld>
                    <a:r>
                      <a:rPr lang="en-US"/>
                      <a:t> MIL. M</a:t>
                    </a:r>
                    <a:r>
                      <a:rPr lang="en-US" baseline="30000"/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4323-4187-A025-D05BAF2E5367}"/>
                </c:ext>
              </c:extLst>
            </c:dLbl>
            <c:dLbl>
              <c:idx val="3"/>
              <c:layout>
                <c:manualLayout>
                  <c:x val="-4.3460175725858259E-2"/>
                  <c:y val="-5.5040718899185624E-2"/>
                </c:manualLayout>
              </c:layout>
              <c:tx>
                <c:rich>
                  <a:bodyPr/>
                  <a:lstStyle/>
                  <a:p>
                    <a:fld id="{EA71D596-3F54-4AAA-B1EE-560C9BD1F853}" type="VALUE">
                      <a:rPr lang="en-US"/>
                      <a:pPr/>
                      <a:t>[HODNOTA]</a:t>
                    </a:fld>
                    <a:r>
                      <a:rPr lang="en-US"/>
                      <a:t> MIL. M</a:t>
                    </a:r>
                    <a:r>
                      <a:rPr lang="en-US" baseline="30000"/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323-4187-A025-D05BAF2E5367}"/>
                </c:ext>
              </c:extLst>
            </c:dLbl>
            <c:dLbl>
              <c:idx val="4"/>
              <c:layout>
                <c:manualLayout>
                  <c:x val="-4.3460175725858259E-2"/>
                  <c:y val="-5.5040718899185624E-2"/>
                </c:manualLayout>
              </c:layout>
              <c:tx>
                <c:rich>
                  <a:bodyPr/>
                  <a:lstStyle/>
                  <a:p>
                    <a:fld id="{EA71D596-3F54-4AAA-B1EE-560C9BD1F853}" type="VALUE">
                      <a:rPr lang="en-US"/>
                      <a:pPr/>
                      <a:t>[HODNOTA]</a:t>
                    </a:fld>
                    <a:r>
                      <a:rPr lang="en-US"/>
                      <a:t> MIL. M</a:t>
                    </a:r>
                    <a:r>
                      <a:rPr lang="en-US" baseline="30000"/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4323-4187-A025-D05BAF2E5367}"/>
                </c:ext>
              </c:extLst>
            </c:dLbl>
            <c:dLbl>
              <c:idx val="5"/>
              <c:layout>
                <c:manualLayout>
                  <c:x val="-4.3460175725858259E-2"/>
                  <c:y val="-5.5040718899185624E-2"/>
                </c:manualLayout>
              </c:layout>
              <c:tx>
                <c:rich>
                  <a:bodyPr/>
                  <a:lstStyle/>
                  <a:p>
                    <a:fld id="{EA71D596-3F54-4AAA-B1EE-560C9BD1F853}" type="VALUE">
                      <a:rPr lang="en-US"/>
                      <a:pPr/>
                      <a:t>[HODNOTA]</a:t>
                    </a:fld>
                    <a:r>
                      <a:rPr lang="en-US"/>
                      <a:t> MIL. M</a:t>
                    </a:r>
                    <a:r>
                      <a:rPr lang="en-US" baseline="30000"/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323-4187-A025-D05BAF2E5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cs-CZ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ANOMÁLIE!$B$199:$H$199</c:f>
              <c:strCache>
                <c:ptCount val="6"/>
                <c:pt idx="0">
                  <c:v>I.SKUPINA (&gt;10 000 MIL.KČ)</c:v>
                </c:pt>
                <c:pt idx="1">
                  <c:v>II.SKUPINA (&gt;1 000 MIL.KČ)</c:v>
                </c:pt>
                <c:pt idx="2">
                  <c:v>III.SKUPINA (&gt;100 MIL.KČ)</c:v>
                </c:pt>
                <c:pt idx="3">
                  <c:v>IV.SKUPINA (&gt;10 MIL.KČ)</c:v>
                </c:pt>
                <c:pt idx="4">
                  <c:v>V.SKUPINA (&gt;1 MIL.KČ)</c:v>
                </c:pt>
                <c:pt idx="5">
                  <c:v>VI.SKUPINA (&lt;1 MIL.KČ)</c:v>
                </c:pt>
              </c:strCache>
              <c:extLst/>
            </c:strRef>
          </c:cat>
          <c:val>
            <c:numRef>
              <c:f>ANOMÁLIE!$B$214:$H$214</c:f>
              <c:numCache>
                <c:formatCode>0.000</c:formatCode>
                <c:ptCount val="6"/>
                <c:pt idx="0">
                  <c:v>204.54400000000001</c:v>
                </c:pt>
                <c:pt idx="1">
                  <c:v>186.86199999999999</c:v>
                </c:pt>
                <c:pt idx="2">
                  <c:v>78.183000000000007</c:v>
                </c:pt>
                <c:pt idx="3">
                  <c:v>42.338999999999999</c:v>
                </c:pt>
                <c:pt idx="4">
                  <c:v>3.13</c:v>
                </c:pt>
                <c:pt idx="5">
                  <c:v>0.17199999999999999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E-4323-4187-A025-D05BAF2E5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1046928"/>
        <c:axId val="1581047320"/>
      </c:lineChart>
      <c:lineChart>
        <c:grouping val="standard"/>
        <c:varyColors val="0"/>
        <c:ser>
          <c:idx val="16"/>
          <c:order val="16"/>
          <c:tx>
            <c:strRef>
              <c:f>ANOMÁLIE!$A$216</c:f>
              <c:strCache>
                <c:ptCount val="1"/>
                <c:pt idx="0">
                  <c:v>ČETNOST VÝSKYTŮ</c:v>
                </c:pt>
              </c:strCache>
            </c:strRef>
          </c:tx>
          <c:spPr>
            <a:ln w="19050">
              <a:noFill/>
            </a:ln>
          </c:spPr>
          <c:marker>
            <c:symbol val="triangle"/>
            <c:size val="14"/>
            <c:spPr>
              <a:solidFill>
                <a:schemeClr val="accent2">
                  <a:lumMod val="20000"/>
                  <a:lumOff val="80000"/>
                  <a:alpha val="99000"/>
                </a:schemeClr>
              </a:solidFill>
              <a:ln w="76200">
                <a:solidFill>
                  <a:schemeClr val="accent2">
                    <a:lumMod val="20000"/>
                    <a:lumOff val="8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marker>
          <c:dLbls>
            <c:dLbl>
              <c:idx val="0"/>
              <c:layout>
                <c:manualLayout>
                  <c:x val="-7.5877494479856686E-2"/>
                  <c:y val="-4.7940822918358543E-2"/>
                </c:manualLayout>
              </c:layout>
              <c:tx>
                <c:rich>
                  <a:bodyPr/>
                  <a:lstStyle/>
                  <a:p>
                    <a:fld id="{B3829495-F8EE-4AD7-8405-DF60C4D6C781}" type="VALUE">
                      <a:rPr lang="en-US" b="1"/>
                      <a:pPr/>
                      <a:t>[HODNOTA]</a:t>
                    </a:fld>
                    <a:r>
                      <a:rPr lang="en-US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en-US" b="1"/>
                      <a:t>VÝSKYTY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7394770098182"/>
                      <c:h val="4.66705837130715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323-4187-A025-D05BAF2E5367}"/>
                </c:ext>
              </c:extLst>
            </c:dLbl>
            <c:dLbl>
              <c:idx val="1"/>
              <c:layout>
                <c:manualLayout>
                  <c:x val="-7.5877494479856727E-2"/>
                  <c:y val="-4.7940822918358425E-2"/>
                </c:manualLayout>
              </c:layout>
              <c:tx>
                <c:rich>
                  <a:bodyPr/>
                  <a:lstStyle/>
                  <a:p>
                    <a:fld id="{B3829495-F8EE-4AD7-8405-DF60C4D6C781}" type="VALUE">
                      <a:rPr lang="en-US" b="1"/>
                      <a:pPr/>
                      <a:t>[HODNOTA]</a:t>
                    </a:fld>
                    <a:r>
                      <a:rPr lang="en-US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en-US" b="1"/>
                      <a:t>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7394770098182"/>
                      <c:h val="4.66705837130715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4323-4187-A025-D05BAF2E5367}"/>
                </c:ext>
              </c:extLst>
            </c:dLbl>
            <c:dLbl>
              <c:idx val="2"/>
              <c:layout>
                <c:manualLayout>
                  <c:x val="-7.1468323404018944E-2"/>
                  <c:y val="4.6030667087216155E-2"/>
                </c:manualLayout>
              </c:layout>
              <c:tx>
                <c:rich>
                  <a:bodyPr/>
                  <a:lstStyle/>
                  <a:p>
                    <a:fld id="{B3829495-F8EE-4AD7-8405-DF60C4D6C781}" type="VALUE">
                      <a:rPr lang="en-US" b="1"/>
                      <a:pPr/>
                      <a:t>[HODNOTA]</a:t>
                    </a:fld>
                    <a:r>
                      <a:rPr lang="en-US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en-US" b="1"/>
                      <a:t>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7394770098182"/>
                      <c:h val="4.66705837130715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4323-4187-A025-D05BAF2E5367}"/>
                </c:ext>
              </c:extLst>
            </c:dLbl>
            <c:dLbl>
              <c:idx val="3"/>
              <c:layout>
                <c:manualLayout>
                  <c:x val="-7.1468323404018944E-2"/>
                  <c:y val="4.6030667087216155E-2"/>
                </c:manualLayout>
              </c:layout>
              <c:tx>
                <c:rich>
                  <a:bodyPr/>
                  <a:lstStyle/>
                  <a:p>
                    <a:fld id="{B3829495-F8EE-4AD7-8405-DF60C4D6C781}" type="VALUE">
                      <a:rPr lang="en-US" b="1"/>
                      <a:pPr/>
                      <a:t>[HODNOTA]</a:t>
                    </a:fld>
                    <a:r>
                      <a:rPr lang="en-US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en-US" b="1"/>
                      <a:t>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7394770098182"/>
                      <c:h val="4.66705837130715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4323-4187-A025-D05BAF2E5367}"/>
                </c:ext>
              </c:extLst>
            </c:dLbl>
            <c:dLbl>
              <c:idx val="4"/>
              <c:layout>
                <c:manualLayout>
                  <c:x val="-7.1468323404018944E-2"/>
                  <c:y val="-4.7940822918358425E-2"/>
                </c:manualLayout>
              </c:layout>
              <c:tx>
                <c:rich>
                  <a:bodyPr/>
                  <a:lstStyle/>
                  <a:p>
                    <a:fld id="{B3829495-F8EE-4AD7-8405-DF60C4D6C781}" type="VALUE">
                      <a:rPr lang="en-US" b="1"/>
                      <a:pPr/>
                      <a:t>[HODNOTA]</a:t>
                    </a:fld>
                    <a:r>
                      <a:rPr lang="en-US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en-US" b="1"/>
                      <a:t>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7394770098182"/>
                      <c:h val="4.66705837130715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4323-4187-A025-D05BAF2E5367}"/>
                </c:ext>
              </c:extLst>
            </c:dLbl>
            <c:dLbl>
              <c:idx val="5"/>
              <c:layout>
                <c:manualLayout>
                  <c:x val="-8.469583663153217E-2"/>
                  <c:y val="-4.1569874443404216E-2"/>
                </c:manualLayout>
              </c:layout>
              <c:tx>
                <c:rich>
                  <a:bodyPr/>
                  <a:lstStyle/>
                  <a:p>
                    <a:fld id="{B3829495-F8EE-4AD7-8405-DF60C4D6C781}" type="VALUE">
                      <a:rPr lang="en-US" b="1"/>
                      <a:pPr/>
                      <a:t>[HODNOTA]</a:t>
                    </a:fld>
                    <a:r>
                      <a:rPr lang="en-US"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en-US" b="1"/>
                      <a:t>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7394770098182"/>
                      <c:h val="4.66705837130715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4323-4187-A025-D05BAF2E5367}"/>
                </c:ext>
              </c:extLst>
            </c:dLbl>
            <c:spPr>
              <a:solidFill>
                <a:schemeClr val="accent2">
                  <a:lumMod val="20000"/>
                  <a:lumOff val="80000"/>
                  <a:alpha val="75000"/>
                </a:scheme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ANOMÁLIE!$B$199:$H$199</c:f>
              <c:strCache>
                <c:ptCount val="6"/>
                <c:pt idx="0">
                  <c:v>I.SKUPINA (&gt;10 000 MIL.KČ)</c:v>
                </c:pt>
                <c:pt idx="1">
                  <c:v>II.SKUPINA (&gt;1 000 MIL.KČ)</c:v>
                </c:pt>
                <c:pt idx="2">
                  <c:v>III.SKUPINA (&gt;100 MIL.KČ)</c:v>
                </c:pt>
                <c:pt idx="3">
                  <c:v>IV.SKUPINA (&gt;10 MIL.KČ)</c:v>
                </c:pt>
                <c:pt idx="4">
                  <c:v>V.SKUPINA (&gt;1 MIL.KČ)</c:v>
                </c:pt>
                <c:pt idx="5">
                  <c:v>VI.SKUPINA (&lt;1 MIL.KČ)</c:v>
                </c:pt>
              </c:strCache>
              <c:extLst/>
            </c:strRef>
          </c:cat>
          <c:val>
            <c:numRef>
              <c:f>ANOMÁLIE!$B$216:$H$216</c:f>
              <c:numCache>
                <c:formatCode>#,##0</c:formatCode>
                <c:ptCount val="6"/>
                <c:pt idx="0">
                  <c:v>3</c:v>
                </c:pt>
                <c:pt idx="1">
                  <c:v>65</c:v>
                </c:pt>
                <c:pt idx="2">
                  <c:v>633</c:v>
                </c:pt>
                <c:pt idx="3">
                  <c:v>4762</c:v>
                </c:pt>
                <c:pt idx="4">
                  <c:v>1433</c:v>
                </c:pt>
                <c:pt idx="5">
                  <c:v>65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15-4323-4187-A025-D05BAF2E5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1048104"/>
        <c:axId val="1581047712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marker>
                  <c:symbol val="triangle"/>
                  <c:size val="16"/>
                  <c:spPr>
                    <a:solidFill>
                      <a:srgbClr val="F8CBAD"/>
                    </a:solidFill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ANOMÁLIE!$B$202:$H$202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10.8</c:v>
                      </c:pt>
                      <c:pt idx="2">
                        <c:v>10.64</c:v>
                      </c:pt>
                      <c:pt idx="3">
                        <c:v>8.16</c:v>
                      </c:pt>
                      <c:pt idx="4">
                        <c:v>1.22</c:v>
                      </c:pt>
                      <c:pt idx="5">
                        <c:v>0.08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18-4323-4187-A025-D05BAF2E5367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marker>
                  <c:symbol val="square"/>
                  <c:size val="10"/>
                  <c:spPr>
                    <a:solidFill>
                      <a:srgbClr val="008000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ANOMÁLIE!$B$203:$H$203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0.28000000000000003</c:v>
                      </c:pt>
                      <c:pt idx="3">
                        <c:v>0.03</c:v>
                      </c:pt>
                      <c:pt idx="4">
                        <c:v>0.02</c:v>
                      </c:pt>
                      <c:pt idx="5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4323-4187-A025-D05BAF2E5367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ANOMÁLIE!$B$204:$H$204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0.28999999999999998</c:v>
                      </c:pt>
                      <c:pt idx="3">
                        <c:v>0.88</c:v>
                      </c:pt>
                      <c:pt idx="4">
                        <c:v>0.28999999999999998</c:v>
                      </c:pt>
                      <c:pt idx="5">
                        <c:v>0.01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4323-4187-A025-D05BAF2E5367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ANOMÁLIE!$B$205:$H$205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4.67</c:v>
                      </c:pt>
                      <c:pt idx="3">
                        <c:v>4.9000000000000004</c:v>
                      </c:pt>
                      <c:pt idx="4">
                        <c:v>1.34</c:v>
                      </c:pt>
                      <c:pt idx="5">
                        <c:v>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4323-4187-A025-D05BAF2E5367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ANOMÁLIE!$B$206:$H$206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116.32</c:v>
                      </c:pt>
                      <c:pt idx="1">
                        <c:v>71.27</c:v>
                      </c:pt>
                      <c:pt idx="2">
                        <c:v>13</c:v>
                      </c:pt>
                      <c:pt idx="3">
                        <c:v>2.97</c:v>
                      </c:pt>
                      <c:pt idx="4">
                        <c:v>0.18</c:v>
                      </c:pt>
                      <c:pt idx="5">
                        <c:v>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4323-4187-A025-D05BAF2E5367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ANOMÁLIE!$B$207:$H$207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8.8800000000000008</c:v>
                      </c:pt>
                      <c:pt idx="2">
                        <c:v>16.45</c:v>
                      </c:pt>
                      <c:pt idx="3">
                        <c:v>23.33</c:v>
                      </c:pt>
                      <c:pt idx="4">
                        <c:v>2.04</c:v>
                      </c:pt>
                      <c:pt idx="5">
                        <c:v>0.14000000000000001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4323-4187-A025-D05BAF2E5367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ANOMÁLIE!$B$208:$H$208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5.91</c:v>
                      </c:pt>
                      <c:pt idx="2">
                        <c:v>12.08</c:v>
                      </c:pt>
                      <c:pt idx="3">
                        <c:v>12.74</c:v>
                      </c:pt>
                      <c:pt idx="4">
                        <c:v>0.98</c:v>
                      </c:pt>
                      <c:pt idx="5">
                        <c:v>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4323-4187-A025-D05BAF2E5367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ANOMÁLIE!$B$209:$H$209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2.96</c:v>
                      </c:pt>
                      <c:pt idx="2">
                        <c:v>4.37</c:v>
                      </c:pt>
                      <c:pt idx="3">
                        <c:v>10.59</c:v>
                      </c:pt>
                      <c:pt idx="4">
                        <c:v>1.06</c:v>
                      </c:pt>
                      <c:pt idx="5">
                        <c:v>0.03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4323-4187-A025-D05BAF2E5367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ANOMÁLIE!$B$210:$H$210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25.11</c:v>
                      </c:pt>
                      <c:pt idx="1">
                        <c:v>60.93</c:v>
                      </c:pt>
                      <c:pt idx="2">
                        <c:v>16.78</c:v>
                      </c:pt>
                      <c:pt idx="3">
                        <c:v>5.67</c:v>
                      </c:pt>
                      <c:pt idx="4">
                        <c:v>0.53</c:v>
                      </c:pt>
                      <c:pt idx="5">
                        <c:v>0.01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4323-4187-A025-D05BAF2E5367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ANOMÁLIE!$B$211:$H$211</c15:sqref>
                        </c15:formulaRef>
                      </c:ext>
                    </c:extLst>
                    <c:numCache>
                      <c:formatCode>0.00</c:formatCode>
                      <c:ptCount val="6"/>
                      <c:pt idx="0">
                        <c:v>0</c:v>
                      </c:pt>
                      <c:pt idx="1">
                        <c:v>28.12</c:v>
                      </c:pt>
                      <c:pt idx="2">
                        <c:v>5.91</c:v>
                      </c:pt>
                      <c:pt idx="3">
                        <c:v>2.13</c:v>
                      </c:pt>
                      <c:pt idx="4">
                        <c:v>0.17</c:v>
                      </c:pt>
                      <c:pt idx="5">
                        <c:v>0.01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4323-4187-A025-D05BAF2E5367}"/>
                  </c:ext>
                </c:extLst>
              </c15:ser>
            </c15:filteredLineSeries>
            <c15:filteredLin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ANOMÁLIE!$A$212</c15:sqref>
                        </c15:formulaRef>
                      </c:ext>
                    </c:extLst>
                    <c:strCache>
                      <c:ptCount val="1"/>
                      <c:pt idx="0">
                        <c:v>SOUČET OBJEMŮ VÝSKYTU ANOMÁLII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ANOMÁLIE!$B$199:$H$199</c15:sqref>
                        </c15:formulaRef>
                      </c:ext>
                    </c:extLst>
                    <c:strCache>
                      <c:ptCount val="6"/>
                      <c:pt idx="0">
                        <c:v>I.SKUPINA (&gt;10 000 MIL.KČ)</c:v>
                      </c:pt>
                      <c:pt idx="1">
                        <c:v>II.SKUPINA (&gt;1 000 MIL.KČ)</c:v>
                      </c:pt>
                      <c:pt idx="2">
                        <c:v>III.SKUPINA (&gt;100 MIL.KČ)</c:v>
                      </c:pt>
                      <c:pt idx="3">
                        <c:v>IV.SKUPINA (&gt;10 MIL.KČ)</c:v>
                      </c:pt>
                      <c:pt idx="4">
                        <c:v>V.SKUPINA (&gt;1 MIL.KČ)</c:v>
                      </c:pt>
                      <c:pt idx="5">
                        <c:v>VI.SKUPINA (&lt;1 MIL.KČ)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ANOMÁLIE!$B$212:$H$212</c15:sqref>
                        </c15:formulaRef>
                      </c:ext>
                    </c:extLst>
                    <c:numCache>
                      <c:formatCode>0.000</c:formatCode>
                      <c:ptCount val="6"/>
                      <c:pt idx="0">
                        <c:v>141.43</c:v>
                      </c:pt>
                      <c:pt idx="1">
                        <c:v>261.64</c:v>
                      </c:pt>
                      <c:pt idx="2">
                        <c:v>126.77</c:v>
                      </c:pt>
                      <c:pt idx="3">
                        <c:v>107.99</c:v>
                      </c:pt>
                      <c:pt idx="4">
                        <c:v>10.29</c:v>
                      </c:pt>
                      <c:pt idx="5">
                        <c:v>0.54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4323-4187-A025-D05BAF2E5367}"/>
                  </c:ext>
                </c:extLst>
              </c15:ser>
            </c15:filteredLineSeries>
          </c:ext>
        </c:extLst>
      </c:lineChart>
      <c:catAx>
        <c:axId val="158104692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txPr>
          <a:bodyPr rot="-1620000"/>
          <a:lstStyle/>
          <a:p>
            <a:pPr>
              <a:defRPr/>
            </a:pPr>
            <a:endParaRPr lang="cs-CZ"/>
          </a:p>
        </c:txPr>
        <c:crossAx val="1581047320"/>
        <c:crosses val="autoZero"/>
        <c:auto val="1"/>
        <c:lblAlgn val="ctr"/>
        <c:lblOffset val="100"/>
        <c:noMultiLvlLbl val="0"/>
      </c:catAx>
      <c:valAx>
        <c:axId val="1581047320"/>
        <c:scaling>
          <c:orientation val="minMax"/>
          <c:max val="23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000" cap="small" baseline="0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r>
                  <a:rPr lang="cs-CZ" sz="1000" cap="small" baseline="0">
                    <a:solidFill>
                      <a:schemeClr val="accent2">
                        <a:lumMod val="50000"/>
                      </a:schemeClr>
                    </a:solidFill>
                  </a:rPr>
                  <a:t>množství odpadní a srážkové vody fakturované </a:t>
                </a:r>
                <a:r>
                  <a:rPr lang="en-US" sz="1000" cap="small" baseline="0">
                    <a:solidFill>
                      <a:schemeClr val="accent2">
                        <a:lumMod val="50000"/>
                      </a:schemeClr>
                    </a:solidFill>
                  </a:rPr>
                  <a:t>[mil.m3</a:t>
                </a:r>
                <a:endParaRPr lang="sk-SK" sz="1000" cap="small" baseline="0">
                  <a:solidFill>
                    <a:schemeClr val="accent2">
                      <a:lumMod val="50000"/>
                    </a:schemeClr>
                  </a:solidFill>
                </a:endParaRPr>
              </a:p>
            </c:rich>
          </c:tx>
          <c:layout/>
          <c:overlay val="0"/>
        </c:title>
        <c:numFmt formatCode="#,##0.00" sourceLinked="1"/>
        <c:majorTickMark val="none"/>
        <c:minorTickMark val="none"/>
        <c:tickLblPos val="nextTo"/>
        <c:spPr>
          <a:ln w="6350">
            <a:noFill/>
          </a:ln>
        </c:spPr>
        <c:crossAx val="1581046928"/>
        <c:crosses val="autoZero"/>
        <c:crossBetween val="between"/>
      </c:valAx>
      <c:valAx>
        <c:axId val="1581047712"/>
        <c:scaling>
          <c:orientation val="minMax"/>
          <c:max val="5000"/>
        </c:scaling>
        <c:delete val="0"/>
        <c:axPos val="r"/>
        <c:numFmt formatCode="#,##0" sourceLinked="1"/>
        <c:majorTickMark val="out"/>
        <c:minorTickMark val="none"/>
        <c:tickLblPos val="nextTo"/>
        <c:crossAx val="1581048104"/>
        <c:crosses val="max"/>
        <c:crossBetween val="between"/>
      </c:valAx>
      <c:catAx>
        <c:axId val="1581048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8104771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3.0439878568155485E-2"/>
          <c:y val="0.91902133126366792"/>
          <c:w val="0.92960892292992836"/>
          <c:h val="7.303309916925927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/>
      </a:pPr>
      <a:endParaRPr lang="cs-CZ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200" b="1" i="0" cap="small" baseline="0">
                <a:solidFill>
                  <a:srgbClr val="002060"/>
                </a:solidFill>
                <a:latin typeface="Calibri Light" pitchFamily="34" charset="0"/>
              </a:defRPr>
            </a:pPr>
            <a:r>
              <a:rPr lang="sk-SK" sz="1200" b="1" i="0" cap="small" baseline="0">
                <a:solidFill>
                  <a:srgbClr val="002060"/>
                </a:solidFill>
                <a:latin typeface="Calibri Light" pitchFamily="34" charset="0"/>
              </a:rPr>
              <a:t>Benchmarking provozovatelských subjektů 2018 - pitná voda</a:t>
            </a:r>
          </a:p>
          <a:p>
            <a:pPr algn="l">
              <a:defRPr sz="1200" b="1" i="0" cap="small" baseline="0">
                <a:solidFill>
                  <a:srgbClr val="002060"/>
                </a:solidFill>
                <a:latin typeface="Calibri Light" pitchFamily="34" charset="0"/>
              </a:defRPr>
            </a:pPr>
            <a:r>
              <a:rPr lang="sk-SK" sz="1200" b="1" i="0" cap="small" baseline="0">
                <a:solidFill>
                  <a:srgbClr val="002060"/>
                </a:solidFill>
                <a:latin typeface="Calibri Light" pitchFamily="34" charset="0"/>
              </a:rPr>
              <a:t>Výskyt alespoň jedné anomálie podle množství fakturované vody</a:t>
            </a:r>
          </a:p>
        </c:rich>
      </c:tx>
      <c:layout>
        <c:manualLayout>
          <c:xMode val="edge"/>
          <c:yMode val="edge"/>
          <c:x val="0"/>
          <c:y val="3.5871078816112618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059201616191419"/>
          <c:y val="0.1454210024390038"/>
          <c:w val="0.47664923032161965"/>
          <c:h val="0.78532175439484853"/>
        </c:manualLayout>
      </c:layout>
      <c:pieChart>
        <c:varyColors val="1"/>
        <c:ser>
          <c:idx val="1"/>
          <c:order val="0"/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1"/>
          <c:dPt>
            <c:idx val="0"/>
            <c:bubble3D val="0"/>
            <c:spPr>
              <a:solidFill>
                <a:srgbClr val="CE9CE4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06B6-41F5-A8BD-762F03798063}"/>
              </c:ext>
            </c:extLst>
          </c:dPt>
          <c:dPt>
            <c:idx val="1"/>
            <c:bubble3D val="0"/>
            <c:spPr>
              <a:solidFill>
                <a:srgbClr val="5B9BD5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06B6-41F5-A8BD-762F03798063}"/>
              </c:ext>
            </c:extLst>
          </c:dPt>
          <c:dLbls>
            <c:dLbl>
              <c:idx val="0"/>
              <c:layout>
                <c:manualLayout>
                  <c:x val="-0.24278297180065617"/>
                  <c:y val="2.6808449586888376E-2"/>
                </c:manualLayout>
              </c:layout>
              <c:tx>
                <c:rich>
                  <a:bodyPr/>
                  <a:lstStyle/>
                  <a:p>
                    <a:fld id="{00C564FB-5D24-4463-A844-3CDE1B58F5B3}" type="VALUE">
                      <a:rPr lang="en-US" sz="1050" b="1"/>
                      <a:pPr/>
                      <a:t>[HODNOTA]</a:t>
                    </a:fld>
                    <a:r>
                      <a:rPr lang="en-US" sz="1050" b="1"/>
                      <a:t> MIL.</a:t>
                    </a:r>
                    <a:r>
                      <a:rPr lang="en-US" sz="1050" b="1" baseline="0"/>
                      <a:t> M</a:t>
                    </a:r>
                    <a:r>
                      <a:rPr lang="en-US" sz="1050" b="1" baseline="30000"/>
                      <a:t>3</a:t>
                    </a:r>
                    <a:r>
                      <a:rPr lang="en-US" sz="1050" b="1" baseline="0"/>
                      <a:t>;</a:t>
                    </a:r>
                    <a:br>
                      <a:rPr lang="en-US" sz="1050" b="1" baseline="0"/>
                    </a:br>
                    <a:r>
                      <a:rPr lang="en-US" sz="1050" b="1" baseline="0"/>
                      <a:t> </a:t>
                    </a:r>
                    <a:fld id="{9178CCDE-8BDA-47F5-BEC8-F5ECF691E37B}" type="PERCENTAGE">
                      <a:rPr lang="en-US" sz="1050" b="1" baseline="0"/>
                      <a:pPr/>
                      <a:t>[PROCENTO]</a:t>
                    </a:fld>
                    <a:endParaRPr lang="en-US" sz="1050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B6-41F5-A8BD-762F03798063}"/>
                </c:ext>
              </c:extLst>
            </c:dLbl>
            <c:dLbl>
              <c:idx val="1"/>
              <c:layout>
                <c:manualLayout>
                  <c:x val="0.21577917514409059"/>
                  <c:y val="1.320640386189668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00" b="1">
                        <a:solidFill>
                          <a:srgbClr val="002060"/>
                        </a:solidFill>
                        <a:latin typeface="+mj-lt"/>
                      </a:defRPr>
                    </a:pPr>
                    <a:fld id="{00C564FB-5D24-4463-A844-3CDE1B58F5B3}" type="VALUE">
                      <a:rPr lang="en-US" sz="1000" b="1"/>
                      <a:pPr>
                        <a:defRPr sz="1000" b="1">
                          <a:solidFill>
                            <a:srgbClr val="002060"/>
                          </a:solidFill>
                          <a:latin typeface="+mj-lt"/>
                        </a:defRPr>
                      </a:pPr>
                      <a:t>[HODNOTA]</a:t>
                    </a:fld>
                    <a:r>
                      <a:rPr lang="en-US" sz="1000" b="1"/>
                      <a:t> MIL.</a:t>
                    </a:r>
                    <a:r>
                      <a:rPr lang="en-US" sz="1000" b="1" baseline="0"/>
                      <a:t> M</a:t>
                    </a:r>
                    <a:r>
                      <a:rPr lang="en-US" sz="1000" b="1" baseline="30000"/>
                      <a:t>3</a:t>
                    </a:r>
                    <a:r>
                      <a:rPr lang="en-US" sz="1000" b="1" baseline="0"/>
                      <a:t>;</a:t>
                    </a:r>
                    <a:br>
                      <a:rPr lang="en-US" sz="1000" b="1" baseline="0"/>
                    </a:br>
                    <a:r>
                      <a:rPr lang="en-US" sz="1000" b="1" baseline="0"/>
                      <a:t> </a:t>
                    </a:r>
                    <a:fld id="{9178CCDE-8BDA-47F5-BEC8-F5ECF691E37B}" type="PERCENTAGE">
                      <a:rPr lang="en-US" sz="1000" b="1" baseline="0"/>
                      <a:pPr>
                        <a:defRPr sz="1000" b="1">
                          <a:solidFill>
                            <a:srgbClr val="002060"/>
                          </a:solidFill>
                          <a:latin typeface="+mj-lt"/>
                        </a:defRPr>
                      </a:pPr>
                      <a:t>[PROCENTO]</a:t>
                    </a:fld>
                    <a:endParaRPr lang="en-US" sz="1000" b="1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6B6-41F5-A8BD-762F03798063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solidFill>
                      <a:srgbClr val="002060"/>
                    </a:solidFill>
                    <a:latin typeface="+mj-lt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(grafy_anomalie!$M$27,grafy_anomalie!$O$27)</c:f>
              <c:strCache>
                <c:ptCount val="2"/>
                <c:pt idx="0">
                  <c:v>objem vody fakturované v mil. m3 s nejméně jednou anomálii</c:v>
                </c:pt>
                <c:pt idx="1">
                  <c:v>objem vody bez výskytu anomálii</c:v>
                </c:pt>
              </c:strCache>
            </c:strRef>
          </c:cat>
          <c:val>
            <c:numRef>
              <c:f>(grafy_anomalie!$M$36,grafy_anomalie!$O$36)</c:f>
              <c:numCache>
                <c:formatCode>0.00</c:formatCode>
                <c:ptCount val="2"/>
                <c:pt idx="0">
                  <c:v>274.21710099999996</c:v>
                </c:pt>
                <c:pt idx="1">
                  <c:v>202.67285299999998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B6-41F5-A8BD-762F03798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"/>
          <c:y val="0.91460448472879807"/>
          <c:w val="0.97938694202277921"/>
          <c:h val="8.2377493789422149E-2"/>
        </c:manualLayout>
      </c:layout>
      <c:overlay val="0"/>
      <c:txPr>
        <a:bodyPr/>
        <a:lstStyle/>
        <a:p>
          <a:pPr rtl="0">
            <a:defRPr sz="900" b="1" cap="small" baseline="0">
              <a:solidFill>
                <a:srgbClr val="002060"/>
              </a:solidFill>
              <a:latin typeface="+mj-lt"/>
            </a:defRPr>
          </a:pPr>
          <a:endParaRPr lang="cs-CZ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 algn="l">
              <a:defRPr sz="1200">
                <a:solidFill>
                  <a:srgbClr val="002060"/>
                </a:solidFill>
                <a:latin typeface="+mj-lt"/>
              </a:defRPr>
            </a:pP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VÝSKYT ANOMÁLIÍ </a:t>
            </a:r>
            <a:r>
              <a:rPr lang="cs-CZ" sz="12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rPr>
              <a:t>VE </a:t>
            </a: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VZTAHU </a:t>
            </a:r>
            <a:r>
              <a:rPr lang="cs-CZ" sz="1200" b="1" i="0" u="none" strike="noStrike" kern="1200" baseline="0">
                <a:solidFill>
                  <a:srgbClr val="002060"/>
                </a:solidFill>
                <a:latin typeface="+mj-lt"/>
                <a:ea typeface="+mn-ea"/>
                <a:cs typeface="+mn-cs"/>
              </a:rPr>
              <a:t>K </a:t>
            </a: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MNOŽSTVÍ VODY PITNÉ FAKTUROVANÉ </a:t>
            </a:r>
            <a:r>
              <a:rPr lang="en-US" sz="1200" b="1" i="0" baseline="0">
                <a:solidFill>
                  <a:srgbClr val="002060"/>
                </a:solidFill>
                <a:latin typeface="+mj-lt"/>
              </a:rPr>
              <a:t>[MIL.M</a:t>
            </a:r>
            <a:r>
              <a:rPr lang="en-US" sz="1200" b="1" i="0" baseline="30000">
                <a:solidFill>
                  <a:srgbClr val="002060"/>
                </a:solidFill>
                <a:latin typeface="+mj-lt"/>
              </a:rPr>
              <a:t>3</a:t>
            </a:r>
            <a:r>
              <a:rPr lang="en-US" sz="1200" b="1" i="0" baseline="0">
                <a:solidFill>
                  <a:srgbClr val="002060"/>
                </a:solidFill>
                <a:latin typeface="+mj-lt"/>
              </a:rPr>
              <a:t>]</a:t>
            </a: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 </a:t>
            </a:r>
            <a:endParaRPr lang="sk-SK" sz="1200">
              <a:solidFill>
                <a:srgbClr val="002060"/>
              </a:solidFill>
              <a:latin typeface="+mj-lt"/>
            </a:endParaRPr>
          </a:p>
          <a:p>
            <a:pPr algn="l">
              <a:defRPr sz="1200">
                <a:solidFill>
                  <a:srgbClr val="002060"/>
                </a:solidFill>
                <a:latin typeface="+mj-lt"/>
              </a:defRPr>
            </a:pPr>
            <a:r>
              <a:rPr lang="cs-CZ" sz="1200" b="1" i="0" baseline="0">
                <a:solidFill>
                  <a:srgbClr val="002060"/>
                </a:solidFill>
                <a:latin typeface="+mj-lt"/>
              </a:rPr>
              <a:t>BENCHMARKINGU PROVOZOVATELSKÝCH SUBJEKTŮ 2018 - VODOVODY</a:t>
            </a:r>
            <a:endParaRPr lang="sk-SK" sz="1200">
              <a:solidFill>
                <a:srgbClr val="002060"/>
              </a:solidFill>
              <a:latin typeface="+mj-lt"/>
            </a:endParaRPr>
          </a:p>
        </c:rich>
      </c:tx>
      <c:layout>
        <c:manualLayout>
          <c:xMode val="edge"/>
          <c:yMode val="edge"/>
          <c:x val="1.4344998339594587E-3"/>
          <c:y val="7.0280980043589127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535252617480535"/>
          <c:y val="0.13810462876846788"/>
          <c:w val="0.47565370071057905"/>
          <c:h val="0.7636357669791966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grafy_anomalie!$C$69</c:f>
              <c:strCache>
                <c:ptCount val="1"/>
                <c:pt idx="0">
                  <c:v>NALEZENÁ ANOMÁLIE</c:v>
                </c:pt>
              </c:strCache>
            </c:strRef>
          </c:tx>
          <c:spPr>
            <a:solidFill>
              <a:srgbClr val="CE9CE4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0.19723588603996811"/>
                  <c:y val="0"/>
                </c:manualLayout>
              </c:layout>
              <c:tx>
                <c:rich>
                  <a:bodyPr/>
                  <a:lstStyle/>
                  <a:p>
                    <a:fld id="{44FDC420-8211-4978-B33C-FDE792832101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414430023359062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3555-4CAF-B6B8-460544F1600F}"/>
                </c:ext>
              </c:extLst>
            </c:dLbl>
            <c:dLbl>
              <c:idx val="1"/>
              <c:layout>
                <c:manualLayout>
                  <c:x val="0.19920052258220783"/>
                  <c:y val="0"/>
                </c:manualLayout>
              </c:layout>
              <c:tx>
                <c:rich>
                  <a:bodyPr/>
                  <a:lstStyle/>
                  <a:p>
                    <a:fld id="{680C53CC-BFC2-4219-BFD6-C84B57B33957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07357331807003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3555-4CAF-B6B8-460544F1600F}"/>
                </c:ext>
              </c:extLst>
            </c:dLbl>
            <c:dLbl>
              <c:idx val="2"/>
              <c:layout>
                <c:manualLayout>
                  <c:x val="0.19821820431108797"/>
                  <c:y val="0"/>
                </c:manualLayout>
              </c:layout>
              <c:tx>
                <c:rich>
                  <a:bodyPr/>
                  <a:lstStyle/>
                  <a:p>
                    <a:fld id="{B4B71738-C898-4599-A1BF-B49A9F408235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10893677583034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3555-4CAF-B6B8-460544F1600F}"/>
                </c:ext>
              </c:extLst>
            </c:dLbl>
            <c:dLbl>
              <c:idx val="3"/>
              <c:layout>
                <c:manualLayout>
                  <c:x val="0.19920052258220783"/>
                  <c:y val="0"/>
                </c:manualLayout>
              </c:layout>
              <c:tx>
                <c:rich>
                  <a:bodyPr/>
                  <a:lstStyle/>
                  <a:p>
                    <a:fld id="{0390A48E-F20B-44B6-9FD1-FC19959EC76A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07357331807003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3555-4CAF-B6B8-460544F1600F}"/>
                </c:ext>
              </c:extLst>
            </c:dLbl>
            <c:dLbl>
              <c:idx val="4"/>
              <c:layout>
                <c:manualLayout>
                  <c:x val="0.19527124949772845"/>
                  <c:y val="0"/>
                </c:manualLayout>
              </c:layout>
              <c:tx>
                <c:rich>
                  <a:bodyPr/>
                  <a:lstStyle/>
                  <a:p>
                    <a:fld id="{B2917157-8144-4306-B8E3-8D044EDE8305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21502714911127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3555-4CAF-B6B8-460544F1600F}"/>
                </c:ext>
              </c:extLst>
            </c:dLbl>
            <c:dLbl>
              <c:idx val="5"/>
              <c:layout>
                <c:manualLayout>
                  <c:x val="0.20705900097458349"/>
                  <c:y val="0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rgbClr val="002060"/>
                        </a:solidFill>
                      </a:defRPr>
                    </a:pPr>
                    <a:fld id="{E9C61CC0-5112-441A-867B-E7303FFF3331}" type="CELLRANGE">
                      <a:rPr lang="en-US"/>
                      <a:pPr>
                        <a:defRPr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79066565598751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3555-4CAF-B6B8-460544F1600F}"/>
                </c:ext>
              </c:extLst>
            </c:dLbl>
            <c:dLbl>
              <c:idx val="6"/>
              <c:layout>
                <c:manualLayout>
                  <c:x val="0.20705900097458349"/>
                  <c:y val="-5.3437649340665424E-17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rgbClr val="002060"/>
                        </a:solidFill>
                      </a:defRPr>
                    </a:pPr>
                    <a:fld id="{65969C49-161C-4770-88C2-8E797FFD9385}" type="CELLRANGE">
                      <a:rPr lang="en-US"/>
                      <a:pPr>
                        <a:defRPr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79066565598751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3555-4CAF-B6B8-460544F1600F}"/>
                </c:ext>
              </c:extLst>
            </c:dLbl>
            <c:dLbl>
              <c:idx val="7"/>
              <c:layout>
                <c:manualLayout>
                  <c:x val="0.19920052258220783"/>
                  <c:y val="0"/>
                </c:manualLayout>
              </c:layout>
              <c:tx>
                <c:rich>
                  <a:bodyPr/>
                  <a:lstStyle/>
                  <a:p>
                    <a:fld id="{334AEA91-A43E-4497-A930-050A28C7D31E}" type="CELLRANGE">
                      <a:rPr lang="en-US"/>
                      <a:pPr/>
                      <a:t>[OBLAST BUNĚK]</a:t>
                    </a:fld>
                    <a:endParaRPr lang="cs-CZ"/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07357331807003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3555-4CAF-B6B8-460544F1600F}"/>
                </c:ext>
              </c:extLst>
            </c:dLbl>
            <c:dLbl>
              <c:idx val="8"/>
              <c:layout>
                <c:manualLayout>
                  <c:x val="0.20705900097458349"/>
                  <c:y val="0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rgbClr val="002060"/>
                        </a:solidFill>
                      </a:defRPr>
                    </a:pPr>
                    <a:fld id="{236D66B1-09C0-464F-9836-944D9EF76898}" type="CELLRANGE">
                      <a:rPr lang="en-US"/>
                      <a:pPr>
                        <a:defRPr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79066565598751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3555-4CAF-B6B8-460544F1600F}"/>
                </c:ext>
              </c:extLst>
            </c:dLbl>
            <c:dLbl>
              <c:idx val="9"/>
              <c:layout>
                <c:manualLayout>
                  <c:x val="0.20705900097458341"/>
                  <c:y val="0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rgbClr val="002060"/>
                        </a:solidFill>
                      </a:defRPr>
                    </a:pPr>
                    <a:fld id="{4FF156B1-0AAD-4D73-9A73-9660489969AB}" type="CELLRANGE">
                      <a:rPr lang="en-US"/>
                      <a:pPr>
                        <a:defRPr b="1">
                          <a:solidFill>
                            <a:srgbClr val="00206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79066565598751"/>
                      <c:h val="3.994753333819135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3555-4CAF-B6B8-460544F160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002060"/>
                    </a:solidFill>
                  </a:defRPr>
                </a:pPr>
                <a:endParaRPr lang="cs-CZ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grafy_anomalie!$A$70:$A$79</c:f>
              <c:strCache>
                <c:ptCount val="10"/>
                <c:pt idx="0">
                  <c:v>VYSOKÁ CENA PRO VODNÉ (VÍCE NEŽ 1,5 NÁSOBEK PRŮMĚRU Z POROVNÁNÍ OPTIMÁLNÍCH POROVNÁNÍ SKUPINY)</c:v>
                </c:pt>
                <c:pt idx="1">
                  <c:v>NEVYHOVUJÍCÍ MIKROBIOLOGICKÉ A BIOLOGICKÉ VZORKY (VÍCE NEŽ 20% NEVYHOVUJÍCÍCH VZORKŮ)</c:v>
                </c:pt>
                <c:pt idx="2">
                  <c:v>VYSOKÉ ZTRÁTY VODY V M3 NA 1 KM PŘEPOČTENÉ DÉLKY VODOVODNÍHO ŘÁDU NA DEN (PŘEVYŠUJE 1,5 NÁSOBEK MEDIÁNU SKUPINY Z POROVNÁNÍ VYKAZUJÍCÍCH ZTRÁTY VODY NAD 4 M3/KM/DEN)  </c:v>
                </c:pt>
                <c:pt idx="3">
                  <c:v>NEVYHOVUJÍCÍ FYZIKÁLNĚ CHEMICKÉ VZORKY (VÍC NEŽ 20% NEVYHOVUJÍCÍCH VZORKŮ)</c:v>
                </c:pt>
                <c:pt idx="4">
                  <c:v>VODA NEFAKTUROVANÁ V M3 NA 1 KM PŘEPOČTENÉ DÉLKY VODOVODNÍHO ŘADU NA DEN (PŘEVYŠUJE 1,5 NÁSOBEK MEDIÁNU SKUPINY Z POROVNÁNÍ VYKAZUJÍCÍCH ZTRÁTY VODY NAD 4 M3/KM/DEN)</c:v>
                </c:pt>
                <c:pt idx="5">
                  <c:v>ZÁPORNÝ KALKULAČNÍ ZISK</c:v>
                </c:pt>
                <c:pt idx="6">
                  <c:v>OKF&lt;1</c:v>
                </c:pt>
                <c:pt idx="7">
                  <c:v>VYSOKÝ PODÍL ZTRÁT VODY NA VODĚ URČENÉ K REALIZACI V % (PŘEVYŠUJE 1,5 NÁSOBEK MEDIÁNU SKUPINY Z POROVNÁNÍ VYKAZUJÍCÍCH ZTRÁTY VODY NAD 4 M3/KM/DEN)</c:v>
                </c:pt>
                <c:pt idx="8">
                  <c:v>VYSOKÁ RENTABILITA NÁKLADŮ (ROC) (VÍCE NEŽ 1,5 NÁSOBEK MEDIÁNU Z POROVNÁNÍ S KLADNÝM ZISKEM)</c:v>
                </c:pt>
                <c:pt idx="9">
                  <c:v>VYSOKÝ PODÍL KALKULAČNÍHO ZISKU K ROZDĚLENÍ NA ÚVN (VÍCE NEŽ 1,5 NÁSOBEK MEDIÁNU Z POROVNÁNÍ S KLADNÝM ZISKEM)</c:v>
                </c:pt>
              </c:strCache>
            </c:strRef>
          </c:cat>
          <c:val>
            <c:numRef>
              <c:f>grafy_anomalie!$C$70:$C$79</c:f>
              <c:numCache>
                <c:formatCode>0.00</c:formatCode>
                <c:ptCount val="10"/>
                <c:pt idx="0">
                  <c:v>2.67</c:v>
                </c:pt>
                <c:pt idx="1">
                  <c:v>4.95</c:v>
                </c:pt>
                <c:pt idx="2">
                  <c:v>23.99</c:v>
                </c:pt>
                <c:pt idx="3">
                  <c:v>24.85</c:v>
                </c:pt>
                <c:pt idx="4">
                  <c:v>30.18</c:v>
                </c:pt>
                <c:pt idx="5">
                  <c:v>31.71</c:v>
                </c:pt>
                <c:pt idx="6">
                  <c:v>63.32</c:v>
                </c:pt>
                <c:pt idx="7">
                  <c:v>79.27</c:v>
                </c:pt>
                <c:pt idx="8">
                  <c:v>110.39</c:v>
                </c:pt>
                <c:pt idx="9">
                  <c:v>130.57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grafy_anomalie!$K$70:$K$79</c15:f>
                <c15:dlblRangeCache>
                  <c:ptCount val="10"/>
                  <c:pt idx="0">
                    <c:v>2,67 MIL.M3;0,56 %; 131 VÝSKYTŮ</c:v>
                  </c:pt>
                  <c:pt idx="1">
                    <c:v>4,95 MIL.M3;1,04 %; 199 VÝSKYTŮ</c:v>
                  </c:pt>
                  <c:pt idx="2">
                    <c:v>23,99 MIL.M3;5,03 %; 97 VÝSKYTŮ</c:v>
                  </c:pt>
                  <c:pt idx="3">
                    <c:v>24,85 MIL.M3;5,21 %; 281 VÝSKYTŮ</c:v>
                  </c:pt>
                  <c:pt idx="4">
                    <c:v>30,18 MIL.M3;6,33 %; 120 VÝSKYTŮ</c:v>
                  </c:pt>
                  <c:pt idx="5">
                    <c:v>31,71 MIL.M3;6,65 %; 1106 VÝSKYTŮ</c:v>
                  </c:pt>
                  <c:pt idx="6">
                    <c:v>63,32 MIL.M3;13,28 %; 1633 VÝSKYTŮ</c:v>
                  </c:pt>
                  <c:pt idx="7">
                    <c:v>79,27 MIL.M3;16,62 %; 75 VÝSKYTŮ</c:v>
                  </c:pt>
                  <c:pt idx="8">
                    <c:v>110,39 MIL.M3;23,15 %; 372 VÝSKYTŮ</c:v>
                  </c:pt>
                  <c:pt idx="9">
                    <c:v>130,57 MIL.M3;27,38 %; 266 VÝSKYTŮ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3555-4CAF-B6B8-460544F1600F}"/>
            </c:ext>
          </c:extLst>
        </c:ser>
        <c:ser>
          <c:idx val="3"/>
          <c:order val="3"/>
          <c:tx>
            <c:strRef>
              <c:f>grafy_anomalie!$F$69</c:f>
              <c:strCache>
                <c:ptCount val="1"/>
                <c:pt idx="0">
                  <c:v>BEZ VÝSKYTU DANÉ ANOMÁLIE</c:v>
                </c:pt>
              </c:strCache>
            </c:strRef>
          </c:tx>
          <c:spPr>
            <a:solidFill>
              <a:srgbClr val="5B9BD5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cat>
            <c:strRef>
              <c:f>grafy_anomalie!$A$70:$A$79</c:f>
              <c:strCache>
                <c:ptCount val="10"/>
                <c:pt idx="0">
                  <c:v>VYSOKÁ CENA PRO VODNÉ (VÍCE NEŽ 1,5 NÁSOBEK PRŮMĚRU Z POROVNÁNÍ OPTIMÁLNÍCH POROVNÁNÍ SKUPINY)</c:v>
                </c:pt>
                <c:pt idx="1">
                  <c:v>NEVYHOVUJÍCÍ MIKROBIOLOGICKÉ A BIOLOGICKÉ VZORKY (VÍCE NEŽ 20% NEVYHOVUJÍCÍCH VZORKŮ)</c:v>
                </c:pt>
                <c:pt idx="2">
                  <c:v>VYSOKÉ ZTRÁTY VODY V M3 NA 1 KM PŘEPOČTENÉ DÉLKY VODOVODNÍHO ŘÁDU NA DEN (PŘEVYŠUJE 1,5 NÁSOBEK MEDIÁNU SKUPINY Z POROVNÁNÍ VYKAZUJÍCÍCH ZTRÁTY VODY NAD 4 M3/KM/DEN)  </c:v>
                </c:pt>
                <c:pt idx="3">
                  <c:v>NEVYHOVUJÍCÍ FYZIKÁLNĚ CHEMICKÉ VZORKY (VÍC NEŽ 20% NEVYHOVUJÍCÍCH VZORKŮ)</c:v>
                </c:pt>
                <c:pt idx="4">
                  <c:v>VODA NEFAKTUROVANÁ V M3 NA 1 KM PŘEPOČTENÉ DÉLKY VODOVODNÍHO ŘADU NA DEN (PŘEVYŠUJE 1,5 NÁSOBEK MEDIÁNU SKUPINY Z POROVNÁNÍ VYKAZUJÍCÍCH ZTRÁTY VODY NAD 4 M3/KM/DEN)</c:v>
                </c:pt>
                <c:pt idx="5">
                  <c:v>ZÁPORNÝ KALKULAČNÍ ZISK</c:v>
                </c:pt>
                <c:pt idx="6">
                  <c:v>OKF&lt;1</c:v>
                </c:pt>
                <c:pt idx="7">
                  <c:v>VYSOKÝ PODÍL ZTRÁT VODY NA VODĚ URČENÉ K REALIZACI V % (PŘEVYŠUJE 1,5 NÁSOBEK MEDIÁNU SKUPINY Z POROVNÁNÍ VYKAZUJÍCÍCH ZTRÁTY VODY NAD 4 M3/KM/DEN)</c:v>
                </c:pt>
                <c:pt idx="8">
                  <c:v>VYSOKÁ RENTABILITA NÁKLADŮ (ROC) (VÍCE NEŽ 1,5 NÁSOBEK MEDIÁNU Z POROVNÁNÍ S KLADNÝM ZISKEM)</c:v>
                </c:pt>
                <c:pt idx="9">
                  <c:v>VYSOKÝ PODÍL KALKULAČNÍHO ZISKU K ROZDĚLENÍ NA ÚVN (VÍCE NEŽ 1,5 NÁSOBEK MEDIÁNU Z POROVNÁNÍ S KLADNÝM ZISKEM)</c:v>
                </c:pt>
              </c:strCache>
            </c:strRef>
          </c:cat>
          <c:val>
            <c:numRef>
              <c:f>grafy_anomalie!$F$70:$F$79</c:f>
              <c:numCache>
                <c:formatCode>0.00</c:formatCode>
                <c:ptCount val="10"/>
                <c:pt idx="0">
                  <c:v>474.21995399999992</c:v>
                </c:pt>
                <c:pt idx="1">
                  <c:v>471.93995399999994</c:v>
                </c:pt>
                <c:pt idx="2">
                  <c:v>452.89995399999992</c:v>
                </c:pt>
                <c:pt idx="3">
                  <c:v>452.03995399999991</c:v>
                </c:pt>
                <c:pt idx="4">
                  <c:v>446.70995399999993</c:v>
                </c:pt>
                <c:pt idx="5">
                  <c:v>445.17995399999995</c:v>
                </c:pt>
                <c:pt idx="6">
                  <c:v>413.56995399999994</c:v>
                </c:pt>
                <c:pt idx="7">
                  <c:v>397.61995399999995</c:v>
                </c:pt>
                <c:pt idx="8">
                  <c:v>366.49995399999995</c:v>
                </c:pt>
                <c:pt idx="9">
                  <c:v>346.31995399999994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555-4CAF-B6B8-460544F1600F}"/>
            </c:ext>
          </c:extLst>
        </c:ser>
        <c:ser>
          <c:idx val="4"/>
          <c:order val="4"/>
          <c:tx>
            <c:strRef>
              <c:f>grafy_anomalie!$G$69</c:f>
              <c:strCache>
                <c:ptCount val="1"/>
                <c:pt idx="0">
                  <c:v>NEANALYZOVANÁ DATA</c:v>
                </c:pt>
              </c:strCache>
            </c:strRef>
          </c:tx>
          <c:spPr>
            <a:solidFill>
              <a:srgbClr val="969696"/>
            </a:solidFill>
          </c:spPr>
          <c:invertIfNegative val="0"/>
          <c:cat>
            <c:strRef>
              <c:f>grafy_anomalie!$A$70:$A$79</c:f>
              <c:strCache>
                <c:ptCount val="10"/>
                <c:pt idx="0">
                  <c:v>VYSOKÁ CENA PRO VODNÉ (VÍCE NEŽ 1,5 NÁSOBEK PRŮMĚRU Z POROVNÁNÍ OPTIMÁLNÍCH POROVNÁNÍ SKUPINY)</c:v>
                </c:pt>
                <c:pt idx="1">
                  <c:v>NEVYHOVUJÍCÍ MIKROBIOLOGICKÉ A BIOLOGICKÉ VZORKY (VÍCE NEŽ 20% NEVYHOVUJÍCÍCH VZORKŮ)</c:v>
                </c:pt>
                <c:pt idx="2">
                  <c:v>VYSOKÉ ZTRÁTY VODY V M3 NA 1 KM PŘEPOČTENÉ DÉLKY VODOVODNÍHO ŘÁDU NA DEN (PŘEVYŠUJE 1,5 NÁSOBEK MEDIÁNU SKUPINY Z POROVNÁNÍ VYKAZUJÍCÍCH ZTRÁTY VODY NAD 4 M3/KM/DEN)  </c:v>
                </c:pt>
                <c:pt idx="3">
                  <c:v>NEVYHOVUJÍCÍ FYZIKÁLNĚ CHEMICKÉ VZORKY (VÍC NEŽ 20% NEVYHOVUJÍCÍCH VZORKŮ)</c:v>
                </c:pt>
                <c:pt idx="4">
                  <c:v>VODA NEFAKTUROVANÁ V M3 NA 1 KM PŘEPOČTENÉ DÉLKY VODOVODNÍHO ŘADU NA DEN (PŘEVYŠUJE 1,5 NÁSOBEK MEDIÁNU SKUPINY Z POROVNÁNÍ VYKAZUJÍCÍCH ZTRÁTY VODY NAD 4 M3/KM/DEN)</c:v>
                </c:pt>
                <c:pt idx="5">
                  <c:v>ZÁPORNÝ KALKULAČNÍ ZISK</c:v>
                </c:pt>
                <c:pt idx="6">
                  <c:v>OKF&lt;1</c:v>
                </c:pt>
                <c:pt idx="7">
                  <c:v>VYSOKÝ PODÍL ZTRÁT VODY NA VODĚ URČENÉ K REALIZACI V % (PŘEVYŠUJE 1,5 NÁSOBEK MEDIÁNU SKUPINY Z POROVNÁNÍ VYKAZUJÍCÍCH ZTRÁTY VODY NAD 4 M3/KM/DEN)</c:v>
                </c:pt>
                <c:pt idx="8">
                  <c:v>VYSOKÁ RENTABILITA NÁKLADŮ (ROC) (VÍCE NEŽ 1,5 NÁSOBEK MEDIÁNU Z POROVNÁNÍ S KLADNÝM ZISKEM)</c:v>
                </c:pt>
                <c:pt idx="9">
                  <c:v>VYSOKÝ PODÍL KALKULAČNÍHO ZISKU K ROZDĚLENÍ NA ÚVN (VÍCE NEŽ 1,5 NÁSOBEK MEDIÁNU Z POROVNÁNÍ S KLADNÝM ZISKEM)</c:v>
                </c:pt>
              </c:strCache>
            </c:strRef>
          </c:cat>
          <c:val>
            <c:numRef>
              <c:f>grafy_anomalie!$G$70:$G$79</c:f>
              <c:numCache>
                <c:formatCode>0.00</c:formatCode>
                <c:ptCount val="10"/>
                <c:pt idx="0">
                  <c:v>22.021046000000069</c:v>
                </c:pt>
                <c:pt idx="1">
                  <c:v>22.021046000000069</c:v>
                </c:pt>
                <c:pt idx="2">
                  <c:v>22.021046000000069</c:v>
                </c:pt>
                <c:pt idx="3">
                  <c:v>22.021046000000069</c:v>
                </c:pt>
                <c:pt idx="4">
                  <c:v>22.021046000000069</c:v>
                </c:pt>
                <c:pt idx="5">
                  <c:v>22.021046000000069</c:v>
                </c:pt>
                <c:pt idx="6">
                  <c:v>22.021046000000069</c:v>
                </c:pt>
                <c:pt idx="7">
                  <c:v>22.021046000000069</c:v>
                </c:pt>
                <c:pt idx="8">
                  <c:v>22.021046000000069</c:v>
                </c:pt>
                <c:pt idx="9">
                  <c:v>22.021046000000069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C-3555-4CAF-B6B8-460544F160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107245368"/>
        <c:axId val="10724732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grafy_anomalie!$D$69</c15:sqref>
                        </c15:formulaRef>
                      </c:ext>
                    </c:extLst>
                    <c:strCache>
                      <c:ptCount val="1"/>
                      <c:pt idx="0">
                        <c:v>ANALYZOVANÉ</c:v>
                      </c:pt>
                    </c:strCache>
                  </c:strRef>
                </c:tx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grafy_anomalie!$A$70:$A$79</c15:sqref>
                        </c15:formulaRef>
                      </c:ext>
                    </c:extLst>
                    <c:strCache>
                      <c:ptCount val="10"/>
                      <c:pt idx="0">
                        <c:v>VYSOKÁ CENA PRO VODNÉ (VÍCE NEŽ 1,5 NÁSOBEK PRŮMĚRU Z POROVNÁNÍ OPTIMÁLNÍCH POROVNÁNÍ SKUPINY)</c:v>
                      </c:pt>
                      <c:pt idx="1">
                        <c:v>NEVYHOVUJÍCÍ MIKROBIOLOGICKÉ A BIOLOGICKÉ VZORKY (VÍCE NEŽ 20% NEVYHOVUJÍCÍCH VZORKŮ)</c:v>
                      </c:pt>
                      <c:pt idx="2">
                        <c:v>VYSOKÉ ZTRÁTY VODY V M3 NA 1 KM PŘEPOČTENÉ DÉLKY VODOVODNÍHO ŘÁDU NA DEN (PŘEVYŠUJE 1,5 NÁSOBEK MEDIÁNU SKUPINY Z POROVNÁNÍ VYKAZUJÍCÍCH ZTRÁTY VODY NAD 4 M3/KM/DEN)  </c:v>
                      </c:pt>
                      <c:pt idx="3">
                        <c:v>NEVYHOVUJÍCÍ FYZIKÁLNĚ CHEMICKÉ VZORKY (VÍC NEŽ 20% NEVYHOVUJÍCÍCH VZORKŮ)</c:v>
                      </c:pt>
                      <c:pt idx="4">
                        <c:v>VODA NEFAKTUROVANÁ V M3 NA 1 KM PŘEPOČTENÉ DÉLKY VODOVODNÍHO ŘADU NA DEN (PŘEVYŠUJE 1,5 NÁSOBEK MEDIÁNU SKUPINY Z POROVNÁNÍ VYKAZUJÍCÍCH ZTRÁTY VODY NAD 4 M3/KM/DEN)</c:v>
                      </c:pt>
                      <c:pt idx="5">
                        <c:v>ZÁPORNÝ KALKULAČNÍ ZISK</c:v>
                      </c:pt>
                      <c:pt idx="6">
                        <c:v>OKF&lt;1</c:v>
                      </c:pt>
                      <c:pt idx="7">
                        <c:v>VYSOKÝ PODÍL ZTRÁT VODY NA VODĚ URČENÉ K REALIZACI V % (PŘEVYŠUJE 1,5 NÁSOBEK MEDIÁNU SKUPINY Z POROVNÁNÍ VYKAZUJÍCÍCH ZTRÁTY VODY NAD 4 M3/KM/DEN)</c:v>
                      </c:pt>
                      <c:pt idx="8">
                        <c:v>VYSOKÁ RENTABILITA NÁKLADŮ (ROC) (VÍCE NEŽ 1,5 NÁSOBEK MEDIÁNU Z POROVNÁNÍ S KLADNÝM ZISKEM)</c:v>
                      </c:pt>
                      <c:pt idx="9">
                        <c:v>VYSOKÝ PODÍL KALKULAČNÍHO ZISKU K ROZDĚLENÍ NA ÚVN (VÍCE NEŽ 1,5 NÁSOBEK MEDIÁNU Z POROVNÁNÍ S KLADNÝM ZISKEM)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grafy_anomalie!$D$70:$D$79</c15:sqref>
                        </c15:formulaRef>
                      </c:ext>
                    </c:extLst>
                    <c:numCache>
                      <c:formatCode>0.00</c:formatCode>
                      <c:ptCount val="10"/>
                      <c:pt idx="0">
                        <c:v>476.88995399999993</c:v>
                      </c:pt>
                      <c:pt idx="1">
                        <c:v>476.88995399999993</c:v>
                      </c:pt>
                      <c:pt idx="2">
                        <c:v>476.88995399999993</c:v>
                      </c:pt>
                      <c:pt idx="3">
                        <c:v>476.88995399999993</c:v>
                      </c:pt>
                      <c:pt idx="4">
                        <c:v>476.88995399999993</c:v>
                      </c:pt>
                      <c:pt idx="5">
                        <c:v>476.88995399999993</c:v>
                      </c:pt>
                      <c:pt idx="6">
                        <c:v>476.88995399999993</c:v>
                      </c:pt>
                      <c:pt idx="7">
                        <c:v>476.88995399999993</c:v>
                      </c:pt>
                      <c:pt idx="8">
                        <c:v>476.88995399999993</c:v>
                      </c:pt>
                      <c:pt idx="9">
                        <c:v>476.88995399999993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3555-4CAF-B6B8-460544F1600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grafy_anomalie!$E$69</c15:sqref>
                        </c15:formulaRef>
                      </c:ext>
                    </c:extLst>
                    <c:strCache>
                      <c:ptCount val="1"/>
                      <c:pt idx="0">
                        <c:v>CELKEM TRH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grafy_anomalie!$A$70:$A$79</c15:sqref>
                        </c15:formulaRef>
                      </c:ext>
                    </c:extLst>
                    <c:strCache>
                      <c:ptCount val="10"/>
                      <c:pt idx="0">
                        <c:v>VYSOKÁ CENA PRO VODNÉ (VÍCE NEŽ 1,5 NÁSOBEK PRŮMĚRU Z POROVNÁNÍ OPTIMÁLNÍCH POROVNÁNÍ SKUPINY)</c:v>
                      </c:pt>
                      <c:pt idx="1">
                        <c:v>NEVYHOVUJÍCÍ MIKROBIOLOGICKÉ A BIOLOGICKÉ VZORKY (VÍCE NEŽ 20% NEVYHOVUJÍCÍCH VZORKŮ)</c:v>
                      </c:pt>
                      <c:pt idx="2">
                        <c:v>VYSOKÉ ZTRÁTY VODY V M3 NA 1 KM PŘEPOČTENÉ DÉLKY VODOVODNÍHO ŘÁDU NA DEN (PŘEVYŠUJE 1,5 NÁSOBEK MEDIÁNU SKUPINY Z POROVNÁNÍ VYKAZUJÍCÍCH ZTRÁTY VODY NAD 4 M3/KM/DEN)  </c:v>
                      </c:pt>
                      <c:pt idx="3">
                        <c:v>NEVYHOVUJÍCÍ FYZIKÁLNĚ CHEMICKÉ VZORKY (VÍC NEŽ 20% NEVYHOVUJÍCÍCH VZORKŮ)</c:v>
                      </c:pt>
                      <c:pt idx="4">
                        <c:v>VODA NEFAKTUROVANÁ V M3 NA 1 KM PŘEPOČTENÉ DÉLKY VODOVODNÍHO ŘADU NA DEN (PŘEVYŠUJE 1,5 NÁSOBEK MEDIÁNU SKUPINY Z POROVNÁNÍ VYKAZUJÍCÍCH ZTRÁTY VODY NAD 4 M3/KM/DEN)</c:v>
                      </c:pt>
                      <c:pt idx="5">
                        <c:v>ZÁPORNÝ KALKULAČNÍ ZISK</c:v>
                      </c:pt>
                      <c:pt idx="6">
                        <c:v>OKF&lt;1</c:v>
                      </c:pt>
                      <c:pt idx="7">
                        <c:v>VYSOKÝ PODÍL ZTRÁT VODY NA VODĚ URČENÉ K REALIZACI V % (PŘEVYŠUJE 1,5 NÁSOBEK MEDIÁNU SKUPINY Z POROVNÁNÍ VYKAZUJÍCÍCH ZTRÁTY VODY NAD 4 M3/KM/DEN)</c:v>
                      </c:pt>
                      <c:pt idx="8">
                        <c:v>VYSOKÁ RENTABILITA NÁKLADŮ (ROC) (VÍCE NEŽ 1,5 NÁSOBEK MEDIÁNU Z POROVNÁNÍ S KLADNÝM ZISKEM)</c:v>
                      </c:pt>
                      <c:pt idx="9">
                        <c:v>VYSOKÝ PODÍL KALKULAČNÍHO ZISKU K ROZDĚLENÍ NA ÚVN (VÍCE NEŽ 1,5 NÁSOBEK MEDIÁNU Z POROVNÁNÍ S KLADNÝM ZISKEM)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grafy_anomalie!$E$70:$E$79</c15:sqref>
                        </c15:formulaRef>
                      </c:ext>
                    </c:extLst>
                    <c:numCache>
                      <c:formatCode>0.00</c:formatCode>
                      <c:ptCount val="10"/>
                      <c:pt idx="0">
                        <c:v>498.911</c:v>
                      </c:pt>
                      <c:pt idx="1">
                        <c:v>498.911</c:v>
                      </c:pt>
                      <c:pt idx="2">
                        <c:v>498.911</c:v>
                      </c:pt>
                      <c:pt idx="3">
                        <c:v>498.911</c:v>
                      </c:pt>
                      <c:pt idx="4">
                        <c:v>498.911</c:v>
                      </c:pt>
                      <c:pt idx="5">
                        <c:v>498.911</c:v>
                      </c:pt>
                      <c:pt idx="6">
                        <c:v>498.911</c:v>
                      </c:pt>
                      <c:pt idx="7">
                        <c:v>498.911</c:v>
                      </c:pt>
                      <c:pt idx="8">
                        <c:v>498.911</c:v>
                      </c:pt>
                      <c:pt idx="9">
                        <c:v>498.911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3555-4CAF-B6B8-460544F1600F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grafy_anomalie!$H$69</c15:sqref>
                        </c15:formulaRef>
                      </c:ext>
                    </c:extLst>
                    <c:strCache>
                      <c:ptCount val="1"/>
                      <c:pt idx="0">
                        <c:v>ČETNOST VÝSKYTŮ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grafy_anomalie!$A$70:$A$79</c15:sqref>
                        </c15:formulaRef>
                      </c:ext>
                    </c:extLst>
                    <c:strCache>
                      <c:ptCount val="10"/>
                      <c:pt idx="0">
                        <c:v>VYSOKÁ CENA PRO VODNÉ (VÍCE NEŽ 1,5 NÁSOBEK PRŮMĚRU Z POROVNÁNÍ OPTIMÁLNÍCH POROVNÁNÍ SKUPINY)</c:v>
                      </c:pt>
                      <c:pt idx="1">
                        <c:v>NEVYHOVUJÍCÍ MIKROBIOLOGICKÉ A BIOLOGICKÉ VZORKY (VÍCE NEŽ 20% NEVYHOVUJÍCÍCH VZORKŮ)</c:v>
                      </c:pt>
                      <c:pt idx="2">
                        <c:v>VYSOKÉ ZTRÁTY VODY V M3 NA 1 KM PŘEPOČTENÉ DÉLKY VODOVODNÍHO ŘÁDU NA DEN (PŘEVYŠUJE 1,5 NÁSOBEK MEDIÁNU SKUPINY Z POROVNÁNÍ VYKAZUJÍCÍCH ZTRÁTY VODY NAD 4 M3/KM/DEN)  </c:v>
                      </c:pt>
                      <c:pt idx="3">
                        <c:v>NEVYHOVUJÍCÍ FYZIKÁLNĚ CHEMICKÉ VZORKY (VÍC NEŽ 20% NEVYHOVUJÍCÍCH VZORKŮ)</c:v>
                      </c:pt>
                      <c:pt idx="4">
                        <c:v>VODA NEFAKTUROVANÁ V M3 NA 1 KM PŘEPOČTENÉ DÉLKY VODOVODNÍHO ŘADU NA DEN (PŘEVYŠUJE 1,5 NÁSOBEK MEDIÁNU SKUPINY Z POROVNÁNÍ VYKAZUJÍCÍCH ZTRÁTY VODY NAD 4 M3/KM/DEN)</c:v>
                      </c:pt>
                      <c:pt idx="5">
                        <c:v>ZÁPORNÝ KALKULAČNÍ ZISK</c:v>
                      </c:pt>
                      <c:pt idx="6">
                        <c:v>OKF&lt;1</c:v>
                      </c:pt>
                      <c:pt idx="7">
                        <c:v>VYSOKÝ PODÍL ZTRÁT VODY NA VODĚ URČENÉ K REALIZACI V % (PŘEVYŠUJE 1,5 NÁSOBEK MEDIÁNU SKUPINY Z POROVNÁNÍ VYKAZUJÍCÍCH ZTRÁTY VODY NAD 4 M3/KM/DEN)</c:v>
                      </c:pt>
                      <c:pt idx="8">
                        <c:v>VYSOKÁ RENTABILITA NÁKLADŮ (ROC) (VÍCE NEŽ 1,5 NÁSOBEK MEDIÁNU Z POROVNÁNÍ S KLADNÝM ZISKEM)</c:v>
                      </c:pt>
                      <c:pt idx="9">
                        <c:v>VYSOKÝ PODÍL KALKULAČNÍHO ZISKU K ROZDĚLENÍ NA ÚVN (VÍCE NEŽ 1,5 NÁSOBEK MEDIÁNU Z POROVNÁNÍ S KLADNÝM ZISKEM)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grafy_anomalie!$H$70:$H$79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131</c:v>
                      </c:pt>
                      <c:pt idx="1">
                        <c:v>199</c:v>
                      </c:pt>
                      <c:pt idx="2">
                        <c:v>97</c:v>
                      </c:pt>
                      <c:pt idx="3">
                        <c:v>281</c:v>
                      </c:pt>
                      <c:pt idx="4">
                        <c:v>120</c:v>
                      </c:pt>
                      <c:pt idx="5">
                        <c:v>1106</c:v>
                      </c:pt>
                      <c:pt idx="6">
                        <c:v>1633</c:v>
                      </c:pt>
                      <c:pt idx="7">
                        <c:v>75</c:v>
                      </c:pt>
                      <c:pt idx="8">
                        <c:v>372</c:v>
                      </c:pt>
                      <c:pt idx="9">
                        <c:v>266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3555-4CAF-B6B8-460544F1600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grafy_anomalie!$I$69</c15:sqref>
                        </c15:formulaRef>
                      </c:ext>
                    </c:extLst>
                    <c:strCache>
                      <c:ptCount val="1"/>
                      <c:pt idx="0">
                        <c:v>% PODÍL Z ANALYZOVANÉHO TRHU (476,89 MIL. M3)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grafy_anomalie!$A$70:$A$79</c15:sqref>
                        </c15:formulaRef>
                      </c:ext>
                    </c:extLst>
                    <c:strCache>
                      <c:ptCount val="10"/>
                      <c:pt idx="0">
                        <c:v>VYSOKÁ CENA PRO VODNÉ (VÍCE NEŽ 1,5 NÁSOBEK PRŮMĚRU Z POROVNÁNÍ OPTIMÁLNÍCH POROVNÁNÍ SKUPINY)</c:v>
                      </c:pt>
                      <c:pt idx="1">
                        <c:v>NEVYHOVUJÍCÍ MIKROBIOLOGICKÉ A BIOLOGICKÉ VZORKY (VÍCE NEŽ 20% NEVYHOVUJÍCÍCH VZORKŮ)</c:v>
                      </c:pt>
                      <c:pt idx="2">
                        <c:v>VYSOKÉ ZTRÁTY VODY V M3 NA 1 KM PŘEPOČTENÉ DÉLKY VODOVODNÍHO ŘÁDU NA DEN (PŘEVYŠUJE 1,5 NÁSOBEK MEDIÁNU SKUPINY Z POROVNÁNÍ VYKAZUJÍCÍCH ZTRÁTY VODY NAD 4 M3/KM/DEN)  </c:v>
                      </c:pt>
                      <c:pt idx="3">
                        <c:v>NEVYHOVUJÍCÍ FYZIKÁLNĚ CHEMICKÉ VZORKY (VÍC NEŽ 20% NEVYHOVUJÍCÍCH VZORKŮ)</c:v>
                      </c:pt>
                      <c:pt idx="4">
                        <c:v>VODA NEFAKTUROVANÁ V M3 NA 1 KM PŘEPOČTENÉ DÉLKY VODOVODNÍHO ŘADU NA DEN (PŘEVYŠUJE 1,5 NÁSOBEK MEDIÁNU SKUPINY Z POROVNÁNÍ VYKAZUJÍCÍCH ZTRÁTY VODY NAD 4 M3/KM/DEN)</c:v>
                      </c:pt>
                      <c:pt idx="5">
                        <c:v>ZÁPORNÝ KALKULAČNÍ ZISK</c:v>
                      </c:pt>
                      <c:pt idx="6">
                        <c:v>OKF&lt;1</c:v>
                      </c:pt>
                      <c:pt idx="7">
                        <c:v>VYSOKÝ PODÍL ZTRÁT VODY NA VODĚ URČENÉ K REALIZACI V % (PŘEVYŠUJE 1,5 NÁSOBEK MEDIÁNU SKUPINY Z POROVNÁNÍ VYKAZUJÍCÍCH ZTRÁTY VODY NAD 4 M3/KM/DEN)</c:v>
                      </c:pt>
                      <c:pt idx="8">
                        <c:v>VYSOKÁ RENTABILITA NÁKLADŮ (ROC) (VÍCE NEŽ 1,5 NÁSOBEK MEDIÁNU Z POROVNÁNÍ S KLADNÝM ZISKEM)</c:v>
                      </c:pt>
                      <c:pt idx="9">
                        <c:v>VYSOKÝ PODÍL KALKULAČNÍHO ZISKU K ROZDĚLENÍ NA ÚVN (VÍCE NEŽ 1,5 NÁSOBEK MEDIÁNU Z POROVNÁNÍ S KLADNÝM ZISKEM)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grafy_anomalie!$I$70:$I$79</c15:sqref>
                        </c15:formulaRef>
                      </c:ext>
                    </c:extLst>
                    <c:numCache>
                      <c:formatCode>0.00%</c:formatCode>
                      <c:ptCount val="10"/>
                      <c:pt idx="0">
                        <c:v>5.5891363985411191E-3</c:v>
                      </c:pt>
                      <c:pt idx="1">
                        <c:v>1.0380409481219644E-2</c:v>
                      </c:pt>
                      <c:pt idx="2">
                        <c:v>5.0297199173124127E-2</c:v>
                      </c:pt>
                      <c:pt idx="3">
                        <c:v>5.2104874073317139E-2</c:v>
                      </c:pt>
                      <c:pt idx="4">
                        <c:v>6.3280792029433278E-2</c:v>
                      </c:pt>
                      <c:pt idx="5">
                        <c:v>6.64995870305123E-2</c:v>
                      </c:pt>
                      <c:pt idx="6">
                        <c:v>0.13276923422043818</c:v>
                      </c:pt>
                      <c:pt idx="7">
                        <c:v>0.16622120540622673</c:v>
                      </c:pt>
                      <c:pt idx="8">
                        <c:v>0.2314827667768401</c:v>
                      </c:pt>
                      <c:pt idx="9">
                        <c:v>0.27379381743067704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3555-4CAF-B6B8-460544F1600F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grafy_anomalie!$J$69</c15:sqref>
                        </c15:formulaRef>
                      </c:ext>
                    </c:extLst>
                    <c:strCache>
                      <c:ptCount val="1"/>
                      <c:pt idx="0">
                        <c:v>PROCENTA PRO POPISEK</c:v>
                      </c:pt>
                    </c:strCache>
                  </c:strRef>
                </c:tx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grafy_anomalie!$A$70:$A$79</c15:sqref>
                        </c15:formulaRef>
                      </c:ext>
                    </c:extLst>
                    <c:strCache>
                      <c:ptCount val="10"/>
                      <c:pt idx="0">
                        <c:v>VYSOKÁ CENA PRO VODNÉ (VÍCE NEŽ 1,5 NÁSOBEK PRŮMĚRU Z POROVNÁNÍ OPTIMÁLNÍCH POROVNÁNÍ SKUPINY)</c:v>
                      </c:pt>
                      <c:pt idx="1">
                        <c:v>NEVYHOVUJÍCÍ MIKROBIOLOGICKÉ A BIOLOGICKÉ VZORKY (VÍCE NEŽ 20% NEVYHOVUJÍCÍCH VZORKŮ)</c:v>
                      </c:pt>
                      <c:pt idx="2">
                        <c:v>VYSOKÉ ZTRÁTY VODY V M3 NA 1 KM PŘEPOČTENÉ DÉLKY VODOVODNÍHO ŘÁDU NA DEN (PŘEVYŠUJE 1,5 NÁSOBEK MEDIÁNU SKUPINY Z POROVNÁNÍ VYKAZUJÍCÍCH ZTRÁTY VODY NAD 4 M3/KM/DEN)  </c:v>
                      </c:pt>
                      <c:pt idx="3">
                        <c:v>NEVYHOVUJÍCÍ FYZIKÁLNĚ CHEMICKÉ VZORKY (VÍC NEŽ 20% NEVYHOVUJÍCÍCH VZORKŮ)</c:v>
                      </c:pt>
                      <c:pt idx="4">
                        <c:v>VODA NEFAKTUROVANÁ V M3 NA 1 KM PŘEPOČTENÉ DÉLKY VODOVODNÍHO ŘADU NA DEN (PŘEVYŠUJE 1,5 NÁSOBEK MEDIÁNU SKUPINY Z POROVNÁNÍ VYKAZUJÍCÍCH ZTRÁTY VODY NAD 4 M3/KM/DEN)</c:v>
                      </c:pt>
                      <c:pt idx="5">
                        <c:v>ZÁPORNÝ KALKULAČNÍ ZISK</c:v>
                      </c:pt>
                      <c:pt idx="6">
                        <c:v>OKF&lt;1</c:v>
                      </c:pt>
                      <c:pt idx="7">
                        <c:v>VYSOKÝ PODÍL ZTRÁT VODY NA VODĚ URČENÉ K REALIZACI V % (PŘEVYŠUJE 1,5 NÁSOBEK MEDIÁNU SKUPINY Z POROVNÁNÍ VYKAZUJÍCÍCH ZTRÁTY VODY NAD 4 M3/KM/DEN)</c:v>
                      </c:pt>
                      <c:pt idx="8">
                        <c:v>VYSOKÁ RENTABILITA NÁKLADŮ (ROC) (VÍCE NEŽ 1,5 NÁSOBEK MEDIÁNU Z POROVNÁNÍ S KLADNÝM ZISKEM)</c:v>
                      </c:pt>
                      <c:pt idx="9">
                        <c:v>VYSOKÝ PODÍL KALKULAČNÍHO ZISKU K ROZDĚLENÍ NA ÚVN (VÍCE NEŽ 1,5 NÁSOBEK MEDIÁNU Z POROVNÁNÍ S KLADNÝM ZISKEM)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grafy_anomalie!$J$70:$J$79</c15:sqref>
                        </c15:formulaRef>
                      </c:ext>
                    </c:extLst>
                    <c:numCache>
                      <c:formatCode>0.00</c:formatCode>
                      <c:ptCount val="10"/>
                      <c:pt idx="0">
                        <c:v>0.56000000000000005</c:v>
                      </c:pt>
                      <c:pt idx="1">
                        <c:v>1.04</c:v>
                      </c:pt>
                      <c:pt idx="2">
                        <c:v>5.03</c:v>
                      </c:pt>
                      <c:pt idx="3">
                        <c:v>5.21</c:v>
                      </c:pt>
                      <c:pt idx="4">
                        <c:v>6.33</c:v>
                      </c:pt>
                      <c:pt idx="5">
                        <c:v>6.65</c:v>
                      </c:pt>
                      <c:pt idx="6">
                        <c:v>13.28</c:v>
                      </c:pt>
                      <c:pt idx="7">
                        <c:v>16.62</c:v>
                      </c:pt>
                      <c:pt idx="8">
                        <c:v>23.15</c:v>
                      </c:pt>
                      <c:pt idx="9">
                        <c:v>27.38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3555-4CAF-B6B8-460544F1600F}"/>
                  </c:ext>
                </c:extLst>
              </c15:ser>
            </c15:filteredBarSeries>
          </c:ext>
        </c:extLst>
      </c:barChart>
      <c:catAx>
        <c:axId val="107245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50" b="1" cap="small" baseline="0">
                <a:solidFill>
                  <a:srgbClr val="002060"/>
                </a:solidFill>
                <a:latin typeface="+mj-lt"/>
              </a:defRPr>
            </a:pPr>
            <a:endParaRPr lang="cs-CZ"/>
          </a:p>
        </c:txPr>
        <c:crossAx val="107247328"/>
        <c:crosses val="autoZero"/>
        <c:auto val="0"/>
        <c:lblAlgn val="ctr"/>
        <c:lblOffset val="100"/>
        <c:noMultiLvlLbl val="0"/>
      </c:catAx>
      <c:valAx>
        <c:axId val="107247328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crossAx val="1072453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>
                <a:solidFill>
                  <a:srgbClr val="002060"/>
                </a:solidFill>
              </a:defRPr>
            </a:pP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Benchmarking PROVOZOVATELSKÝCH subjektů 2018 - </a:t>
            </a:r>
            <a:r>
              <a:rPr lang="cs-CZ" sz="1200" b="1" i="0" cap="all" baseline="0">
                <a:solidFill>
                  <a:srgbClr val="002060"/>
                </a:solidFill>
                <a:effectLst/>
                <a:latin typeface="+mj-lt"/>
              </a:rPr>
              <a:t>VODOVOD</a:t>
            </a:r>
            <a:endParaRPr lang="cs-CZ" sz="1050">
              <a:solidFill>
                <a:srgbClr val="002060"/>
              </a:solidFill>
              <a:effectLst/>
              <a:latin typeface="+mj-lt"/>
            </a:endParaRPr>
          </a:p>
          <a:p>
            <a:pPr algn="l">
              <a:defRPr>
                <a:solidFill>
                  <a:srgbClr val="002060"/>
                </a:solidFill>
              </a:defRPr>
            </a:pP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Výskyt alespoň jedné anomálie </a:t>
            </a:r>
            <a:r>
              <a:rPr lang="sk-SK" sz="1200" b="1" i="0" u="none" strike="noStrike" kern="1200" cap="all" baseline="0">
                <a:solidFill>
                  <a:srgbClr val="002060"/>
                </a:solidFill>
                <a:effectLst/>
                <a:latin typeface="+mj-lt"/>
                <a:ea typeface="+mn-ea"/>
                <a:cs typeface="+mn-cs"/>
              </a:rPr>
              <a:t>ve </a:t>
            </a: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skupině</a:t>
            </a:r>
            <a:endParaRPr lang="cs-CZ" sz="1050">
              <a:solidFill>
                <a:srgbClr val="002060"/>
              </a:solidFill>
              <a:effectLst/>
              <a:latin typeface="+mj-lt"/>
            </a:endParaRPr>
          </a:p>
          <a:p>
            <a:pPr algn="l">
              <a:defRPr>
                <a:solidFill>
                  <a:srgbClr val="002060"/>
                </a:solidFill>
              </a:defRPr>
            </a:pP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- převeden</a:t>
            </a:r>
            <a:r>
              <a:rPr lang="sk-SK" sz="1200" b="1" i="0" u="none" strike="noStrike" kern="1200" cap="all" baseline="0">
                <a:solidFill>
                  <a:srgbClr val="002060"/>
                </a:solidFill>
                <a:effectLst/>
                <a:latin typeface="+mj-lt"/>
                <a:ea typeface="+mn-ea"/>
                <a:cs typeface="+mn-cs"/>
              </a:rPr>
              <a:t>o na </a:t>
            </a: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objem PITNÉ vody fakturované (mil. m</a:t>
            </a:r>
            <a:r>
              <a:rPr lang="sk-SK" sz="1200" b="1" i="0" cap="all" baseline="30000">
                <a:solidFill>
                  <a:srgbClr val="002060"/>
                </a:solidFill>
                <a:effectLst/>
                <a:latin typeface="+mj-lt"/>
              </a:rPr>
              <a:t>3</a:t>
            </a:r>
            <a:r>
              <a:rPr lang="sk-SK" sz="1200" b="1" i="0" cap="all" baseline="0">
                <a:solidFill>
                  <a:srgbClr val="002060"/>
                </a:solidFill>
                <a:effectLst/>
                <a:latin typeface="+mj-lt"/>
              </a:rPr>
              <a:t>) a četnost anomáliÍ</a:t>
            </a:r>
            <a:endParaRPr lang="cs-CZ" sz="1050">
              <a:solidFill>
                <a:srgbClr val="002060"/>
              </a:solidFill>
              <a:effectLst/>
              <a:latin typeface="+mj-lt"/>
            </a:endParaRPr>
          </a:p>
        </c:rich>
      </c:tx>
      <c:layout>
        <c:manualLayout>
          <c:xMode val="edge"/>
          <c:yMode val="edge"/>
          <c:x val="3.0626618222113285E-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09036223557265"/>
          <c:y val="0.12167900370269615"/>
          <c:w val="0.79331926056814639"/>
          <c:h val="0.6482185550859594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grafy_anomalie!$B$85</c:f>
              <c:strCache>
                <c:ptCount val="1"/>
                <c:pt idx="0">
                  <c:v>OBJEM VODY PITNÉ FAKTUROVANÉ (MIL. M3) S VÝSKYTEM ALESPOŇ JEDNÉ ANOMÁLIE</c:v>
                </c:pt>
              </c:strCache>
            </c:strRef>
          </c:tx>
          <c:spPr>
            <a:solidFill>
              <a:srgbClr val="DBB7EB"/>
            </a:solidFill>
            <a:ln>
              <a:solidFill>
                <a:srgbClr val="C183DD"/>
              </a:solidFill>
            </a:ln>
          </c:spPr>
          <c:invertIfNegative val="0"/>
          <c:dLbls>
            <c:dLbl>
              <c:idx val="0"/>
              <c:layout>
                <c:manualLayout>
                  <c:x val="-4.3462971834236648E-2"/>
                  <c:y val="-5.1967334818114434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6793-43F8-A9D1-57555CD1A461}"/>
                </c:ext>
              </c:extLst>
            </c:dLbl>
            <c:dLbl>
              <c:idx val="1"/>
              <c:layout>
                <c:manualLayout>
                  <c:x val="-4.4865054328776729E-2"/>
                  <c:y val="-6.0876020786933931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6793-43F8-A9D1-57555CD1A461}"/>
                </c:ext>
              </c:extLst>
            </c:dLbl>
            <c:dLbl>
              <c:idx val="2"/>
              <c:layout>
                <c:manualLayout>
                  <c:x val="-4.2060988433228183E-2"/>
                  <c:y val="-7.4239049740163321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6793-43F8-A9D1-57555CD1A461}"/>
                </c:ext>
              </c:extLst>
            </c:dLbl>
            <c:dLbl>
              <c:idx val="3"/>
              <c:layout>
                <c:manualLayout>
                  <c:x val="-4.3463021381002456E-2"/>
                  <c:y val="-6.5330363771343727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6793-43F8-A9D1-57555CD1A461}"/>
                </c:ext>
              </c:extLst>
            </c:dLbl>
            <c:dLbl>
              <c:idx val="4"/>
              <c:layout>
                <c:manualLayout>
                  <c:x val="-4.2060988433228183E-2"/>
                  <c:y val="-8.7602078693392718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6793-43F8-A9D1-57555CD1A461}"/>
                </c:ext>
              </c:extLst>
            </c:dLbl>
            <c:dLbl>
              <c:idx val="5"/>
              <c:layout>
                <c:manualLayout>
                  <c:x val="-4.3463021381002553E-2"/>
                  <c:y val="-2.6726057906458798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6793-43F8-A9D1-57555CD1A461}"/>
                </c:ext>
              </c:extLst>
            </c:dLbl>
            <c:dLbl>
              <c:idx val="6"/>
              <c:layout>
                <c:manualLayout>
                  <c:x val="-4.3462971834236648E-2"/>
                  <c:y val="-5.196733481811433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6793-43F8-A9D1-57555CD1A461}"/>
                </c:ext>
              </c:extLst>
            </c:dLbl>
            <c:dLbl>
              <c:idx val="7"/>
              <c:layout>
                <c:manualLayout>
                  <c:x val="-4.3462971834236648E-2"/>
                  <c:y val="-5.1967334818114434E-2"/>
                </c:manualLayout>
              </c:layout>
              <c:tx>
                <c:rich>
                  <a:bodyPr/>
                  <a:lstStyle/>
                  <a:p>
                    <a:fld id="{8718A39A-8530-45B7-A849-37E0691FE958}" type="CELLRANGE">
                      <a:rPr lang="en-US" b="1">
                        <a:solidFill>
                          <a:srgbClr val="002060"/>
                        </a:solidFill>
                      </a:rPr>
                      <a:pPr/>
                      <a:t>[OBLAST BUNĚK]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, </a:t>
                    </a:r>
                    <a:fld id="{3E7EC65A-230B-4474-879E-D20A8B891271}" type="VALUE">
                      <a:rPr lang="en-US" b="1" baseline="0">
                        <a:solidFill>
                          <a:srgbClr val="002060"/>
                        </a:solidFill>
                      </a:rPr>
                      <a:pPr/>
                      <a:t>[HODNOTA]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10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mil.m</a:t>
                    </a:r>
                    <a:r>
                      <a:rPr lang="en-US" sz="1000" b="1" i="0" u="none" strike="noStrike" kern="1200" baseline="3000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6793-43F8-A9D1-57555CD1A4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 anchorCtr="0">
                <a:spAutoFit/>
              </a:bodyPr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grafy_anomalie!$A$86:$A$93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grafy_anomalie!$B$86:$B$93</c:f>
              <c:numCache>
                <c:formatCode>0.00</c:formatCode>
                <c:ptCount val="8"/>
                <c:pt idx="0">
                  <c:v>84.851264999999998</c:v>
                </c:pt>
                <c:pt idx="1">
                  <c:v>27.492000000000001</c:v>
                </c:pt>
                <c:pt idx="2">
                  <c:v>37.59545</c:v>
                </c:pt>
                <c:pt idx="3">
                  <c:v>33.012653</c:v>
                </c:pt>
                <c:pt idx="4">
                  <c:v>34.409568999999991</c:v>
                </c:pt>
                <c:pt idx="5">
                  <c:v>34.712340999999995</c:v>
                </c:pt>
                <c:pt idx="6">
                  <c:v>14.463468999999986</c:v>
                </c:pt>
                <c:pt idx="7">
                  <c:v>7.680353999999995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grafy_anomalie!$F$86:$F$93</c15:f>
                <c15:dlblRangeCache>
                  <c:ptCount val="8"/>
                  <c:pt idx="0">
                    <c:v>50,72%</c:v>
                  </c:pt>
                  <c:pt idx="1">
                    <c:v>53,55%</c:v>
                  </c:pt>
                  <c:pt idx="2">
                    <c:v>57,44%</c:v>
                  </c:pt>
                  <c:pt idx="3">
                    <c:v>47,25%</c:v>
                  </c:pt>
                  <c:pt idx="4">
                    <c:v>62,04%</c:v>
                  </c:pt>
                  <c:pt idx="5">
                    <c:v>79,41%</c:v>
                  </c:pt>
                  <c:pt idx="6">
                    <c:v>91,33%</c:v>
                  </c:pt>
                  <c:pt idx="7">
                    <c:v>96,80%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6793-43F8-A9D1-57555CD1A461}"/>
            </c:ext>
          </c:extLst>
        </c:ser>
        <c:ser>
          <c:idx val="2"/>
          <c:order val="2"/>
          <c:tx>
            <c:strRef>
              <c:f>grafy_anomalie!$D$85</c:f>
              <c:strCache>
                <c:ptCount val="1"/>
                <c:pt idx="0">
                  <c:v>OBJEM VODY FAKTUROVANÉ BEZ ANOMÁLIÍ</c:v>
                </c:pt>
              </c:strCache>
            </c:strRef>
          </c:tx>
          <c:spPr>
            <a:solidFill>
              <a:srgbClr val="91BCE3"/>
            </a:solidFill>
            <a:ln>
              <a:solidFill>
                <a:srgbClr val="5B9BD5"/>
              </a:solidFill>
            </a:ln>
          </c:spPr>
          <c:invertIfNegative val="0"/>
          <c:cat>
            <c:strRef>
              <c:f>grafy_anomalie!$A$86:$A$93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grafy_anomalie!$D$86:$D$93</c:f>
              <c:numCache>
                <c:formatCode>0.00</c:formatCode>
                <c:ptCount val="8"/>
                <c:pt idx="0">
                  <c:v>82.444000000000003</c:v>
                </c:pt>
                <c:pt idx="1">
                  <c:v>23.842894999999995</c:v>
                </c:pt>
                <c:pt idx="2">
                  <c:v>27.851629999999986</c:v>
                </c:pt>
                <c:pt idx="3">
                  <c:v>36.848499000000004</c:v>
                </c:pt>
                <c:pt idx="4">
                  <c:v>21.056006000000004</c:v>
                </c:pt>
                <c:pt idx="5">
                  <c:v>9.0025789999999688</c:v>
                </c:pt>
                <c:pt idx="6">
                  <c:v>1.3733860000000089</c:v>
                </c:pt>
                <c:pt idx="7">
                  <c:v>0.25385800000000014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793-43F8-A9D1-57555CD1A4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6750720"/>
        <c:axId val="406751112"/>
      </c:barChart>
      <c:lineChart>
        <c:grouping val="stacked"/>
        <c:varyColors val="0"/>
        <c:ser>
          <c:idx val="1"/>
          <c:order val="1"/>
          <c:tx>
            <c:strRef>
              <c:f>grafy_anomalie!$C$85</c:f>
              <c:strCache>
                <c:ptCount val="1"/>
                <c:pt idx="0">
                  <c:v>OBJEM VODY PITNÉ FAKTUROVANÉ VE SKUPINĚ</c:v>
                </c:pt>
              </c:strCache>
            </c:strRef>
          </c:tx>
          <c:spPr>
            <a:ln>
              <a:solidFill>
                <a:srgbClr val="969696"/>
              </a:solidFill>
            </a:ln>
          </c:spPr>
          <c:marker>
            <c:symbol val="circle"/>
            <c:size val="5"/>
            <c:spPr>
              <a:solidFill>
                <a:srgbClr val="969696"/>
              </a:solidFill>
              <a:ln w="38100">
                <a:solidFill>
                  <a:srgbClr val="969696"/>
                </a:solidFill>
              </a:ln>
            </c:spPr>
          </c:marker>
          <c:dLbls>
            <c:dLbl>
              <c:idx val="0"/>
              <c:layout>
                <c:manualLayout>
                  <c:x val="1.8760823135000514E-2"/>
                  <c:y val="-5.7374509700764019E-3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6793-43F8-A9D1-57555CD1A461}"/>
                </c:ext>
              </c:extLst>
            </c:dLbl>
            <c:dLbl>
              <c:idx val="1"/>
              <c:layout>
                <c:manualLayout>
                  <c:x val="-5.8107950803561799E-2"/>
                  <c:y val="-6.07020558955743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793-43F8-A9D1-57555CD1A461}"/>
                </c:ext>
              </c:extLst>
            </c:dLbl>
            <c:dLbl>
              <c:idx val="2"/>
              <c:layout>
                <c:manualLayout>
                  <c:x val="-3.4520737200669116E-2"/>
                  <c:y val="-4.8151588797842301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6793-43F8-A9D1-57555CD1A461}"/>
                </c:ext>
              </c:extLst>
            </c:dLbl>
            <c:dLbl>
              <c:idx val="3"/>
              <c:layout>
                <c:manualLayout>
                  <c:x val="-5.9236797374419385E-2"/>
                  <c:y val="-6.7762131069919157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793-43F8-A9D1-57555CD1A461}"/>
                </c:ext>
              </c:extLst>
            </c:dLbl>
            <c:dLbl>
              <c:idx val="4"/>
              <c:layout>
                <c:manualLayout>
                  <c:x val="-2.7577368614073374E-4"/>
                  <c:y val="-5.3110115472503341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6793-43F8-A9D1-57555CD1A461}"/>
                </c:ext>
              </c:extLst>
            </c:dLbl>
            <c:dLbl>
              <c:idx val="5"/>
              <c:layout>
                <c:manualLayout>
                  <c:x val="-1.8111025343065429E-4"/>
                  <c:y val="-2.6524384897322135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6793-43F8-A9D1-57555CD1A461}"/>
                </c:ext>
              </c:extLst>
            </c:dLbl>
            <c:dLbl>
              <c:idx val="6"/>
              <c:layout>
                <c:manualLayout>
                  <c:x val="-3.4853732589283398E-2"/>
                  <c:y val="-8.541138371066645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6793-43F8-A9D1-57555CD1A461}"/>
                </c:ext>
              </c:extLst>
            </c:dLbl>
            <c:dLbl>
              <c:idx val="7"/>
              <c:layout>
                <c:manualLayout>
                  <c:x val="-9.2822969643575372E-3"/>
                  <c:y val="-2.7673044210230958E-2"/>
                </c:manualLayout>
              </c:layout>
              <c:tx>
                <c:rich>
                  <a:bodyPr/>
                  <a:lstStyle/>
                  <a:p>
                    <a:fld id="{0159364E-7C81-4561-8C95-291878E2A637}" type="VALUE">
                      <a:rPr lang="en-US">
                        <a:solidFill>
                          <a:schemeClr val="accent2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accent2"/>
                        </a:solidFill>
                      </a:rPr>
                      <a:t> mil. m</a:t>
                    </a:r>
                    <a:r>
                      <a:rPr lang="en-US" baseline="30000">
                        <a:solidFill>
                          <a:schemeClr val="accent2"/>
                        </a:solidFill>
                      </a:rPr>
                      <a:t>3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6793-43F8-A9D1-57555CD1A46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lIns="38100" tIns="19050" rIns="38100" bIns="19050">
                <a:spAutoFit/>
              </a:bodyPr>
              <a:lstStyle/>
              <a:p>
                <a:pPr>
                  <a:defRPr b="1">
                    <a:solidFill>
                      <a:schemeClr val="accent2"/>
                    </a:solidFill>
                  </a:defRPr>
                </a:pPr>
                <a:endParaRPr lang="cs-CZ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grafy_anomalie!$A$86:$A$93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cat>
          <c:val>
            <c:numRef>
              <c:f>grafy_anomalie!$C$86:$C$93</c:f>
              <c:numCache>
                <c:formatCode>0.00</c:formatCode>
                <c:ptCount val="8"/>
                <c:pt idx="0">
                  <c:v>167.295265</c:v>
                </c:pt>
                <c:pt idx="1">
                  <c:v>51.334894999999996</c:v>
                </c:pt>
                <c:pt idx="2">
                  <c:v>65.447079999999985</c:v>
                </c:pt>
                <c:pt idx="3">
                  <c:v>69.861152000000004</c:v>
                </c:pt>
                <c:pt idx="4">
                  <c:v>55.465574999999994</c:v>
                </c:pt>
                <c:pt idx="5">
                  <c:v>43.714919999999964</c:v>
                </c:pt>
                <c:pt idx="6">
                  <c:v>15.836854999999995</c:v>
                </c:pt>
                <c:pt idx="7">
                  <c:v>7.9342119999999952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6793-43F8-A9D1-57555CD1A4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6750720"/>
        <c:axId val="406751112"/>
      </c:lineChart>
      <c:scatterChart>
        <c:scatterStyle val="lineMarker"/>
        <c:varyColors val="0"/>
        <c:ser>
          <c:idx val="3"/>
          <c:order val="3"/>
          <c:tx>
            <c:strRef>
              <c:f>grafy_anomalie!$E$85</c:f>
              <c:strCache>
                <c:ptCount val="1"/>
                <c:pt idx="0">
                  <c:v>ČETNOST VÝSKYTU ANOMÁLIÍ</c:v>
                </c:pt>
              </c:strCache>
            </c:strRef>
          </c:tx>
          <c:spPr>
            <a:ln w="25400">
              <a:noFill/>
            </a:ln>
          </c:spPr>
          <c:marker>
            <c:symbol val="triangle"/>
            <c:size val="12"/>
            <c:spPr>
              <a:solidFill>
                <a:srgbClr val="FF3399"/>
              </a:solidFill>
              <a:ln w="50800">
                <a:solidFill>
                  <a:srgbClr val="FF3399"/>
                </a:solidFill>
              </a:ln>
            </c:spPr>
          </c:marker>
          <c:dLbls>
            <c:dLbl>
              <c:idx val="0"/>
              <c:layout>
                <c:manualLayout>
                  <c:x val="-3.9842022901711446E-2"/>
                  <c:y val="-2.941655121617593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335290A-EEA2-4CBE-8DDF-2EFC819B82A7}" type="YVALUE">
                      <a:rPr lang="en-US" b="1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sz="900" b="1" i="0" u="none" strike="noStrike" kern="1200" baseline="0">
                          <a:solidFill>
                            <a:srgbClr val="00206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[HODNOTA Y]</a:t>
                    </a:fld>
                    <a:r>
                      <a:rPr lang="en-US" b="1"/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výskyty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6793-43F8-A9D1-57555CD1A461}"/>
                </c:ext>
              </c:extLst>
            </c:dLbl>
            <c:dLbl>
              <c:idx val="1"/>
              <c:layout>
                <c:manualLayout>
                  <c:x val="-4.2966238053050915E-2"/>
                  <c:y val="-2.0338343007792286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43B4A85-EF9C-4FEE-821A-97B7B39A303D}" type="YVALUE">
                      <a:rPr lang="en-US" b="1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sz="900" b="1" i="0" u="none" strike="noStrike" kern="1200" baseline="0">
                          <a:solidFill>
                            <a:srgbClr val="00206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[HODNOTA Y]</a:t>
                    </a:fld>
                    <a:r>
                      <a:rPr lang="en-US" b="1"/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výskyty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6793-43F8-A9D1-57555CD1A461}"/>
                </c:ext>
              </c:extLst>
            </c:dLbl>
            <c:dLbl>
              <c:idx val="2"/>
              <c:layout>
                <c:manualLayout>
                  <c:x val="-4.4202676558174711E-2"/>
                  <c:y val="-2.0843986929250768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A9A108A-B539-4566-97CD-0401DBF53B49}" type="YVALUE">
                      <a:rPr lang="en-US" b="1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sz="900" b="1" i="0" u="none" strike="noStrike" kern="1200" baseline="0">
                          <a:solidFill>
                            <a:srgbClr val="00206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[HODNOTA Y]</a:t>
                    </a:fld>
                    <a:r>
                      <a:rPr lang="en-US" b="1"/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6793-43F8-A9D1-57555CD1A461}"/>
                </c:ext>
              </c:extLst>
            </c:dLbl>
            <c:dLbl>
              <c:idx val="3"/>
              <c:layout>
                <c:manualLayout>
                  <c:x val="-4.4315391175472202E-2"/>
                  <c:y val="-2.2121015496671042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b="1">
                        <a:solidFill>
                          <a:srgbClr val="002060"/>
                        </a:solidFill>
                      </a:defRPr>
                    </a:pPr>
                    <a:fld id="{68BFFDCE-7457-464B-B5B0-720F2B2EA734}" type="YVALUE">
                      <a:rPr lang="en-US" b="1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b="1"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6-6793-43F8-A9D1-57555CD1A461}"/>
                </c:ext>
              </c:extLst>
            </c:dLbl>
            <c:dLbl>
              <c:idx val="4"/>
              <c:layout>
                <c:manualLayout>
                  <c:x val="-4.7180837411096486E-2"/>
                  <c:y val="2.3731009124972963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b="1">
                        <a:solidFill>
                          <a:srgbClr val="002060"/>
                        </a:solidFill>
                      </a:defRPr>
                    </a:pPr>
                    <a:fld id="{86033DFF-094B-4CE7-BC18-4C2194E694CA}" type="YVALUE">
                      <a:rPr lang="en-US" b="1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b="1"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6793-43F8-A9D1-57555CD1A461}"/>
                </c:ext>
              </c:extLst>
            </c:dLbl>
            <c:dLbl>
              <c:idx val="5"/>
              <c:layout>
                <c:manualLayout>
                  <c:x val="-5.2084475404582747E-2"/>
                  <c:y val="1.7022254178138647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b="1">
                        <a:solidFill>
                          <a:srgbClr val="002060"/>
                        </a:solidFill>
                      </a:defRPr>
                    </a:pPr>
                    <a:fld id="{4B48B0FC-A454-43AC-A10B-53481956F602}" type="YVALUE">
                      <a:rPr lang="en-US" b="1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b="1"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8-6793-43F8-A9D1-57555CD1A461}"/>
                </c:ext>
              </c:extLst>
            </c:dLbl>
            <c:dLbl>
              <c:idx val="6"/>
              <c:layout>
                <c:manualLayout>
                  <c:x val="-5.0473186119873815E-2"/>
                  <c:y val="-2.2271714922049053E-2"/>
                </c:manualLayout>
              </c:layout>
              <c:tx>
                <c:rich>
                  <a:bodyPr/>
                  <a:lstStyle/>
                  <a:p>
                    <a:fld id="{A9EBCD9C-A430-4782-88AB-4DF25C49B4DF}" type="YVALUE">
                      <a:rPr lang="en-US" baseline="0">
                        <a:solidFill>
                          <a:srgbClr val="002060"/>
                        </a:solidFill>
                      </a:rPr>
                      <a:pPr/>
                      <a:t>[HODNOTA Y]</a:t>
                    </a:fld>
                    <a:r>
                      <a:rPr lang="en-US" baseline="0">
                        <a:solidFill>
                          <a:srgbClr val="002060"/>
                        </a:solidFill>
                      </a:rPr>
                      <a:t> výskytů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6793-43F8-A9D1-57555CD1A461}"/>
                </c:ext>
              </c:extLst>
            </c:dLbl>
            <c:dLbl>
              <c:idx val="7"/>
              <c:layout>
                <c:manualLayout>
                  <c:x val="-5.8885383806519656E-2"/>
                  <c:y val="-2.2271714922048998E-2"/>
                </c:manualLayout>
              </c:layout>
              <c:tx>
                <c:rich>
                  <a:bodyPr lIns="38100" tIns="19050" rIns="38100" bIns="19050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b="1">
                        <a:solidFill>
                          <a:srgbClr val="002060"/>
                        </a:solidFill>
                      </a:defRPr>
                    </a:pPr>
                    <a:fld id="{921BF0EA-631B-4CF8-941A-413900972CFD}" type="YVALUE">
                      <a:rPr lang="en-US" b="1" baseline="0">
                        <a:solidFill>
                          <a:srgbClr val="002060"/>
                        </a:solidFill>
                      </a:rPr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b="1">
                          <a:solidFill>
                            <a:srgbClr val="002060"/>
                          </a:solidFill>
                        </a:defRPr>
                      </a:pPr>
                      <a:t>[HODNOTA Y]</a:t>
                    </a:fld>
                    <a:r>
                      <a:rPr lang="en-US" b="1" baseline="0">
                        <a:solidFill>
                          <a:srgbClr val="002060"/>
                        </a:solidFill>
                      </a:rPr>
                      <a:t> </a:t>
                    </a:r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</a:rPr>
                      <a:t>výskytů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A-6793-43F8-A9D1-57555CD1A4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38100" tIns="19050" rIns="38100" bIns="19050">
                <a:spAutoFit/>
              </a:bodyPr>
              <a:lstStyle/>
              <a:p>
                <a:pPr>
                  <a:defRPr b="1">
                    <a:solidFill>
                      <a:srgbClr val="00206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</c:spPr>
                </c15:leaderLines>
              </c:ext>
            </c:extLst>
          </c:dLbls>
          <c:xVal>
            <c:strRef>
              <c:f>grafy_anomalie!$A$86:$A$93</c:f>
              <c:strCache>
                <c:ptCount val="8"/>
                <c:pt idx="0">
                  <c:v>I.skupina (&gt;500 000 př.ob.)</c:v>
                </c:pt>
                <c:pt idx="1">
                  <c:v>II.skupina (&gt;200 000 př.ob.)</c:v>
                </c:pt>
                <c:pt idx="2">
                  <c:v>III.skupina (&gt;100 000 př.ob.)</c:v>
                </c:pt>
                <c:pt idx="3">
                  <c:v>IV.skupina (&gt;50 000 př.ob.)</c:v>
                </c:pt>
                <c:pt idx="4">
                  <c:v>V.skupina (&gt;10 000 př.ob.)</c:v>
                </c:pt>
                <c:pt idx="5">
                  <c:v>VI.skupina (&gt;1 000 př.ob.)</c:v>
                </c:pt>
                <c:pt idx="6">
                  <c:v>VII.skupina (&gt;300 př.ob.)</c:v>
                </c:pt>
                <c:pt idx="7">
                  <c:v>VIII.skupina (&lt;300 př.ob.)</c:v>
                </c:pt>
              </c:strCache>
            </c:strRef>
          </c:xVal>
          <c:yVal>
            <c:numRef>
              <c:f>grafy_anomalie!$E$86:$E$93</c:f>
              <c:numCache>
                <c:formatCode>#,##0</c:formatCode>
                <c:ptCount val="8"/>
                <c:pt idx="0">
                  <c:v>3</c:v>
                </c:pt>
                <c:pt idx="1">
                  <c:v>4</c:v>
                </c:pt>
                <c:pt idx="2">
                  <c:v>10</c:v>
                </c:pt>
                <c:pt idx="3">
                  <c:v>20</c:v>
                </c:pt>
                <c:pt idx="4">
                  <c:v>59</c:v>
                </c:pt>
                <c:pt idx="5">
                  <c:v>692</c:v>
                </c:pt>
                <c:pt idx="6">
                  <c:v>1433</c:v>
                </c:pt>
                <c:pt idx="7">
                  <c:v>2059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6793-43F8-A9D1-57555CD1A4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6751896"/>
        <c:axId val="406751504"/>
        <c:extLst>
          <c:ext xmlns:c15="http://schemas.microsoft.com/office/drawing/2012/chart" uri="{02D57815-91ED-43cb-92C2-25804820EDAC}">
            <c15:filteredScatter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grafy_anomalie!$F$85</c15:sqref>
                        </c15:formulaRef>
                      </c:ext>
                    </c:extLst>
                    <c:strCache>
                      <c:ptCount val="1"/>
                      <c:pt idx="0">
                        <c:v>%</c:v>
                      </c:pt>
                    </c:strCache>
                  </c:strRef>
                </c:tx>
                <c:spPr>
                  <a:ln w="19050">
                    <a:noFill/>
                  </a:ln>
                </c:spPr>
                <c:xVal>
                  <c:strRef>
                    <c:extLst>
                      <c:ext uri="{02D57815-91ED-43cb-92C2-25804820EDAC}">
                        <c15:formulaRef>
                          <c15:sqref>grafy_anomalie!$A$86:$A$93</c15:sqref>
                        </c15:formulaRef>
                      </c:ext>
                    </c:extLst>
                    <c:strCache>
                      <c:ptCount val="8"/>
                      <c:pt idx="0">
                        <c:v>I.skupina (&gt;500 000 př.ob.)</c:v>
                      </c:pt>
                      <c:pt idx="1">
                        <c:v>II.skupina (&gt;200 000 př.ob.)</c:v>
                      </c:pt>
                      <c:pt idx="2">
                        <c:v>III.skupina (&gt;100 000 př.ob.)</c:v>
                      </c:pt>
                      <c:pt idx="3">
                        <c:v>IV.skupina (&gt;50 000 př.ob.)</c:v>
                      </c:pt>
                      <c:pt idx="4">
                        <c:v>V.skupina (&gt;10 000 př.ob.)</c:v>
                      </c:pt>
                      <c:pt idx="5">
                        <c:v>VI.skupina (&gt;1 000 př.ob.)</c:v>
                      </c:pt>
                      <c:pt idx="6">
                        <c:v>VII.skupina (&gt;300 př.ob.)</c:v>
                      </c:pt>
                      <c:pt idx="7">
                        <c:v>VIII.skupina (&lt;300 př.ob.)</c:v>
                      </c:pt>
                    </c:strCache>
                  </c:strRef>
                </c:xVal>
                <c:yVal>
                  <c:numRef>
                    <c:extLst>
                      <c:ext uri="{02D57815-91ED-43cb-92C2-25804820EDAC}">
                        <c15:formulaRef>
                          <c15:sqref>grafy_anomalie!$F$86:$F$93</c15:sqref>
                        </c15:formulaRef>
                      </c:ext>
                    </c:extLst>
                    <c:numCache>
                      <c:formatCode>0.00%</c:formatCode>
                      <c:ptCount val="8"/>
                      <c:pt idx="0">
                        <c:v>0.50719465969344679</c:v>
                      </c:pt>
                      <c:pt idx="1">
                        <c:v>0.53554214925344645</c:v>
                      </c:pt>
                      <c:pt idx="2">
                        <c:v>0.5744404486800635</c:v>
                      </c:pt>
                      <c:pt idx="3">
                        <c:v>0.47254664509397154</c:v>
                      </c:pt>
                      <c:pt idx="4">
                        <c:v>0.62037703566581603</c:v>
                      </c:pt>
                      <c:pt idx="5">
                        <c:v>0.79406163845204392</c:v>
                      </c:pt>
                      <c:pt idx="6">
                        <c:v>0.91327912012833301</c:v>
                      </c:pt>
                      <c:pt idx="7">
                        <c:v>0.96800463612517529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1C-6793-43F8-A9D1-57555CD1A461}"/>
                  </c:ext>
                </c:extLst>
              </c15:ser>
            </c15:filteredScatterSeries>
          </c:ext>
        </c:extLst>
      </c:scatterChart>
      <c:catAx>
        <c:axId val="4067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520000"/>
          <a:lstStyle/>
          <a:p>
            <a:pPr>
              <a:defRPr/>
            </a:pPr>
            <a:endParaRPr lang="cs-CZ"/>
          </a:p>
        </c:txPr>
        <c:crossAx val="406751112"/>
        <c:crosses val="autoZero"/>
        <c:auto val="1"/>
        <c:lblAlgn val="ctr"/>
        <c:lblOffset val="100"/>
        <c:noMultiLvlLbl val="0"/>
      </c:catAx>
      <c:valAx>
        <c:axId val="406751112"/>
        <c:scaling>
          <c:orientation val="minMax"/>
          <c:max val="21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Objem vody </a:t>
                </a:r>
                <a:r>
                  <a:rPr lang="cs-CZ" baseline="0"/>
                  <a:t> odpadní a srážkové fakturované </a:t>
                </a:r>
                <a:r>
                  <a:rPr lang="cs-CZ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v </a:t>
                </a:r>
                <a:r>
                  <a:rPr lang="cs-CZ" baseline="0"/>
                  <a:t>mil. m3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1.0459037426345758E-2"/>
              <c:y val="0.23789907102230334"/>
            </c:manualLayout>
          </c:layout>
          <c:overlay val="0"/>
        </c:title>
        <c:numFmt formatCode="0.00" sourceLinked="1"/>
        <c:majorTickMark val="none"/>
        <c:minorTickMark val="none"/>
        <c:tickLblPos val="nextTo"/>
        <c:txPr>
          <a:bodyPr rot="-5400000"/>
          <a:lstStyle/>
          <a:p>
            <a:pPr>
              <a:defRPr sz="1600" b="1" baseline="30000"/>
            </a:pPr>
            <a:endParaRPr lang="cs-CZ"/>
          </a:p>
        </c:txPr>
        <c:crossAx val="406750720"/>
        <c:crosses val="autoZero"/>
        <c:crossBetween val="between"/>
      </c:valAx>
      <c:valAx>
        <c:axId val="406751504"/>
        <c:scaling>
          <c:orientation val="minMax"/>
          <c:max val="21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>
                    <a:solidFill>
                      <a:srgbClr val="C00000"/>
                    </a:solidFill>
                  </a:defRPr>
                </a:pPr>
                <a:r>
                  <a:rPr lang="cs-CZ">
                    <a:solidFill>
                      <a:srgbClr val="C00000"/>
                    </a:solidFill>
                  </a:rPr>
                  <a:t>četnost výskytů anomálii </a:t>
                </a:r>
              </a:p>
            </c:rich>
          </c:tx>
          <c:layout/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C00000"/>
                </a:solidFill>
              </a:defRPr>
            </a:pPr>
            <a:endParaRPr lang="cs-CZ"/>
          </a:p>
        </c:txPr>
        <c:crossAx val="406751896"/>
        <c:crosses val="max"/>
        <c:crossBetween val="midCat"/>
      </c:valAx>
      <c:valAx>
        <c:axId val="406751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6751504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1.5349155380327769E-2"/>
          <c:y val="0.9247145930870746"/>
          <c:w val="0.98465080432766128"/>
          <c:h val="7.5285406912925457E-2"/>
        </c:manualLayout>
      </c:layout>
      <c:overlay val="0"/>
      <c:txPr>
        <a:bodyPr/>
        <a:lstStyle/>
        <a:p>
          <a:pPr>
            <a:defRPr sz="900" b="1">
              <a:solidFill>
                <a:schemeClr val="accent5">
                  <a:lumMod val="50000"/>
                </a:schemeClr>
              </a:solidFill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0.35082</cdr:x>
      <cdr:y>0.06197</cdr:y>
    </cdr:from>
    <cdr:to>
      <cdr:x>0.94644</cdr:x>
      <cdr:y>0.11824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2314575" y="524155"/>
          <a:ext cx="3929705" cy="4759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100" i="1">
              <a:solidFill>
                <a:srgbClr val="002060"/>
              </a:solidFill>
            </a:rPr>
            <a:t>1.</a:t>
          </a:r>
          <a:r>
            <a:rPr lang="cs-CZ" sz="1100" i="1" baseline="0">
              <a:solidFill>
                <a:srgbClr val="002060"/>
              </a:solidFill>
            </a:rPr>
            <a:t> Celková velikost trhu dle Porovnání 498,911 mil. m</a:t>
          </a:r>
          <a:r>
            <a:rPr lang="cs-CZ" sz="1100" i="1" baseline="30000">
              <a:solidFill>
                <a:srgbClr val="002060"/>
              </a:solidFill>
            </a:rPr>
            <a:t>3</a:t>
          </a:r>
        </a:p>
        <a:p xmlns:a="http://schemas.openxmlformats.org/drawingml/2006/main">
          <a:r>
            <a:rPr lang="cs-CZ" sz="1100" i="1" baseline="0">
              <a:solidFill>
                <a:srgbClr val="002060"/>
              </a:solidFill>
            </a:rPr>
            <a:t>2. Velikost analyzovanéh</a:t>
          </a:r>
          <a:r>
            <a:rPr lang="cs-CZ" sz="1100" i="1" baseline="0">
              <a:solidFill>
                <a:srgbClr val="002060"/>
              </a:solidFill>
              <a:latin typeface="+mn-lt"/>
              <a:ea typeface="+mn-ea"/>
              <a:cs typeface="+mn-cs"/>
            </a:rPr>
            <a:t>o </a:t>
          </a:r>
          <a:r>
            <a:rPr lang="cs-CZ" sz="1100" i="1" baseline="0">
              <a:solidFill>
                <a:srgbClr val="002060"/>
              </a:solidFill>
            </a:rPr>
            <a:t>trhu 476,89 mil. m</a:t>
          </a:r>
          <a:r>
            <a:rPr lang="cs-CZ" sz="1100" i="1" baseline="30000">
              <a:solidFill>
                <a:srgbClr val="002060"/>
              </a:solidFill>
            </a:rPr>
            <a:t>3</a:t>
          </a:r>
          <a:r>
            <a:rPr lang="cs-CZ" sz="1100" i="1" baseline="0">
              <a:solidFill>
                <a:srgbClr val="002060"/>
              </a:solidFill>
            </a:rPr>
            <a:t> (95,59%)</a:t>
          </a:r>
          <a:endParaRPr lang="cs-CZ" sz="1100" i="1" baseline="30000">
            <a:solidFill>
              <a:srgbClr val="002060"/>
            </a:solidFill>
          </a:endParaRPr>
        </a:p>
      </cdr:txBody>
    </cdr:sp>
  </cdr:relSizeAnchor>
  <cdr:relSizeAnchor xmlns:cdr="http://schemas.openxmlformats.org/drawingml/2006/chartDrawing">
    <cdr:from>
      <cdr:x>0.02599</cdr:x>
      <cdr:y>0.93919</cdr:y>
    </cdr:from>
    <cdr:to>
      <cdr:x>0.97016</cdr:x>
      <cdr:y>0.96964</cdr:y>
    </cdr:to>
    <cdr:sp macro="" textlink="">
      <cdr:nvSpPr>
        <cdr:cNvPr id="5" name="BlokTextu 1"/>
        <cdr:cNvSpPr txBox="1"/>
      </cdr:nvSpPr>
      <cdr:spPr>
        <a:xfrm xmlns:a="http://schemas.openxmlformats.org/drawingml/2006/main">
          <a:off x="171450" y="7943850"/>
          <a:ext cx="6229350" cy="2575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cs-CZ" sz="1100" b="1" i="1">
              <a:solidFill>
                <a:srgbClr val="002060"/>
              </a:solidFill>
            </a:rPr>
            <a:t>množství</a:t>
          </a:r>
          <a:r>
            <a:rPr lang="cs-CZ" sz="1100" b="1" i="1" baseline="0">
              <a:solidFill>
                <a:srgbClr val="002060"/>
              </a:solidFill>
            </a:rPr>
            <a:t> vody fakturované; % podíl analyzovanéh</a:t>
          </a:r>
          <a:r>
            <a:rPr lang="cs-CZ" sz="1100" b="1" i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o </a:t>
          </a:r>
          <a:r>
            <a:rPr lang="cs-CZ" sz="1100" b="1" i="1" baseline="0">
              <a:solidFill>
                <a:srgbClr val="002060"/>
              </a:solidFill>
            </a:rPr>
            <a:t>trhu; četnost výskytů anomálie</a:t>
          </a:r>
          <a:endParaRPr lang="cs-CZ" sz="1100" b="1" i="1">
            <a:solidFill>
              <a:srgbClr val="00206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0.36861</cdr:x>
      <cdr:y>0.07353</cdr:y>
    </cdr:from>
    <cdr:to>
      <cdr:x>0.97867</cdr:x>
      <cdr:y>0.12212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2123000" y="613854"/>
          <a:ext cx="3513576" cy="4056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000" i="1">
              <a:solidFill>
                <a:schemeClr val="accent2">
                  <a:lumMod val="75000"/>
                </a:schemeClr>
              </a:solidFill>
            </a:rPr>
            <a:t>1.</a:t>
          </a:r>
          <a:r>
            <a:rPr lang="cs-CZ" sz="1000" i="1" baseline="0">
              <a:solidFill>
                <a:schemeClr val="accent2">
                  <a:lumMod val="75000"/>
                </a:schemeClr>
              </a:solidFill>
            </a:rPr>
            <a:t> celková velikost trhu dle Porovnání 529,31 mil. m</a:t>
          </a:r>
          <a:r>
            <a:rPr lang="cs-CZ" sz="1000" i="1" baseline="30000">
              <a:solidFill>
                <a:schemeClr val="accent2">
                  <a:lumMod val="75000"/>
                </a:schemeClr>
              </a:solidFill>
            </a:rPr>
            <a:t>3</a:t>
          </a:r>
        </a:p>
        <a:p xmlns:a="http://schemas.openxmlformats.org/drawingml/2006/main">
          <a:r>
            <a:rPr lang="cs-CZ" sz="1000" i="1" baseline="0">
              <a:solidFill>
                <a:schemeClr val="accent2">
                  <a:lumMod val="75000"/>
                </a:schemeClr>
              </a:solidFill>
            </a:rPr>
            <a:t>2. velikost části analyzovanéh</a:t>
          </a:r>
          <a:r>
            <a:rPr lang="cs-CZ" sz="1000" i="1" baseline="0">
              <a:solidFill>
                <a:schemeClr val="accent2">
                  <a:lumMod val="75000"/>
                </a:schemeClr>
              </a:solidFill>
              <a:latin typeface="+mn-lt"/>
              <a:ea typeface="+mn-ea"/>
              <a:cs typeface="+mn-cs"/>
            </a:rPr>
            <a:t>o </a:t>
          </a:r>
          <a:r>
            <a:rPr lang="cs-CZ" sz="1000" i="1" baseline="0">
              <a:solidFill>
                <a:schemeClr val="accent2">
                  <a:lumMod val="75000"/>
                </a:schemeClr>
              </a:solidFill>
            </a:rPr>
            <a:t>trhu 515,23 mil. m</a:t>
          </a:r>
          <a:r>
            <a:rPr lang="cs-CZ" sz="1000" i="1" baseline="30000">
              <a:solidFill>
                <a:schemeClr val="accent2">
                  <a:lumMod val="75000"/>
                </a:schemeClr>
              </a:solidFill>
            </a:rPr>
            <a:t>3</a:t>
          </a:r>
          <a:r>
            <a:rPr lang="cs-CZ" sz="1000" i="1" baseline="30000">
              <a:solidFill>
                <a:schemeClr val="accent2">
                  <a:lumMod val="75000"/>
                </a:schemeClr>
              </a:solidFill>
              <a:latin typeface="+mn-lt"/>
              <a:ea typeface="+mn-ea"/>
              <a:cs typeface="+mn-cs"/>
            </a:rPr>
            <a:t> </a:t>
          </a:r>
          <a:r>
            <a:rPr lang="cs-CZ" sz="1000" i="1" baseline="0">
              <a:solidFill>
                <a:schemeClr val="accent2">
                  <a:lumMod val="75000"/>
                </a:schemeClr>
              </a:solidFill>
            </a:rPr>
            <a:t>(97,34 %)</a:t>
          </a:r>
          <a:endParaRPr lang="cs-CZ" sz="1000" i="1" baseline="30000">
            <a:solidFill>
              <a:schemeClr val="accent2">
                <a:lumMod val="75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0.18514</cdr:x>
      <cdr:y>0.93421</cdr:y>
    </cdr:from>
    <cdr:to>
      <cdr:x>1</cdr:x>
      <cdr:y>0.96132</cdr:y>
    </cdr:to>
    <cdr:sp macro="" textlink="">
      <cdr:nvSpPr>
        <cdr:cNvPr id="5" name="BlokTextu 1"/>
        <cdr:cNvSpPr txBox="1"/>
      </cdr:nvSpPr>
      <cdr:spPr>
        <a:xfrm xmlns:a="http://schemas.openxmlformats.org/drawingml/2006/main">
          <a:off x="1066317" y="7799071"/>
          <a:ext cx="4693133" cy="2263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cs-CZ" sz="1000" b="1" i="1">
              <a:solidFill>
                <a:srgbClr val="ED7D31">
                  <a:lumMod val="50000"/>
                </a:srgbClr>
              </a:solidFill>
            </a:rPr>
            <a:t>množství</a:t>
          </a:r>
          <a:r>
            <a:rPr lang="cs-CZ" sz="1000" b="1" i="1" baseline="0">
              <a:solidFill>
                <a:srgbClr val="ED7D31">
                  <a:lumMod val="50000"/>
                </a:srgbClr>
              </a:solidFill>
            </a:rPr>
            <a:t> vody </a:t>
          </a:r>
          <a:r>
            <a:rPr lang="cs-CZ" sz="1000" b="1" i="1" baseline="0">
              <a:solidFill>
                <a:srgbClr val="ED7D31">
                  <a:lumMod val="50000"/>
                </a:srgbClr>
              </a:solidFill>
              <a:latin typeface="Calibri"/>
              <a:ea typeface="+mn-ea"/>
              <a:cs typeface="+mn-cs"/>
            </a:rPr>
            <a:t>fakturované</a:t>
          </a:r>
          <a:r>
            <a:rPr lang="cs-CZ" sz="1000" b="1" i="1" baseline="0">
              <a:solidFill>
                <a:schemeClr val="accent2">
                  <a:lumMod val="50000"/>
                </a:schemeClr>
              </a:solidFill>
            </a:rPr>
            <a:t>; % podíl analyzovanéh</a:t>
          </a:r>
          <a:r>
            <a:rPr lang="cs-CZ" sz="1000" b="1" i="1" baseline="0">
              <a:solidFill>
                <a:schemeClr val="accent2">
                  <a:lumMod val="50000"/>
                </a:schemeClr>
              </a:solidFill>
              <a:latin typeface="Calibri"/>
              <a:ea typeface="+mn-ea"/>
              <a:cs typeface="+mn-cs"/>
            </a:rPr>
            <a:t>o </a:t>
          </a:r>
          <a:r>
            <a:rPr lang="cs-CZ" sz="1000" b="1" i="1" baseline="0">
              <a:solidFill>
                <a:schemeClr val="accent2">
                  <a:lumMod val="50000"/>
                </a:schemeClr>
              </a:solidFill>
            </a:rPr>
            <a:t>trhu; četnost výskytů anomálie</a:t>
          </a:r>
          <a:endParaRPr lang="cs-CZ" sz="1000" b="1" i="1">
            <a:solidFill>
              <a:schemeClr val="accent2">
                <a:lumMod val="50000"/>
              </a:schemeClr>
            </a:solidFill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0.33399</cdr:x>
      <cdr:y>0.08214</cdr:y>
    </cdr:from>
    <cdr:to>
      <cdr:x>0.97583</cdr:x>
      <cdr:y>0.14574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1924050" y="654952"/>
          <a:ext cx="3697429" cy="5070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cs-CZ" sz="1100" i="1">
              <a:solidFill>
                <a:schemeClr val="accent2">
                  <a:lumMod val="50000"/>
                </a:schemeClr>
              </a:solidFill>
            </a:rPr>
            <a:t>1.</a:t>
          </a:r>
          <a:r>
            <a:rPr lang="cs-CZ" sz="1100" i="1" baseline="0">
              <a:solidFill>
                <a:schemeClr val="accent2">
                  <a:lumMod val="50000"/>
                </a:schemeClr>
              </a:solidFill>
            </a:rPr>
            <a:t> celková velikost trhu dle Porovnání 529,31 mil. m</a:t>
          </a:r>
          <a:r>
            <a:rPr lang="cs-CZ" sz="1100" i="1" baseline="30000">
              <a:solidFill>
                <a:schemeClr val="accent2">
                  <a:lumMod val="50000"/>
                </a:schemeClr>
              </a:solidFill>
            </a:rPr>
            <a:t>3</a:t>
          </a:r>
        </a:p>
        <a:p xmlns:a="http://schemas.openxmlformats.org/drawingml/2006/main">
          <a:r>
            <a:rPr lang="cs-CZ" sz="1100" i="1" baseline="0">
              <a:solidFill>
                <a:schemeClr val="accent2">
                  <a:lumMod val="50000"/>
                </a:schemeClr>
              </a:solidFill>
            </a:rPr>
            <a:t>2. velikost části analyzovanéh</a:t>
          </a:r>
          <a:r>
            <a:rPr lang="cs-CZ" sz="1100" i="1" baseline="0">
              <a:solidFill>
                <a:schemeClr val="accent2">
                  <a:lumMod val="50000"/>
                </a:schemeClr>
              </a:solidFill>
              <a:latin typeface="Calibri"/>
              <a:ea typeface="+mn-ea"/>
              <a:cs typeface="+mn-cs"/>
            </a:rPr>
            <a:t>o </a:t>
          </a:r>
          <a:r>
            <a:rPr lang="cs-CZ" sz="1100" i="1" baseline="0">
              <a:solidFill>
                <a:schemeClr val="accent2">
                  <a:lumMod val="50000"/>
                </a:schemeClr>
              </a:solidFill>
            </a:rPr>
            <a:t>trhu 515,23 mil. m</a:t>
          </a:r>
          <a:r>
            <a:rPr lang="cs-CZ" sz="1100" i="1" baseline="30000">
              <a:solidFill>
                <a:schemeClr val="accent2">
                  <a:lumMod val="50000"/>
                </a:schemeClr>
              </a:solidFill>
            </a:rPr>
            <a:t>3 </a:t>
          </a:r>
          <a:r>
            <a:rPr lang="cs-CZ" sz="1100" i="1" baseline="0">
              <a:solidFill>
                <a:schemeClr val="accent2">
                  <a:lumMod val="50000"/>
                </a:schemeClr>
              </a:solidFill>
            </a:rPr>
            <a:t>(97,34%)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0.41452</cdr:x>
      <cdr:y>0.04927</cdr:y>
    </cdr:from>
    <cdr:to>
      <cdr:x>0.94644</cdr:x>
      <cdr:y>0.10501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2679590" y="429371"/>
          <a:ext cx="3438482" cy="4856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100" i="1">
              <a:solidFill>
                <a:srgbClr val="002060"/>
              </a:solidFill>
            </a:rPr>
            <a:t>1.</a:t>
          </a:r>
          <a:r>
            <a:rPr lang="cs-CZ" sz="1100" i="1" baseline="0">
              <a:solidFill>
                <a:srgbClr val="002060"/>
              </a:solidFill>
            </a:rPr>
            <a:t> celková velikost trhu dle Porovnání 498,911 mil. m</a:t>
          </a:r>
          <a:r>
            <a:rPr lang="cs-CZ" sz="1100" i="1" baseline="30000">
              <a:solidFill>
                <a:srgbClr val="002060"/>
              </a:solidFill>
            </a:rPr>
            <a:t>3</a:t>
          </a:r>
        </a:p>
        <a:p xmlns:a="http://schemas.openxmlformats.org/drawingml/2006/main">
          <a:r>
            <a:rPr lang="cs-CZ" sz="1100" i="1" baseline="0">
              <a:solidFill>
                <a:srgbClr val="002060"/>
              </a:solidFill>
            </a:rPr>
            <a:t>2. velikost části analyzovanéh</a:t>
          </a:r>
          <a:r>
            <a:rPr lang="cs-CZ" sz="1100" i="1" baseline="0">
              <a:solidFill>
                <a:srgbClr val="002060"/>
              </a:solidFill>
              <a:latin typeface="+mn-lt"/>
              <a:ea typeface="+mn-ea"/>
              <a:cs typeface="+mn-cs"/>
            </a:rPr>
            <a:t>o </a:t>
          </a:r>
          <a:r>
            <a:rPr lang="cs-CZ" sz="1100" i="1" baseline="0">
              <a:solidFill>
                <a:srgbClr val="002060"/>
              </a:solidFill>
            </a:rPr>
            <a:t>trhu 476,89 mil. m</a:t>
          </a:r>
          <a:r>
            <a:rPr lang="cs-CZ" sz="1100" i="1" baseline="30000">
              <a:solidFill>
                <a:srgbClr val="002060"/>
              </a:solidFill>
            </a:rPr>
            <a:t>3</a:t>
          </a:r>
        </a:p>
      </cdr:txBody>
    </cdr:sp>
  </cdr:relSizeAnchor>
  <cdr:relSizeAnchor xmlns:cdr="http://schemas.openxmlformats.org/drawingml/2006/chartDrawing">
    <cdr:from>
      <cdr:x>0.14717</cdr:x>
      <cdr:y>0.93528</cdr:y>
    </cdr:from>
    <cdr:to>
      <cdr:x>0.92455</cdr:x>
      <cdr:y>0.96539</cdr:y>
    </cdr:to>
    <cdr:sp macro="" textlink="">
      <cdr:nvSpPr>
        <cdr:cNvPr id="5" name="BlokTextu 1"/>
        <cdr:cNvSpPr txBox="1"/>
      </cdr:nvSpPr>
      <cdr:spPr>
        <a:xfrm xmlns:a="http://schemas.openxmlformats.org/drawingml/2006/main">
          <a:off x="951348" y="8150087"/>
          <a:ext cx="5025218" cy="262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cs-CZ" sz="1100" b="1" i="1">
              <a:solidFill>
                <a:srgbClr val="002060"/>
              </a:solidFill>
            </a:rPr>
            <a:t>množství</a:t>
          </a:r>
          <a:r>
            <a:rPr lang="cs-CZ" sz="1100" b="1" i="1" baseline="0">
              <a:solidFill>
                <a:srgbClr val="002060"/>
              </a:solidFill>
            </a:rPr>
            <a:t> vody fakturované; % podíl analyzovanéh</a:t>
          </a:r>
          <a:r>
            <a:rPr lang="cs-CZ" sz="1100" b="1" i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o </a:t>
          </a:r>
          <a:r>
            <a:rPr lang="cs-CZ" sz="1100" b="1" i="1" baseline="0">
              <a:solidFill>
                <a:srgbClr val="002060"/>
              </a:solidFill>
            </a:rPr>
            <a:t>trhu; četnost výskytů anomálie</a:t>
          </a:r>
          <a:endParaRPr lang="cs-CZ" sz="1100" b="1" i="1">
            <a:solidFill>
              <a:srgbClr val="002060"/>
            </a:solidFill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0.15877</cdr:x>
      <cdr:y>0.92431</cdr:y>
    </cdr:from>
    <cdr:to>
      <cdr:x>0.92784</cdr:x>
      <cdr:y>0.96482</cdr:y>
    </cdr:to>
    <cdr:sp macro="" textlink="">
      <cdr:nvSpPr>
        <cdr:cNvPr id="5" name="BlokTextu 4"/>
        <cdr:cNvSpPr txBox="1"/>
      </cdr:nvSpPr>
      <cdr:spPr>
        <a:xfrm xmlns:a="http://schemas.openxmlformats.org/drawingml/2006/main">
          <a:off x="914400" y="6895319"/>
          <a:ext cx="4429453" cy="3021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50" b="1" i="1">
              <a:solidFill>
                <a:schemeClr val="accent2">
                  <a:lumMod val="50000"/>
                </a:schemeClr>
              </a:solidFill>
            </a:rPr>
            <a:t>množství</a:t>
          </a:r>
          <a:r>
            <a:rPr lang="cs-CZ" sz="1050" b="1" i="1" baseline="0">
              <a:solidFill>
                <a:schemeClr val="accent2">
                  <a:lumMod val="50000"/>
                </a:schemeClr>
              </a:solidFill>
            </a:rPr>
            <a:t> vody </a:t>
          </a:r>
          <a:r>
            <a:rPr lang="cs-CZ" sz="1050" b="1" i="1" baseline="0">
              <a:solidFill>
                <a:schemeClr val="accent2">
                  <a:lumMod val="50000"/>
                </a:schemeClr>
              </a:solidFill>
              <a:latin typeface="+mn-lt"/>
              <a:ea typeface="+mn-ea"/>
              <a:cs typeface="+mn-cs"/>
            </a:rPr>
            <a:t>fakturované; % podíl analyzovaného trhu; četnost výskytů anomálie</a:t>
          </a:r>
        </a:p>
      </cdr:txBody>
    </cdr:sp>
  </cdr:relSizeAnchor>
  <cdr:relSizeAnchor xmlns:cdr="http://schemas.openxmlformats.org/drawingml/2006/chartDrawing">
    <cdr:from>
      <cdr:x>0.26172</cdr:x>
      <cdr:y>0.12282</cdr:y>
    </cdr:from>
    <cdr:to>
      <cdr:x>0.98936</cdr:x>
      <cdr:y>0.21835</cdr:y>
    </cdr:to>
    <cdr:sp macro="" textlink="">
      <cdr:nvSpPr>
        <cdr:cNvPr id="4" name="TextovéPole 2"/>
        <cdr:cNvSpPr txBox="1"/>
      </cdr:nvSpPr>
      <cdr:spPr>
        <a:xfrm xmlns:a="http://schemas.openxmlformats.org/drawingml/2006/main">
          <a:off x="1460664" y="667971"/>
          <a:ext cx="4060974" cy="5195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100" i="1">
              <a:solidFill>
                <a:schemeClr val="accent2">
                  <a:lumMod val="75000"/>
                </a:schemeClr>
              </a:solidFill>
            </a:rPr>
            <a:t>1.</a:t>
          </a:r>
          <a:r>
            <a:rPr lang="cs-CZ" sz="1100" i="1" baseline="0">
              <a:solidFill>
                <a:schemeClr val="accent2">
                  <a:lumMod val="75000"/>
                </a:schemeClr>
              </a:solidFill>
            </a:rPr>
            <a:t> Celková velikost trhu dle Porovnání 529,31 mil. m</a:t>
          </a:r>
          <a:r>
            <a:rPr lang="cs-CZ" sz="1100" i="1" baseline="30000">
              <a:solidFill>
                <a:schemeClr val="accent2">
                  <a:lumMod val="75000"/>
                </a:schemeClr>
              </a:solidFill>
            </a:rPr>
            <a:t>3</a:t>
          </a:r>
        </a:p>
        <a:p xmlns:a="http://schemas.openxmlformats.org/drawingml/2006/main">
          <a:r>
            <a:rPr lang="cs-CZ" sz="1100" i="1" baseline="0">
              <a:solidFill>
                <a:schemeClr val="accent2">
                  <a:lumMod val="75000"/>
                </a:schemeClr>
              </a:solidFill>
            </a:rPr>
            <a:t>2. Velikost části analyzovanéh</a:t>
          </a:r>
          <a:r>
            <a:rPr lang="cs-CZ" sz="1100" i="1" baseline="0">
              <a:solidFill>
                <a:schemeClr val="accent2">
                  <a:lumMod val="75000"/>
                </a:schemeClr>
              </a:solidFill>
              <a:latin typeface="+mn-lt"/>
              <a:ea typeface="+mn-ea"/>
              <a:cs typeface="+mn-cs"/>
            </a:rPr>
            <a:t>o </a:t>
          </a:r>
          <a:r>
            <a:rPr lang="cs-CZ" sz="1100" i="1" baseline="0">
              <a:solidFill>
                <a:schemeClr val="accent2">
                  <a:lumMod val="75000"/>
                </a:schemeClr>
              </a:solidFill>
            </a:rPr>
            <a:t>trhu 515,23 mil. m</a:t>
          </a:r>
          <a:r>
            <a:rPr lang="cs-CZ" sz="1100" i="1" baseline="30000">
              <a:solidFill>
                <a:schemeClr val="accent2">
                  <a:lumMod val="75000"/>
                </a:schemeClr>
              </a:solidFill>
            </a:rPr>
            <a:t>3 </a:t>
          </a:r>
          <a:r>
            <a:rPr lang="cs-CZ" sz="1100" i="1" baseline="0">
              <a:solidFill>
                <a:schemeClr val="accent2">
                  <a:lumMod val="75000"/>
                </a:schemeClr>
              </a:solidFill>
            </a:rPr>
            <a:t>(97,3 % podíl trhu)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0.27812</cdr:x>
      <cdr:y>0.06757</cdr:y>
    </cdr:from>
    <cdr:to>
      <cdr:x>0.93075</cdr:x>
      <cdr:y>0.11365</cdr:y>
    </cdr:to>
    <cdr:sp macro="" textlink="">
      <cdr:nvSpPr>
        <cdr:cNvPr id="2" name="TextovéPole 2"/>
        <cdr:cNvSpPr txBox="1"/>
      </cdr:nvSpPr>
      <cdr:spPr>
        <a:xfrm xmlns:a="http://schemas.openxmlformats.org/drawingml/2006/main">
          <a:off x="1751428" y="554057"/>
          <a:ext cx="4109769" cy="377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cs-CZ" sz="1100" i="1">
              <a:solidFill>
                <a:schemeClr val="accent2">
                  <a:lumMod val="50000"/>
                </a:schemeClr>
              </a:solidFill>
              <a:effectLst/>
              <a:latin typeface="Calibri"/>
              <a:ea typeface="+mn-ea"/>
              <a:cs typeface="+mn-cs"/>
            </a:rPr>
            <a:t>1.</a:t>
          </a:r>
          <a:r>
            <a:rPr lang="cs-CZ" sz="1100" i="1" baseline="0">
              <a:solidFill>
                <a:schemeClr val="accent2">
                  <a:lumMod val="50000"/>
                </a:schemeClr>
              </a:solidFill>
              <a:effectLst/>
              <a:latin typeface="Calibri"/>
              <a:ea typeface="+mn-ea"/>
              <a:cs typeface="+mn-cs"/>
            </a:rPr>
            <a:t> Celková velikost trhu dle Porovnání 529,31 mil. m</a:t>
          </a:r>
          <a:r>
            <a:rPr lang="cs-CZ" sz="1100" i="1" baseline="30000">
              <a:solidFill>
                <a:schemeClr val="accent2">
                  <a:lumMod val="50000"/>
                </a:schemeClr>
              </a:solidFill>
              <a:effectLst/>
              <a:latin typeface="Calibri"/>
              <a:ea typeface="+mn-ea"/>
              <a:cs typeface="+mn-cs"/>
            </a:rPr>
            <a:t>3</a:t>
          </a:r>
          <a:endParaRPr lang="cs-CZ">
            <a:solidFill>
              <a:schemeClr val="accent2">
                <a:lumMod val="50000"/>
              </a:schemeClr>
            </a:solidFill>
            <a:effectLst/>
          </a:endParaRPr>
        </a:p>
        <a:p xmlns:a="http://schemas.openxmlformats.org/drawingml/2006/main">
          <a:r>
            <a:rPr lang="cs-CZ" sz="1100" i="1" baseline="0">
              <a:solidFill>
                <a:schemeClr val="accent2">
                  <a:lumMod val="50000"/>
                </a:schemeClr>
              </a:solidFill>
              <a:effectLst/>
              <a:latin typeface="Calibri"/>
              <a:ea typeface="+mn-ea"/>
              <a:cs typeface="+mn-cs"/>
            </a:rPr>
            <a:t>2. Velikost části analyzovaného trhu 515,23 mil. m</a:t>
          </a:r>
          <a:r>
            <a:rPr lang="cs-CZ" sz="1100" i="1" baseline="30000">
              <a:solidFill>
                <a:schemeClr val="accent2">
                  <a:lumMod val="50000"/>
                </a:schemeClr>
              </a:solidFill>
              <a:effectLst/>
              <a:latin typeface="Calibri"/>
              <a:ea typeface="+mn-ea"/>
              <a:cs typeface="+mn-cs"/>
            </a:rPr>
            <a:t>3 </a:t>
          </a:r>
          <a:r>
            <a:rPr lang="cs-CZ" sz="1100" i="1" baseline="0">
              <a:solidFill>
                <a:schemeClr val="accent2">
                  <a:lumMod val="50000"/>
                </a:schemeClr>
              </a:solidFill>
              <a:effectLst/>
              <a:latin typeface="Calibri"/>
              <a:ea typeface="+mn-ea"/>
              <a:cs typeface="+mn-cs"/>
            </a:rPr>
            <a:t>(97,3 % podíl trhu)</a:t>
          </a:r>
          <a:endParaRPr lang="cs-CZ">
            <a:solidFill>
              <a:schemeClr val="accent2">
                <a:lumMod val="50000"/>
              </a:schemeClr>
            </a:solidFill>
            <a:effectLst/>
          </a:endParaRPr>
        </a:p>
      </cdr:txBody>
    </cdr:sp>
  </cdr:relSizeAnchor>
  <cdr:relSizeAnchor xmlns:cdr="http://schemas.openxmlformats.org/drawingml/2006/chartDrawing">
    <cdr:from>
      <cdr:x>0.95509</cdr:x>
      <cdr:y>0.33168</cdr:y>
    </cdr:from>
    <cdr:to>
      <cdr:x>0.99207</cdr:x>
      <cdr:y>0.48995</cdr:y>
    </cdr:to>
    <cdr:sp macro="" textlink="">
      <cdr:nvSpPr>
        <cdr:cNvPr id="7" name="TextovéPole 2"/>
        <cdr:cNvSpPr txBox="1"/>
      </cdr:nvSpPr>
      <cdr:spPr>
        <a:xfrm xmlns:a="http://schemas.openxmlformats.org/drawingml/2006/main" rot="16200000">
          <a:off x="5482026" y="3252181"/>
          <a:ext cx="1297776" cy="232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1100" b="1" i="0">
              <a:solidFill>
                <a:schemeClr val="accent2">
                  <a:lumMod val="50000"/>
                </a:schemeClr>
              </a:solidFill>
            </a:rPr>
            <a:t>ČETNOST VÝSKYTŮ</a:t>
          </a:r>
          <a:endParaRPr lang="cs-CZ" sz="1100" b="1" i="0" baseline="30000">
            <a:solidFill>
              <a:schemeClr val="accent2">
                <a:lumMod val="50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D041-7196-4CBB-9082-E09BE3CF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90</Pages>
  <Words>23654</Words>
  <Characters>139562</Characters>
  <Application>Microsoft Office Word</Application>
  <DocSecurity>0</DocSecurity>
  <Lines>1163</Lines>
  <Paragraphs>325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Želmíra</dc:creator>
  <cp:keywords/>
  <dc:description/>
  <cp:lastModifiedBy>Macková Želmíra</cp:lastModifiedBy>
  <cp:revision>29</cp:revision>
  <cp:lastPrinted>2020-09-30T06:45:00Z</cp:lastPrinted>
  <dcterms:created xsi:type="dcterms:W3CDTF">2020-03-03T16:19:00Z</dcterms:created>
  <dcterms:modified xsi:type="dcterms:W3CDTF">2020-09-30T06:46:00Z</dcterms:modified>
</cp:coreProperties>
</file>