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851"/>
        <w:gridCol w:w="286"/>
      </w:tblGrid>
      <w:tr w:rsidR="00120728" w:rsidTr="00D448B3">
        <w:trPr>
          <w:trHeight w:val="354"/>
        </w:trPr>
        <w:tc>
          <w:tcPr>
            <w:tcW w:w="10279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D448B3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13178A">
              <w:rPr>
                <w:b/>
                <w:sz w:val="28"/>
              </w:rPr>
              <w:t xml:space="preserve">ní karta    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   </w:t>
            </w:r>
            <w:r w:rsidR="00CE46B3">
              <w:rPr>
                <w:b/>
                <w:sz w:val="28"/>
              </w:rPr>
              <w:t xml:space="preserve">  </w:t>
            </w:r>
            <w:r w:rsidR="00DC6137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</w:t>
            </w:r>
            <w:r w:rsidR="00D448B3">
              <w:rPr>
                <w:b/>
                <w:sz w:val="28"/>
              </w:rPr>
              <w:t>ÚNOR</w:t>
            </w:r>
            <w:r w:rsidR="00DC613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201</w:t>
            </w:r>
            <w:r w:rsidR="00CE46B3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      </w:t>
            </w:r>
            <w:r w:rsidR="00CE46B3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   MLÉKO a mlékárenské výrobky</w:t>
            </w:r>
          </w:p>
        </w:tc>
      </w:tr>
      <w:tr w:rsidR="00120728" w:rsidTr="00D44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79" w:type="dxa"/>
            <w:gridSpan w:val="10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D448B3" w:rsidRPr="009A018E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9A018E" w:rsidRDefault="00D448B3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2011/10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422,9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98,8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6 370,4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2 694,4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2 612,1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99,9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198"/>
        </w:trPr>
        <w:tc>
          <w:tcPr>
            <w:tcW w:w="3189" w:type="dxa"/>
          </w:tcPr>
          <w:p w:rsidR="00D448B3" w:rsidRPr="00043863" w:rsidRDefault="00D448B3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2C020B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66,3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2 329,7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701,3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100,5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3 097,3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2 190,7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97,3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850,9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55,7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103,4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109,5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D448B3" w:rsidRPr="009E7303" w:rsidRDefault="00D448B3" w:rsidP="00A00766">
      <w:pPr>
        <w:ind w:left="705"/>
        <w:rPr>
          <w:i/>
          <w:sz w:val="16"/>
          <w:szCs w:val="16"/>
        </w:rPr>
      </w:pP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50"/>
        <w:gridCol w:w="643"/>
      </w:tblGrid>
      <w:tr w:rsidR="001B15CB" w:rsidRPr="00B43AF0" w:rsidTr="00670801">
        <w:trPr>
          <w:trHeight w:val="384"/>
        </w:trPr>
        <w:tc>
          <w:tcPr>
            <w:tcW w:w="10321" w:type="dxa"/>
            <w:gridSpan w:val="14"/>
            <w:shd w:val="clear" w:color="auto" w:fill="B8CCE4"/>
          </w:tcPr>
          <w:p w:rsidR="001B15CB" w:rsidRPr="00B43AF0" w:rsidRDefault="001B15CB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 w:rsidR="00CF7B2B"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tcBorders>
              <w:top w:val="double" w:sz="4" w:space="0" w:color="auto"/>
              <w:right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02" w:type="dxa"/>
            <w:tcBorders>
              <w:top w:val="double" w:sz="4" w:space="0" w:color="auto"/>
              <w:left w:val="nil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1B15CB" w:rsidRPr="00120728" w:rsidRDefault="001B15CB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643" w:type="dxa"/>
            <w:tcBorders>
              <w:top w:val="double" w:sz="4" w:space="0" w:color="auto"/>
            </w:tcBorders>
          </w:tcPr>
          <w:p w:rsidR="001B15CB" w:rsidRPr="001B15CB" w:rsidRDefault="001B15CB" w:rsidP="00D70536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D42FE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A70D6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43" w:type="dxa"/>
            <w:shd w:val="clear" w:color="auto" w:fill="FBD4B4"/>
          </w:tcPr>
          <w:p w:rsidR="001B15CB" w:rsidRDefault="00CF7B2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Pr="009E7303" w:rsidRDefault="001B15CB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*) odhad</w:t>
      </w:r>
    </w:p>
    <w:p w:rsidR="000C0488" w:rsidRDefault="00103784" w:rsidP="000B309D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433090" cy="3131959"/>
            <wp:effectExtent l="13122" t="4941" r="7928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7303" w:rsidRDefault="009E7303" w:rsidP="000B309D">
      <w:pPr>
        <w:rPr>
          <w:i/>
          <w:sz w:val="18"/>
          <w:szCs w:val="18"/>
        </w:rPr>
      </w:pPr>
    </w:p>
    <w:p w:rsidR="00D448B3" w:rsidRDefault="00D448B3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D448B3" w:rsidRDefault="00D448B3" w:rsidP="000B309D">
      <w:pPr>
        <w:rPr>
          <w:i/>
          <w:sz w:val="18"/>
          <w:szCs w:val="18"/>
        </w:rPr>
      </w:pPr>
    </w:p>
    <w:p w:rsidR="000B309D" w:rsidRPr="00B85074" w:rsidRDefault="0070439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5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13"/>
        <w:gridCol w:w="1174"/>
        <w:gridCol w:w="971"/>
        <w:gridCol w:w="1248"/>
        <w:gridCol w:w="1231"/>
        <w:gridCol w:w="992"/>
        <w:gridCol w:w="1276"/>
        <w:gridCol w:w="850"/>
        <w:gridCol w:w="709"/>
        <w:gridCol w:w="1108"/>
      </w:tblGrid>
      <w:tr w:rsidR="000B309D" w:rsidRPr="005A0163" w:rsidTr="00F4185E">
        <w:trPr>
          <w:trHeight w:val="239"/>
        </w:trPr>
        <w:tc>
          <w:tcPr>
            <w:tcW w:w="1013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93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499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2667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10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F4185E">
        <w:trPr>
          <w:trHeight w:val="266"/>
        </w:trPr>
        <w:tc>
          <w:tcPr>
            <w:tcW w:w="1013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71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4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31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709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10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Leden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212 946 191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542 2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213 488 48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226 321 774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547 401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B130CC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226 869 175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+ 6,3</w:t>
            </w: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Únor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196 768 232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553 486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197 321 718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Březen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222 859 103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635 628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223 494 731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Duben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220 259 308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632 576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220 891 884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672F03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672F03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672F03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672F03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672F03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672F03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Květen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229 597 445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623 947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230 221 392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6712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6712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6712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222 556 641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592 631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223 149 272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Červenec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230 954 393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546 464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231 500 857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Srpen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224 279 064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567 405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224 846 469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Září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213 821 231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567 817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214 389 048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Říjen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214 959 169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580 726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215 539 895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737668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737668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Listopad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206 669 360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577 901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207 247 261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Prosinec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219 357 518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524 038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219 881 556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F4185E" w:rsidTr="00F4185E">
        <w:trPr>
          <w:trHeight w:val="239"/>
        </w:trPr>
        <w:tc>
          <w:tcPr>
            <w:tcW w:w="1013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174" w:type="dxa"/>
            <w:shd w:val="clear" w:color="auto" w:fill="B8CCE4" w:themeFill="accent1" w:themeFillTint="66"/>
            <w:vAlign w:val="center"/>
          </w:tcPr>
          <w:p w:rsidR="00AC0CD4" w:rsidRPr="00F4185E" w:rsidRDefault="00AC0CD4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2 615 027 655</w:t>
            </w:r>
          </w:p>
        </w:tc>
        <w:tc>
          <w:tcPr>
            <w:tcW w:w="971" w:type="dxa"/>
            <w:shd w:val="clear" w:color="auto" w:fill="B8CCE4" w:themeFill="accent1" w:themeFillTint="66"/>
            <w:vAlign w:val="center"/>
          </w:tcPr>
          <w:p w:rsidR="00AC0CD4" w:rsidRPr="00F4185E" w:rsidRDefault="00AC0CD4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6 944 908</w:t>
            </w:r>
          </w:p>
        </w:tc>
        <w:tc>
          <w:tcPr>
            <w:tcW w:w="1248" w:type="dxa"/>
            <w:shd w:val="clear" w:color="auto" w:fill="B8CCE4" w:themeFill="accent1" w:themeFillTint="66"/>
            <w:vAlign w:val="center"/>
          </w:tcPr>
          <w:p w:rsidR="00AC0CD4" w:rsidRPr="00F4185E" w:rsidRDefault="00AC0CD4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2 621 972 563</w:t>
            </w:r>
          </w:p>
        </w:tc>
        <w:tc>
          <w:tcPr>
            <w:tcW w:w="1231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2001 – předběžný údaj</w:t>
      </w:r>
    </w:p>
    <w:p w:rsidR="00E32833" w:rsidRPr="0006023F" w:rsidRDefault="0006023F" w:rsidP="000B309D">
      <w:pPr>
        <w:rPr>
          <w:b/>
          <w:i/>
          <w:sz w:val="16"/>
          <w:szCs w:val="16"/>
        </w:rPr>
      </w:pPr>
      <w:r w:rsidRPr="0006023F">
        <w:rPr>
          <w:b/>
          <w:i/>
          <w:sz w:val="16"/>
          <w:szCs w:val="16"/>
        </w:rPr>
        <w:t xml:space="preserve">Za </w:t>
      </w:r>
      <w:r w:rsidR="0047597F">
        <w:rPr>
          <w:b/>
          <w:i/>
          <w:sz w:val="16"/>
          <w:szCs w:val="16"/>
        </w:rPr>
        <w:t>1</w:t>
      </w:r>
      <w:r w:rsidR="00F4185E">
        <w:rPr>
          <w:b/>
          <w:i/>
          <w:sz w:val="16"/>
          <w:szCs w:val="16"/>
        </w:rPr>
        <w:t>2</w:t>
      </w:r>
      <w:r w:rsidR="00452675">
        <w:rPr>
          <w:b/>
          <w:i/>
          <w:sz w:val="16"/>
          <w:szCs w:val="16"/>
        </w:rPr>
        <w:t xml:space="preserve"> </w:t>
      </w:r>
      <w:r w:rsidRPr="0006023F">
        <w:rPr>
          <w:b/>
          <w:i/>
          <w:sz w:val="16"/>
          <w:szCs w:val="16"/>
        </w:rPr>
        <w:t xml:space="preserve">měsíců r. 2011 dodávky a přímý prodej mléka představovaly objem </w:t>
      </w:r>
      <w:r w:rsidR="00F4185E">
        <w:rPr>
          <w:b/>
          <w:i/>
          <w:sz w:val="16"/>
          <w:szCs w:val="16"/>
        </w:rPr>
        <w:t>2 621 972 563</w:t>
      </w:r>
      <w:r w:rsidRPr="0006023F">
        <w:rPr>
          <w:b/>
          <w:i/>
          <w:sz w:val="16"/>
          <w:szCs w:val="16"/>
        </w:rPr>
        <w:t xml:space="preserve"> kg, tj. o </w:t>
      </w:r>
      <w:r w:rsidR="00301D61">
        <w:rPr>
          <w:b/>
          <w:i/>
          <w:sz w:val="16"/>
          <w:szCs w:val="16"/>
        </w:rPr>
        <w:t>1,</w:t>
      </w:r>
      <w:r w:rsidR="00F4185E">
        <w:rPr>
          <w:b/>
          <w:i/>
          <w:sz w:val="16"/>
          <w:szCs w:val="16"/>
        </w:rPr>
        <w:t>8</w:t>
      </w:r>
      <w:r w:rsidRPr="0006023F">
        <w:rPr>
          <w:b/>
          <w:i/>
          <w:sz w:val="16"/>
          <w:szCs w:val="16"/>
        </w:rPr>
        <w:t xml:space="preserve"> % více než za stejné období r. 2010</w:t>
      </w: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5811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854"/>
        <w:gridCol w:w="1316"/>
        <w:gridCol w:w="1396"/>
        <w:gridCol w:w="1705"/>
        <w:gridCol w:w="2130"/>
      </w:tblGrid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7B397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7B3970">
              <w:rPr>
                <w:b/>
                <w:sz w:val="20"/>
              </w:rPr>
              <w:t>1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7B397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7B3970">
              <w:rPr>
                <w:b/>
                <w:sz w:val="20"/>
              </w:rPr>
              <w:t>2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2011/2010</w:t>
            </w:r>
          </w:p>
        </w:tc>
      </w:tr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682355" w:rsidRPr="00F017D7" w:rsidRDefault="00D967DC" w:rsidP="00D9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D967DC" w:rsidP="00D832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</w:p>
        </w:tc>
        <w:tc>
          <w:tcPr>
            <w:tcW w:w="1705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9A71BE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186 607,0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201 563,0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14 956,0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108,0</w:t>
            </w:r>
          </w:p>
        </w:tc>
      </w:tr>
      <w:tr w:rsidR="009A71BE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184 526,0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199 669,0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15 143,0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108,2</w:t>
            </w:r>
          </w:p>
        </w:tc>
      </w:tr>
      <w:tr w:rsidR="009A71BE" w:rsidRPr="00F017D7" w:rsidTr="00682355">
        <w:trPr>
          <w:trHeight w:val="212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9 305,0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21 529,0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12 224,0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231,4</w:t>
            </w:r>
          </w:p>
        </w:tc>
      </w:tr>
      <w:tr w:rsidR="009A71BE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4,04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3,96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-0,1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98,0</w:t>
            </w:r>
          </w:p>
        </w:tc>
      </w:tr>
      <w:tr w:rsidR="009A71BE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3,45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100,6</w:t>
            </w:r>
          </w:p>
        </w:tc>
      </w:tr>
      <w:tr w:rsidR="009A71BE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8,08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103,3</w:t>
            </w:r>
          </w:p>
        </w:tc>
      </w:tr>
      <w:tr w:rsidR="009A71BE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8,10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103,2</w:t>
            </w:r>
          </w:p>
        </w:tc>
      </w:tr>
      <w:tr w:rsidR="009A71BE" w:rsidRPr="00F017D7" w:rsidTr="00682355">
        <w:trPr>
          <w:trHeight w:val="256"/>
        </w:trPr>
        <w:tc>
          <w:tcPr>
            <w:tcW w:w="10578" w:type="dxa"/>
            <w:gridSpan w:val="6"/>
            <w:shd w:val="clear" w:color="auto" w:fill="auto"/>
          </w:tcPr>
          <w:p w:rsidR="009A71BE" w:rsidRPr="00F017D7" w:rsidRDefault="009A71BE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9A71BE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F017D7" w:rsidRDefault="009A71BE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shd w:val="clear" w:color="auto" w:fill="FDE9D9"/>
          </w:tcPr>
          <w:p w:rsidR="009A71BE" w:rsidRPr="00F017D7" w:rsidRDefault="009A71BE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53 711,6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52 998,3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-713,3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98,7</w:t>
            </w:r>
          </w:p>
        </w:tc>
      </w:tr>
      <w:tr w:rsidR="009A71BE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shd w:val="clear" w:color="auto" w:fill="auto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8 709,9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8 486,4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-223,5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97,4</w:t>
            </w:r>
          </w:p>
        </w:tc>
      </w:tr>
      <w:tr w:rsidR="009A71BE" w:rsidRPr="00F017D7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9A71BE" w:rsidRPr="00F017D7" w:rsidRDefault="009A71BE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shd w:val="clear" w:color="auto" w:fill="auto"/>
          </w:tcPr>
          <w:p w:rsidR="009A71BE" w:rsidRPr="00F017D7" w:rsidRDefault="009A71BE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44 868,4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44 398,4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-470,0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99,0</w:t>
            </w:r>
          </w:p>
        </w:tc>
      </w:tr>
      <w:tr w:rsidR="009A71BE" w:rsidRPr="00CF7A31" w:rsidTr="006822A0">
        <w:trPr>
          <w:trHeight w:val="256"/>
        </w:trPr>
        <w:tc>
          <w:tcPr>
            <w:tcW w:w="3177" w:type="dxa"/>
            <w:shd w:val="clear" w:color="auto" w:fill="auto"/>
          </w:tcPr>
          <w:p w:rsidR="009A71BE" w:rsidRPr="006822A0" w:rsidRDefault="009A71BE" w:rsidP="00682355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shd w:val="clear" w:color="auto" w:fill="auto"/>
          </w:tcPr>
          <w:p w:rsidR="009A71BE" w:rsidRPr="006822A0" w:rsidRDefault="009A71BE" w:rsidP="00682355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133,3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113,5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-19,8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85,1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3 633,7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3 746,1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112,4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103,1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CF7A31">
              <w:rPr>
                <w:sz w:val="20"/>
              </w:rPr>
              <w:t>- kysané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1 285,4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1 186,8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-98,6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92,3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-- smetany s obs. tuku nejm. 30 %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1 355,7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1 547,0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191,3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114,1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11 672,8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11 866,1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193,3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101,7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4 485,3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4 221,1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-264,2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94,1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1 979,8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1 662,7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-317,1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84,0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2 505,5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2 558,4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52,9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102,1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3 028,7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3 187,2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158,5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105,2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2 280,6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2 512,7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232,1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110,2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7 586,3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7 712,5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126,2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101,7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6 427,7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6 396,3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-31,4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99,5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1 158,6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1 316,2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157,6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113,6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1 086,0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1 162,6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76,6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107,1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442,7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375,3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-67,4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84,8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909,2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990,1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80,9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108,9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CF7A31" w:rsidRDefault="009A71BE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shd w:val="clear" w:color="auto" w:fill="FDE9D9"/>
          </w:tcPr>
          <w:p w:rsidR="009A71BE" w:rsidRPr="00CF7A31" w:rsidRDefault="009A71BE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2 038,2</w:t>
            </w:r>
          </w:p>
        </w:tc>
        <w:tc>
          <w:tcPr>
            <w:tcW w:w="1396" w:type="dxa"/>
            <w:shd w:val="clear" w:color="auto" w:fill="FDE9D9"/>
          </w:tcPr>
          <w:p w:rsidR="009A71BE" w:rsidRDefault="007B39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2 573,2</w:t>
            </w:r>
          </w:p>
        </w:tc>
        <w:tc>
          <w:tcPr>
            <w:tcW w:w="1705" w:type="dxa"/>
            <w:shd w:val="clear" w:color="auto" w:fill="FDE9D9"/>
          </w:tcPr>
          <w:p w:rsidR="009A71BE" w:rsidRDefault="007B39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535,0</w:t>
            </w:r>
          </w:p>
        </w:tc>
        <w:tc>
          <w:tcPr>
            <w:tcW w:w="2130" w:type="dxa"/>
            <w:shd w:val="clear" w:color="auto" w:fill="FDE9D9"/>
          </w:tcPr>
          <w:p w:rsidR="009A71BE" w:rsidRDefault="00B456D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126,2</w:t>
            </w:r>
          </w:p>
        </w:tc>
      </w:tr>
      <w:tr w:rsidR="009A71BE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odstředěné mléko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821,8</w:t>
            </w:r>
          </w:p>
        </w:tc>
        <w:tc>
          <w:tcPr>
            <w:tcW w:w="139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1 565,0</w:t>
            </w:r>
          </w:p>
        </w:tc>
        <w:tc>
          <w:tcPr>
            <w:tcW w:w="1705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743,2</w:t>
            </w:r>
          </w:p>
        </w:tc>
        <w:tc>
          <w:tcPr>
            <w:tcW w:w="2130" w:type="dxa"/>
            <w:shd w:val="clear" w:color="auto" w:fill="auto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190,4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9A71BE" w:rsidRPr="00CF7A31" w:rsidRDefault="009A71BE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shd w:val="clear" w:color="auto" w:fill="auto"/>
          </w:tcPr>
          <w:p w:rsidR="009A71BE" w:rsidRPr="00CF7A31" w:rsidRDefault="009A71BE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9A71BE" w:rsidRDefault="009A71B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1 216,4</w:t>
            </w:r>
          </w:p>
        </w:tc>
        <w:tc>
          <w:tcPr>
            <w:tcW w:w="1396" w:type="dxa"/>
            <w:shd w:val="clear" w:color="auto" w:fill="auto"/>
          </w:tcPr>
          <w:p w:rsidR="009A71BE" w:rsidRDefault="007B397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1 008,2</w:t>
            </w:r>
          </w:p>
        </w:tc>
        <w:tc>
          <w:tcPr>
            <w:tcW w:w="1705" w:type="dxa"/>
            <w:shd w:val="clear" w:color="auto" w:fill="auto"/>
          </w:tcPr>
          <w:p w:rsidR="009A71BE" w:rsidRDefault="00B456D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-208,2</w:t>
            </w:r>
          </w:p>
        </w:tc>
        <w:tc>
          <w:tcPr>
            <w:tcW w:w="2130" w:type="dxa"/>
            <w:shd w:val="clear" w:color="auto" w:fill="auto"/>
          </w:tcPr>
          <w:p w:rsidR="009A71BE" w:rsidRDefault="00B456D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82,9</w:t>
            </w:r>
          </w:p>
        </w:tc>
      </w:tr>
      <w:tr w:rsidR="009A71BE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9A71BE" w:rsidRPr="003F4FB3" w:rsidRDefault="009A71BE" w:rsidP="00682355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shd w:val="clear" w:color="auto" w:fill="FDE9D9"/>
          </w:tcPr>
          <w:p w:rsidR="009A71BE" w:rsidRPr="003F4FB3" w:rsidRDefault="009A71BE" w:rsidP="00682355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1 175,9</w:t>
            </w:r>
          </w:p>
        </w:tc>
        <w:tc>
          <w:tcPr>
            <w:tcW w:w="1396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1 127,0</w:t>
            </w:r>
          </w:p>
        </w:tc>
        <w:tc>
          <w:tcPr>
            <w:tcW w:w="1705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-48,9</w:t>
            </w:r>
          </w:p>
        </w:tc>
        <w:tc>
          <w:tcPr>
            <w:tcW w:w="2130" w:type="dxa"/>
            <w:shd w:val="clear" w:color="auto" w:fill="FDE9D9"/>
          </w:tcPr>
          <w:p w:rsidR="009A71BE" w:rsidRDefault="009A71B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95,8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9574AB" w:rsidRDefault="009574AB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545BBD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545BBD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B21B4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545BBD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3 892</w:t>
            </w:r>
            <w:r w:rsidR="00D82A2F">
              <w:rPr>
                <w:sz w:val="20"/>
              </w:rPr>
              <w:t xml:space="preserve"> </w:t>
            </w:r>
          </w:p>
        </w:tc>
      </w:tr>
      <w:tr w:rsidR="00545BBD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B21B4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3 892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545BBD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545BBD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B21B4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>Ceny zemědělských výrobců  (CZV) mléka kravského I. tř. j.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545BB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513E3A" w:rsidP="009A018E">
            <w:pPr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 w:rsidR="00545BBD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B21B41" w:rsidP="009A018E">
            <w:pPr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86576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435AEB" w:rsidRDefault="00435AEB" w:rsidP="009A018E">
      <w:pPr>
        <w:rPr>
          <w:b/>
        </w:rPr>
      </w:pP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3"/>
        <w:gridCol w:w="1254"/>
        <w:gridCol w:w="969"/>
        <w:gridCol w:w="950"/>
        <w:gridCol w:w="969"/>
        <w:gridCol w:w="1154"/>
        <w:gridCol w:w="1435"/>
      </w:tblGrid>
      <w:tr w:rsidR="00CD7824" w:rsidRPr="009A018E" w:rsidTr="00EB48F4">
        <w:trPr>
          <w:trHeight w:val="250"/>
        </w:trPr>
        <w:tc>
          <w:tcPr>
            <w:tcW w:w="358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3C0B6C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50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3C0B6C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545BBD" w:rsidRPr="00374857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89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EB48F4">
        <w:trPr>
          <w:trHeight w:val="169"/>
        </w:trPr>
        <w:tc>
          <w:tcPr>
            <w:tcW w:w="3583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50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4" w:type="dxa"/>
            <w:shd w:val="clear" w:color="auto" w:fill="B8CCE4"/>
          </w:tcPr>
          <w:p w:rsidR="00CD7824" w:rsidRPr="00374857" w:rsidRDefault="00545BBD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35" w:type="dxa"/>
            <w:shd w:val="clear" w:color="auto" w:fill="B8CCE4"/>
          </w:tcPr>
          <w:p w:rsidR="00CD7824" w:rsidRPr="00374857" w:rsidRDefault="00545BBD" w:rsidP="00545BBD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Leden 2012 </w:t>
            </w:r>
            <w:r w:rsidR="00CD7824" w:rsidRPr="00374857">
              <w:rPr>
                <w:b/>
                <w:sz w:val="20"/>
                <w:szCs w:val="18"/>
              </w:rPr>
              <w:t>/</w:t>
            </w:r>
            <w:r>
              <w:rPr>
                <w:b/>
                <w:sz w:val="20"/>
                <w:szCs w:val="18"/>
              </w:rPr>
              <w:t>prosin</w:t>
            </w:r>
            <w:r w:rsidR="00CD7824" w:rsidRPr="00374857">
              <w:rPr>
                <w:b/>
                <w:sz w:val="20"/>
                <w:szCs w:val="18"/>
              </w:rPr>
              <w:t xml:space="preserve"> 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EB48F4" w:rsidRPr="009A018E" w:rsidTr="00EB48F4">
        <w:trPr>
          <w:trHeight w:val="229"/>
        </w:trPr>
        <w:tc>
          <w:tcPr>
            <w:tcW w:w="3583" w:type="dxa"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8,10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8,39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103,21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99,64</w:t>
            </w:r>
          </w:p>
        </w:tc>
      </w:tr>
      <w:tr w:rsidR="00EB48F4" w:rsidRPr="009A018E" w:rsidTr="00374857">
        <w:trPr>
          <w:trHeight w:val="247"/>
        </w:trPr>
        <w:tc>
          <w:tcPr>
            <w:tcW w:w="10314" w:type="dxa"/>
            <w:gridSpan w:val="7"/>
          </w:tcPr>
          <w:p w:rsidR="00EB48F4" w:rsidRPr="00C03B3A" w:rsidRDefault="00EB48F4" w:rsidP="009A018E">
            <w:pPr>
              <w:rPr>
                <w:b/>
                <w:sz w:val="20"/>
                <w:szCs w:val="22"/>
              </w:rPr>
            </w:pPr>
          </w:p>
        </w:tc>
      </w:tr>
      <w:tr w:rsidR="00EB48F4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10,29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10,07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101,17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103,38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15,60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17,11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17,20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110,26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100,53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51,60</w:t>
            </w:r>
          </w:p>
        </w:tc>
        <w:tc>
          <w:tcPr>
            <w:tcW w:w="950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69,91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1154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B48F4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EB48F4" w:rsidRPr="00374857" w:rsidRDefault="00EB48F4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10,83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11,55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111,27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104,33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16,67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18,45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113,98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102,98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53,92</w:t>
            </w:r>
          </w:p>
        </w:tc>
        <w:tc>
          <w:tcPr>
            <w:tcW w:w="950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59,74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1154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B48F4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98,34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105,71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104,14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96,88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133,64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143,61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108,84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101,29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35,90</w:t>
            </w:r>
          </w:p>
        </w:tc>
        <w:tc>
          <w:tcPr>
            <w:tcW w:w="950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35,85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1154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B48F4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89,10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89,04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106,05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106,12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121,03</w:t>
            </w:r>
          </w:p>
        </w:tc>
        <w:tc>
          <w:tcPr>
            <w:tcW w:w="950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124,97</w:t>
            </w:r>
          </w:p>
        </w:tc>
        <w:tc>
          <w:tcPr>
            <w:tcW w:w="969" w:type="dxa"/>
          </w:tcPr>
          <w:p w:rsidR="00EB48F4" w:rsidRDefault="00EB48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1154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104,57</w:t>
            </w:r>
          </w:p>
        </w:tc>
        <w:tc>
          <w:tcPr>
            <w:tcW w:w="1435" w:type="dxa"/>
            <w:shd w:val="clear" w:color="auto" w:fill="FBD4B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101,27</w:t>
            </w:r>
          </w:p>
        </w:tc>
      </w:tr>
      <w:tr w:rsidR="00EB48F4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B48F4" w:rsidRPr="00374857" w:rsidRDefault="00EB48F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35,84</w:t>
            </w:r>
          </w:p>
        </w:tc>
        <w:tc>
          <w:tcPr>
            <w:tcW w:w="950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40,35</w:t>
            </w:r>
          </w:p>
        </w:tc>
        <w:tc>
          <w:tcPr>
            <w:tcW w:w="969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1154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B48F4" w:rsidRDefault="00EB48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r w:rsidRPr="0098477D">
        <w:rPr>
          <w:i/>
          <w:sz w:val="18"/>
          <w:szCs w:val="18"/>
        </w:rPr>
        <w:lastRenderedPageBreak/>
        <w:t>Pramen: Rezortní statistika Mlék (MZe) 6-12, ČSÚ</w:t>
      </w:r>
      <w:r w:rsidR="002056B1">
        <w:rPr>
          <w:i/>
          <w:sz w:val="18"/>
          <w:szCs w:val="18"/>
        </w:rPr>
        <w:t xml:space="preserve"> </w:t>
      </w:r>
    </w:p>
    <w:p w:rsidR="004151D2" w:rsidRPr="009A018E" w:rsidRDefault="004151D2" w:rsidP="009A018E">
      <w:pPr>
        <w:sectPr w:rsidR="004151D2" w:rsidRPr="009A018E" w:rsidSect="00684B04">
          <w:type w:val="continuous"/>
          <w:pgSz w:w="11906" w:h="16838"/>
          <w:pgMar w:top="1418" w:right="851" w:bottom="1418" w:left="851" w:header="709" w:footer="709" w:gutter="0"/>
          <w:cols w:space="708"/>
        </w:sectPr>
      </w:pPr>
    </w:p>
    <w:p w:rsidR="00CD7824" w:rsidRPr="009A018E" w:rsidRDefault="00CD7824" w:rsidP="004151D2">
      <w:pPr>
        <w:ind w:left="284" w:hanging="284"/>
      </w:pPr>
    </w:p>
    <w:p w:rsidR="00CD7824" w:rsidRDefault="00CD7824" w:rsidP="009A018E"/>
    <w:p w:rsidR="008477C0" w:rsidRDefault="008477C0" w:rsidP="009A018E"/>
    <w:p w:rsidR="00C36F52" w:rsidRDefault="00C36F52" w:rsidP="009A018E"/>
    <w:p w:rsidR="00AC0CD4" w:rsidRDefault="00AC0CD4" w:rsidP="009A018E"/>
    <w:p w:rsidR="00AC0CD4" w:rsidRDefault="00AC0CD4" w:rsidP="009A018E"/>
    <w:p w:rsidR="00AC0CD4" w:rsidRDefault="00AC0CD4" w:rsidP="009A018E">
      <w:r w:rsidRPr="00AC0CD4">
        <w:rPr>
          <w:noProof/>
        </w:rPr>
        <w:lastRenderedPageBreak/>
        <w:drawing>
          <wp:inline distT="0" distB="0" distL="0" distR="0">
            <wp:extent cx="3314700" cy="2466975"/>
            <wp:effectExtent l="19050" t="0" r="19050" b="0"/>
            <wp:docPr id="7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6F52" w:rsidRDefault="00AC0CD4" w:rsidP="009A018E">
      <w:r w:rsidRPr="00AC0CD4">
        <w:rPr>
          <w:noProof/>
        </w:rPr>
        <w:lastRenderedPageBreak/>
        <w:drawing>
          <wp:inline distT="0" distB="0" distL="0" distR="0">
            <wp:extent cx="3261995" cy="2466975"/>
            <wp:effectExtent l="19050" t="0" r="14605" b="0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6060" w:rsidRDefault="00BF6060" w:rsidP="009A018E"/>
    <w:p w:rsidR="008477C0" w:rsidRDefault="008477C0" w:rsidP="009A018E"/>
    <w:p w:rsidR="000254E0" w:rsidRDefault="000254E0" w:rsidP="009A018E"/>
    <w:p w:rsidR="00CD7824" w:rsidRPr="009A018E" w:rsidRDefault="00CD7824" w:rsidP="009A018E">
      <w:pPr>
        <w:sectPr w:rsidR="00CD7824" w:rsidRPr="009A018E" w:rsidSect="00457CC5">
          <w:type w:val="continuous"/>
          <w:pgSz w:w="11906" w:h="16838"/>
          <w:pgMar w:top="1418" w:right="567" w:bottom="1418" w:left="567" w:header="709" w:footer="709" w:gutter="0"/>
          <w:cols w:num="2" w:space="708" w:equalWidth="0">
            <w:col w:w="5032" w:space="708"/>
            <w:col w:w="5032"/>
          </w:cols>
        </w:sectPr>
      </w:pPr>
    </w:p>
    <w:p w:rsidR="00BF749F" w:rsidRPr="007B426C" w:rsidRDefault="00BF749F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 w:rsidRPr="007B426C">
        <w:rPr>
          <w:b/>
        </w:rPr>
        <w:lastRenderedPageBreak/>
        <w:t xml:space="preserve">Zahraniční obchod </w:t>
      </w:r>
      <w:r w:rsidR="00AC0CD4">
        <w:rPr>
          <w:b/>
        </w:rPr>
        <w:t xml:space="preserve">- </w:t>
      </w:r>
      <w:r>
        <w:rPr>
          <w:b/>
        </w:rPr>
        <w:t>leden 20</w:t>
      </w:r>
      <w:r w:rsidR="0085644D">
        <w:rPr>
          <w:b/>
        </w:rPr>
        <w:t>1</w:t>
      </w:r>
      <w:r w:rsidR="00AC0CD4">
        <w:rPr>
          <w:b/>
        </w:rPr>
        <w:t>1</w:t>
      </w:r>
      <w:r>
        <w:rPr>
          <w:b/>
        </w:rPr>
        <w:t xml:space="preserve"> a 201</w:t>
      </w:r>
      <w:r w:rsidR="00AC0CD4">
        <w:rPr>
          <w:b/>
        </w:rPr>
        <w:t>2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6B4B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 xml:space="preserve">Leden - </w:t>
            </w:r>
            <w:r w:rsidR="006B4B37">
              <w:rPr>
                <w:b/>
                <w:sz w:val="20"/>
              </w:rPr>
              <w:t>prosinec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A47E37"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1 129 249,4</w:t>
            </w:r>
          </w:p>
        </w:tc>
        <w:tc>
          <w:tcPr>
            <w:tcW w:w="1768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1 335 010,8</w:t>
            </w:r>
          </w:p>
        </w:tc>
        <w:tc>
          <w:tcPr>
            <w:tcW w:w="1769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+ 205 761,4</w:t>
            </w:r>
          </w:p>
        </w:tc>
        <w:tc>
          <w:tcPr>
            <w:tcW w:w="1569" w:type="dxa"/>
            <w:vAlign w:val="center"/>
          </w:tcPr>
          <w:p w:rsidR="00BF749F" w:rsidRPr="007D3526" w:rsidRDefault="002E6002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118,2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768 201,3</w:t>
            </w:r>
          </w:p>
        </w:tc>
        <w:tc>
          <w:tcPr>
            <w:tcW w:w="1768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700 788,5</w:t>
            </w:r>
          </w:p>
        </w:tc>
        <w:tc>
          <w:tcPr>
            <w:tcW w:w="1769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- 67 412,8</w:t>
            </w:r>
          </w:p>
        </w:tc>
        <w:tc>
          <w:tcPr>
            <w:tcW w:w="1569" w:type="dxa"/>
            <w:vAlign w:val="center"/>
          </w:tcPr>
          <w:p w:rsidR="00BF749F" w:rsidRPr="007D3526" w:rsidRDefault="002E6002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91,2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361 048,1</w:t>
            </w:r>
          </w:p>
        </w:tc>
        <w:tc>
          <w:tcPr>
            <w:tcW w:w="1768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634 222,3</w:t>
            </w:r>
          </w:p>
        </w:tc>
        <w:tc>
          <w:tcPr>
            <w:tcW w:w="1769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+ 273 174,2</w:t>
            </w:r>
          </w:p>
        </w:tc>
        <w:tc>
          <w:tcPr>
            <w:tcW w:w="1569" w:type="dxa"/>
            <w:vAlign w:val="center"/>
          </w:tcPr>
          <w:p w:rsidR="00BF749F" w:rsidRPr="007D3526" w:rsidRDefault="002E6002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175,7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1 897 450,7</w:t>
            </w:r>
          </w:p>
        </w:tc>
        <w:tc>
          <w:tcPr>
            <w:tcW w:w="1768" w:type="dxa"/>
            <w:vAlign w:val="center"/>
          </w:tcPr>
          <w:p w:rsidR="00BF749F" w:rsidRPr="007D3526" w:rsidRDefault="002E600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2 035 799,3</w:t>
            </w:r>
          </w:p>
        </w:tc>
        <w:tc>
          <w:tcPr>
            <w:tcW w:w="1769" w:type="dxa"/>
            <w:vAlign w:val="center"/>
          </w:tcPr>
          <w:p w:rsidR="00BF749F" w:rsidRPr="007D3526" w:rsidRDefault="002E6002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+ 138 348,6</w:t>
            </w:r>
          </w:p>
        </w:tc>
        <w:tc>
          <w:tcPr>
            <w:tcW w:w="1569" w:type="dxa"/>
            <w:vAlign w:val="center"/>
          </w:tcPr>
          <w:p w:rsidR="00BF749F" w:rsidRPr="007D3526" w:rsidRDefault="002E6002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107,3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Pr="00170C55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a smetany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</w:t>
      </w:r>
      <w:r w:rsidR="002E6002">
        <w:rPr>
          <w:sz w:val="22"/>
          <w:szCs w:val="22"/>
        </w:rPr>
        <w:t>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C4420E" w:rsidRDefault="00C4420E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>Vývoj zahran.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>leden 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 w:rsidR="00A47E37">
        <w:rPr>
          <w:b/>
        </w:rPr>
        <w:t>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A47E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BF749F" w:rsidRPr="007B426C" w:rsidRDefault="00BF749F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6 641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3 021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48 211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59 940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41 570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56 919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95275C" w:rsidRDefault="002E6002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13,01</w:t>
            </w:r>
          </w:p>
          <w:p w:rsidR="002E6002" w:rsidRPr="007B426C" w:rsidRDefault="002E6002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27,64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10,51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10,16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95275C" w:rsidRDefault="002E6002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86 410</w:t>
            </w:r>
          </w:p>
          <w:p w:rsidR="002E6002" w:rsidRPr="007B426C" w:rsidRDefault="002E6002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83 504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506 898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608 775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D7276F" w:rsidRDefault="002E6002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420 488</w:t>
            </w:r>
          </w:p>
          <w:p w:rsidR="002E6002" w:rsidRPr="007B426C" w:rsidRDefault="002E6002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525 271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596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932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2 376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2 548</w:t>
            </w:r>
          </w:p>
        </w:tc>
        <w:tc>
          <w:tcPr>
            <w:tcW w:w="964" w:type="dxa"/>
            <w:vAlign w:val="center"/>
          </w:tcPr>
          <w:p w:rsidR="0095275C" w:rsidRDefault="002E6002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1 780</w:t>
            </w:r>
          </w:p>
          <w:p w:rsidR="002E6002" w:rsidRPr="007B426C" w:rsidRDefault="002E6002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2 159</w:t>
            </w:r>
          </w:p>
        </w:tc>
        <w:tc>
          <w:tcPr>
            <w:tcW w:w="688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33,07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42,99</w:t>
            </w:r>
          </w:p>
        </w:tc>
        <w:tc>
          <w:tcPr>
            <w:tcW w:w="817" w:type="dxa"/>
            <w:vAlign w:val="center"/>
          </w:tcPr>
          <w:p w:rsidR="0095275C" w:rsidRDefault="002E600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55,91</w:t>
            </w:r>
          </w:p>
          <w:p w:rsidR="002E6002" w:rsidRPr="007B426C" w:rsidRDefault="002E600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56,46</w:t>
            </w:r>
          </w:p>
        </w:tc>
        <w:tc>
          <w:tcPr>
            <w:tcW w:w="1110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19 720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16 708</w:t>
            </w:r>
          </w:p>
        </w:tc>
        <w:tc>
          <w:tcPr>
            <w:tcW w:w="1105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132 870</w:t>
            </w:r>
          </w:p>
          <w:p w:rsidR="002E6002" w:rsidRPr="007B426C" w:rsidRDefault="002E6002" w:rsidP="002E600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143 875</w:t>
            </w:r>
          </w:p>
        </w:tc>
        <w:tc>
          <w:tcPr>
            <w:tcW w:w="1161" w:type="dxa"/>
            <w:vAlign w:val="center"/>
          </w:tcPr>
          <w:p w:rsidR="00D7276F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113 150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127 167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3 227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2 965</w:t>
            </w:r>
          </w:p>
        </w:tc>
        <w:tc>
          <w:tcPr>
            <w:tcW w:w="932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5 387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6 207</w:t>
            </w:r>
          </w:p>
        </w:tc>
        <w:tc>
          <w:tcPr>
            <w:tcW w:w="964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2 160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3 242</w:t>
            </w:r>
          </w:p>
        </w:tc>
        <w:tc>
          <w:tcPr>
            <w:tcW w:w="688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26,08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26,69</w:t>
            </w:r>
          </w:p>
        </w:tc>
        <w:tc>
          <w:tcPr>
            <w:tcW w:w="817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30,66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27,54</w:t>
            </w:r>
          </w:p>
        </w:tc>
        <w:tc>
          <w:tcPr>
            <w:tcW w:w="1110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84 149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79 136</w:t>
            </w:r>
          </w:p>
        </w:tc>
        <w:tc>
          <w:tcPr>
            <w:tcW w:w="1105" w:type="dxa"/>
            <w:vAlign w:val="center"/>
          </w:tcPr>
          <w:p w:rsidR="0095275C" w:rsidRDefault="002E6002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165 162</w:t>
            </w:r>
          </w:p>
          <w:p w:rsidR="002E6002" w:rsidRPr="007B426C" w:rsidRDefault="002E6002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170 959</w:t>
            </w:r>
          </w:p>
        </w:tc>
        <w:tc>
          <w:tcPr>
            <w:tcW w:w="1161" w:type="dxa"/>
            <w:vAlign w:val="center"/>
          </w:tcPr>
          <w:p w:rsidR="00D7276F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81 013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91 823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1 845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2 208</w:t>
            </w:r>
          </w:p>
        </w:tc>
        <w:tc>
          <w:tcPr>
            <w:tcW w:w="932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4 337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2 492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1 819</w:t>
            </w:r>
          </w:p>
        </w:tc>
        <w:tc>
          <w:tcPr>
            <w:tcW w:w="688" w:type="dxa"/>
            <w:vAlign w:val="center"/>
          </w:tcPr>
          <w:p w:rsidR="0095275C" w:rsidRDefault="002E6002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10,20</w:t>
            </w:r>
          </w:p>
          <w:p w:rsidR="002E6002" w:rsidRPr="007B426C" w:rsidRDefault="002E6002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13,88</w:t>
            </w:r>
          </w:p>
        </w:tc>
        <w:tc>
          <w:tcPr>
            <w:tcW w:w="817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23,86</w:t>
            </w:r>
          </w:p>
        </w:tc>
        <w:tc>
          <w:tcPr>
            <w:tcW w:w="1110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18 808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30 661</w:t>
            </w:r>
          </w:p>
        </w:tc>
        <w:tc>
          <w:tcPr>
            <w:tcW w:w="1105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64 719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96 098</w:t>
            </w:r>
          </w:p>
        </w:tc>
        <w:tc>
          <w:tcPr>
            <w:tcW w:w="1161" w:type="dxa"/>
            <w:vAlign w:val="center"/>
          </w:tcPr>
          <w:p w:rsidR="00D7276F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45 911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65 437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1 816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1 158</w:t>
            </w:r>
          </w:p>
        </w:tc>
        <w:tc>
          <w:tcPr>
            <w:tcW w:w="932" w:type="dxa"/>
            <w:vAlign w:val="center"/>
          </w:tcPr>
          <w:p w:rsidR="0095275C" w:rsidRDefault="002E6002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263</w:t>
            </w:r>
          </w:p>
          <w:p w:rsidR="002E6002" w:rsidRPr="007B426C" w:rsidRDefault="002E6002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</w:t>
            </w:r>
            <w:r w:rsidR="000C3CEA">
              <w:rPr>
                <w:sz w:val="20"/>
              </w:rPr>
              <w:t xml:space="preserve"> </w:t>
            </w:r>
            <w:r>
              <w:rPr>
                <w:sz w:val="20"/>
              </w:rPr>
              <w:t>553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- 876</w:t>
            </w:r>
          </w:p>
        </w:tc>
        <w:tc>
          <w:tcPr>
            <w:tcW w:w="688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85,97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93,24</w:t>
            </w:r>
          </w:p>
        </w:tc>
        <w:tc>
          <w:tcPr>
            <w:tcW w:w="817" w:type="dxa"/>
            <w:vAlign w:val="center"/>
          </w:tcPr>
          <w:p w:rsidR="0095275C" w:rsidRDefault="002E6002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102,36</w:t>
            </w:r>
          </w:p>
          <w:p w:rsidR="002E6002" w:rsidRPr="007B426C" w:rsidRDefault="002E6002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83,93</w:t>
            </w:r>
          </w:p>
        </w:tc>
        <w:tc>
          <w:tcPr>
            <w:tcW w:w="1110" w:type="dxa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156 126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108 004</w:t>
            </w:r>
          </w:p>
        </w:tc>
        <w:tc>
          <w:tcPr>
            <w:tcW w:w="1105" w:type="dxa"/>
            <w:vAlign w:val="center"/>
          </w:tcPr>
          <w:p w:rsidR="0095275C" w:rsidRDefault="002E6002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26 922</w:t>
            </w:r>
          </w:p>
          <w:p w:rsidR="002E6002" w:rsidRPr="007B426C" w:rsidRDefault="002E6002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23 657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D7276F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- 129 204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- 84 347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95275C" w:rsidRDefault="002E600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5 199</w:t>
            </w:r>
          </w:p>
          <w:p w:rsidR="002E6002" w:rsidRPr="007B426C" w:rsidRDefault="002E600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5 044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2 040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2 986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- 3 159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</w:t>
            </w:r>
            <w:r w:rsidR="000C3CEA">
              <w:rPr>
                <w:sz w:val="20"/>
              </w:rPr>
              <w:t xml:space="preserve"> </w:t>
            </w:r>
            <w:r>
              <w:rPr>
                <w:sz w:val="20"/>
              </w:rPr>
              <w:t>058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77,51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75,89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114,07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97,66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402 987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382 776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95275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232 678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291 646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D7276F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- 170 309</w:t>
            </w:r>
          </w:p>
          <w:p w:rsidR="002E6002" w:rsidRPr="007B426C" w:rsidRDefault="002E600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- 91 130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0019CE" w:rsidRDefault="000019CE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593F4A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 lednu 2012,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070F10">
        <w:rPr>
          <w:sz w:val="22"/>
          <w:szCs w:val="22"/>
        </w:rPr>
        <w:t>41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</w:t>
      </w:r>
      <w:r w:rsidR="00070F10">
        <w:rPr>
          <w:sz w:val="22"/>
          <w:szCs w:val="22"/>
        </w:rPr>
        <w:t xml:space="preserve"> (snížení počtu destinací vývozu</w:t>
      </w:r>
      <w:r w:rsidR="004D1FA2">
        <w:rPr>
          <w:sz w:val="22"/>
          <w:szCs w:val="22"/>
        </w:rPr>
        <w:t xml:space="preserve"> z 62 v prosinci 2011</w:t>
      </w:r>
      <w:r w:rsidR="00070F10">
        <w:rPr>
          <w:sz w:val="22"/>
          <w:szCs w:val="22"/>
        </w:rPr>
        <w:t>)</w:t>
      </w:r>
      <w:r w:rsidR="00170C55">
        <w:rPr>
          <w:sz w:val="22"/>
          <w:szCs w:val="22"/>
        </w:rPr>
        <w:t xml:space="preserve">. </w:t>
      </w:r>
      <w:r w:rsidR="00070F10">
        <w:rPr>
          <w:sz w:val="22"/>
          <w:szCs w:val="22"/>
        </w:rPr>
        <w:t xml:space="preserve">V meziročním porovnání (leden 2012/leden 2011) došlo ke zvýšení finanční hodnoty vývozu o 18,2 %, tj. cca o 205,8 mil. Kč. </w:t>
      </w:r>
      <w:r w:rsidR="00EB4140">
        <w:rPr>
          <w:sz w:val="22"/>
          <w:szCs w:val="22"/>
        </w:rPr>
        <w:t>Tři</w:t>
      </w:r>
      <w:r w:rsidR="00170C55">
        <w:rPr>
          <w:sz w:val="22"/>
          <w:szCs w:val="22"/>
        </w:rPr>
        <w:t xml:space="preserve"> čtvrtiny finančního objemu vývozu představuje export do 5 zemí (do Německa </w:t>
      </w:r>
      <w:r w:rsidR="00FC20FA">
        <w:rPr>
          <w:sz w:val="22"/>
          <w:szCs w:val="22"/>
        </w:rPr>
        <w:t>32,</w:t>
      </w:r>
      <w:r w:rsidR="00070F10">
        <w:rPr>
          <w:sz w:val="22"/>
          <w:szCs w:val="22"/>
        </w:rPr>
        <w:t>9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070F10">
        <w:rPr>
          <w:sz w:val="22"/>
          <w:szCs w:val="22"/>
        </w:rPr>
        <w:t>17,2</w:t>
      </w:r>
      <w:r w:rsidR="00170C55">
        <w:rPr>
          <w:sz w:val="22"/>
          <w:szCs w:val="22"/>
        </w:rPr>
        <w:t xml:space="preserve"> %, do Itálie </w:t>
      </w:r>
      <w:r w:rsidR="00070F10">
        <w:rPr>
          <w:sz w:val="22"/>
          <w:szCs w:val="22"/>
        </w:rPr>
        <w:t>15,6</w:t>
      </w:r>
      <w:r w:rsidR="00170C55">
        <w:rPr>
          <w:sz w:val="22"/>
          <w:szCs w:val="22"/>
        </w:rPr>
        <w:t xml:space="preserve"> %, Maďarska </w:t>
      </w:r>
      <w:r w:rsidR="00070F10">
        <w:rPr>
          <w:sz w:val="22"/>
          <w:szCs w:val="22"/>
        </w:rPr>
        <w:t>4,9</w:t>
      </w:r>
      <w:r w:rsidR="00170C55">
        <w:rPr>
          <w:sz w:val="22"/>
          <w:szCs w:val="22"/>
        </w:rPr>
        <w:t xml:space="preserve"> %, Polska </w:t>
      </w:r>
      <w:r w:rsidR="00B6586F">
        <w:rPr>
          <w:sz w:val="22"/>
          <w:szCs w:val="22"/>
        </w:rPr>
        <w:t>4,</w:t>
      </w:r>
      <w:r w:rsidR="00070F10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%). Do zemí EU-27 se v daném období vyvezlo </w:t>
      </w:r>
      <w:r w:rsidR="00070F10">
        <w:rPr>
          <w:sz w:val="22"/>
          <w:szCs w:val="22"/>
        </w:rPr>
        <w:t>85,1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>ů. P</w:t>
      </w:r>
      <w:r w:rsidR="00170C55">
        <w:rPr>
          <w:sz w:val="22"/>
          <w:szCs w:val="22"/>
        </w:rPr>
        <w:t xml:space="preserve">odíl vývozu do třetích zemí představoval v daném období </w:t>
      </w:r>
      <w:r w:rsidR="00070F10">
        <w:rPr>
          <w:sz w:val="22"/>
          <w:szCs w:val="22"/>
        </w:rPr>
        <w:t>14,9</w:t>
      </w:r>
      <w:r w:rsidR="002908B7">
        <w:rPr>
          <w:sz w:val="22"/>
          <w:szCs w:val="22"/>
        </w:rPr>
        <w:t xml:space="preserve"> %. Vývoz do třetích zemí tvořily převážně destinace – </w:t>
      </w:r>
      <w:r w:rsidR="00070F10">
        <w:rPr>
          <w:sz w:val="22"/>
          <w:szCs w:val="22"/>
        </w:rPr>
        <w:t xml:space="preserve">Čína, Thajsko, Libanon, Bangladéš, Saudská Arábie, Malajsie, Spojené arabské emiráty. Předmětem obchodu s těmito zeměmi byly zejména sušená mléka, sušená syrovátka, bílé sýry. </w:t>
      </w:r>
      <w:r w:rsidR="00170C55"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070F10">
        <w:rPr>
          <w:sz w:val="22"/>
          <w:szCs w:val="22"/>
          <w:u w:val="single"/>
        </w:rPr>
        <w:t>45,6</w:t>
      </w:r>
      <w:r w:rsidR="00170C55" w:rsidRPr="002D4C36">
        <w:rPr>
          <w:sz w:val="22"/>
          <w:szCs w:val="22"/>
          <w:u w:val="single"/>
        </w:rPr>
        <w:t xml:space="preserve"> %.</w:t>
      </w:r>
      <w:r w:rsidR="00170C55"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070F10">
        <w:rPr>
          <w:sz w:val="22"/>
          <w:szCs w:val="22"/>
        </w:rPr>
        <w:t>28,1</w:t>
      </w:r>
      <w:r w:rsidR="00170C55">
        <w:rPr>
          <w:sz w:val="22"/>
          <w:szCs w:val="22"/>
        </w:rPr>
        <w:t xml:space="preserve"> %. </w:t>
      </w:r>
    </w:p>
    <w:p w:rsidR="006408F8" w:rsidRDefault="00593F4A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 lednu 2012 se meziročně z</w:t>
      </w:r>
      <w:r w:rsidR="00B83EEE">
        <w:rPr>
          <w:sz w:val="22"/>
          <w:szCs w:val="22"/>
        </w:rPr>
        <w:t xml:space="preserve">výšil objem vývozu konzumního mléka (meziročně o </w:t>
      </w:r>
      <w:r w:rsidR="00070F10">
        <w:rPr>
          <w:sz w:val="22"/>
          <w:szCs w:val="22"/>
        </w:rPr>
        <w:t>5,7</w:t>
      </w:r>
      <w:r w:rsidR="00B83EEE">
        <w:rPr>
          <w:sz w:val="22"/>
          <w:szCs w:val="22"/>
        </w:rPr>
        <w:t xml:space="preserve"> %), mléka v cisternách (o </w:t>
      </w:r>
      <w:r w:rsidR="00070F10">
        <w:rPr>
          <w:sz w:val="22"/>
          <w:szCs w:val="22"/>
        </w:rPr>
        <w:t>34,5</w:t>
      </w:r>
      <w:r w:rsidR="00B83EEE">
        <w:rPr>
          <w:sz w:val="22"/>
          <w:szCs w:val="22"/>
        </w:rPr>
        <w:t xml:space="preserve"> %) a </w:t>
      </w:r>
      <w:r w:rsidR="00070F10">
        <w:rPr>
          <w:sz w:val="22"/>
          <w:szCs w:val="22"/>
        </w:rPr>
        <w:t xml:space="preserve">objem vývozu konzumních smetan o 89,1 %. </w:t>
      </w:r>
      <w:r>
        <w:rPr>
          <w:sz w:val="22"/>
          <w:szCs w:val="22"/>
        </w:rPr>
        <w:t xml:space="preserve"> Ke snížení vývozu v daném období došlo u vývozu smetan v cisternách (o – 19,9 %).</w:t>
      </w:r>
      <w:r w:rsidR="00B83EEE">
        <w:rPr>
          <w:sz w:val="22"/>
          <w:szCs w:val="22"/>
        </w:rPr>
        <w:t xml:space="preserve"> Významným vývozním artiklem mlékárenského zboží jsou sýry a tvarohy (podíl na celkové finanční hodnotě vývozu je </w:t>
      </w:r>
      <w:r>
        <w:rPr>
          <w:sz w:val="22"/>
          <w:szCs w:val="22"/>
        </w:rPr>
        <w:t>21,8</w:t>
      </w:r>
      <w:r w:rsidR="00B83EEE">
        <w:rPr>
          <w:sz w:val="22"/>
          <w:szCs w:val="22"/>
        </w:rPr>
        <w:t xml:space="preserve"> %). </w:t>
      </w:r>
      <w:r>
        <w:rPr>
          <w:sz w:val="22"/>
          <w:szCs w:val="22"/>
        </w:rPr>
        <w:t xml:space="preserve">Objem </w:t>
      </w:r>
      <w:r w:rsidR="00B83EEE">
        <w:rPr>
          <w:sz w:val="22"/>
          <w:szCs w:val="22"/>
        </w:rPr>
        <w:t>vývoz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sýrů a tvarohů </w:t>
      </w:r>
      <w:r>
        <w:rPr>
          <w:sz w:val="22"/>
          <w:szCs w:val="22"/>
        </w:rPr>
        <w:t xml:space="preserve">se meziročně zvýšil </w:t>
      </w:r>
      <w:r w:rsidR="00FC20FA">
        <w:rPr>
          <w:sz w:val="22"/>
          <w:szCs w:val="22"/>
        </w:rPr>
        <w:t xml:space="preserve">o </w:t>
      </w:r>
      <w:r>
        <w:rPr>
          <w:sz w:val="22"/>
          <w:szCs w:val="22"/>
        </w:rPr>
        <w:t>46,4</w:t>
      </w:r>
      <w:r w:rsidR="00FC20FA">
        <w:rPr>
          <w:sz w:val="22"/>
          <w:szCs w:val="22"/>
        </w:rPr>
        <w:t xml:space="preserve"> %</w:t>
      </w:r>
      <w:r w:rsidR="00B83EEE">
        <w:rPr>
          <w:sz w:val="22"/>
          <w:szCs w:val="22"/>
        </w:rPr>
        <w:t xml:space="preserve">. Vývoz sušeného plnotučného mléka a smetany se v meziročním porovnání </w:t>
      </w:r>
      <w:r>
        <w:rPr>
          <w:sz w:val="22"/>
          <w:szCs w:val="22"/>
        </w:rPr>
        <w:t>leden</w:t>
      </w:r>
      <w:r w:rsidR="00B83EEE">
        <w:rPr>
          <w:sz w:val="22"/>
          <w:szCs w:val="22"/>
        </w:rPr>
        <w:t xml:space="preserve"> 201</w:t>
      </w:r>
      <w:r>
        <w:rPr>
          <w:sz w:val="22"/>
          <w:szCs w:val="22"/>
        </w:rPr>
        <w:t>2</w:t>
      </w:r>
      <w:r w:rsidR="00B83EEE">
        <w:rPr>
          <w:sz w:val="22"/>
          <w:szCs w:val="22"/>
        </w:rPr>
        <w:t>/</w:t>
      </w:r>
      <w:r>
        <w:rPr>
          <w:sz w:val="22"/>
          <w:szCs w:val="22"/>
        </w:rPr>
        <w:t xml:space="preserve">leden </w:t>
      </w:r>
      <w:r w:rsidR="00B83EEE">
        <w:rPr>
          <w:sz w:val="22"/>
          <w:szCs w:val="22"/>
        </w:rPr>
        <w:t>201</w:t>
      </w:r>
      <w:r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</w:t>
      </w:r>
      <w:r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883804">
        <w:rPr>
          <w:sz w:val="22"/>
          <w:szCs w:val="22"/>
        </w:rPr>
        <w:t>45,1</w:t>
      </w:r>
      <w:r w:rsidR="00B83EEE">
        <w:rPr>
          <w:sz w:val="22"/>
          <w:szCs w:val="22"/>
        </w:rPr>
        <w:t xml:space="preserve"> %, vývoz kondenzovaných mlék byl meziročně </w:t>
      </w:r>
      <w:r w:rsidR="00883804">
        <w:rPr>
          <w:sz w:val="22"/>
          <w:szCs w:val="22"/>
        </w:rPr>
        <w:t>vyšší</w:t>
      </w:r>
      <w:r w:rsidR="00B83EEE">
        <w:rPr>
          <w:sz w:val="22"/>
          <w:szCs w:val="22"/>
        </w:rPr>
        <w:t xml:space="preserve"> o </w:t>
      </w:r>
      <w:r w:rsidR="00883804">
        <w:rPr>
          <w:sz w:val="22"/>
          <w:szCs w:val="22"/>
        </w:rPr>
        <w:t>38,7 % a</w:t>
      </w:r>
      <w:r w:rsidR="00B83EEE">
        <w:rPr>
          <w:sz w:val="22"/>
          <w:szCs w:val="22"/>
        </w:rPr>
        <w:t xml:space="preserve"> vývoz sušeného odtučněného mléka byl vyšší o </w:t>
      </w:r>
      <w:r w:rsidR="00883804">
        <w:rPr>
          <w:sz w:val="22"/>
          <w:szCs w:val="22"/>
        </w:rPr>
        <w:t>31,8</w:t>
      </w:r>
      <w:r w:rsidR="00B83EEE">
        <w:rPr>
          <w:sz w:val="22"/>
          <w:szCs w:val="22"/>
        </w:rPr>
        <w:t xml:space="preserve"> %. Vývoz jogurtů se meziročně </w:t>
      </w:r>
      <w:r w:rsidR="00883804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883804">
        <w:rPr>
          <w:sz w:val="22"/>
          <w:szCs w:val="22"/>
        </w:rPr>
        <w:t>14,3</w:t>
      </w:r>
      <w:r w:rsidR="00B83EEE">
        <w:rPr>
          <w:sz w:val="22"/>
          <w:szCs w:val="22"/>
        </w:rPr>
        <w:t xml:space="preserve"> %, posílil </w:t>
      </w:r>
      <w:r w:rsidR="00883804">
        <w:rPr>
          <w:sz w:val="22"/>
          <w:szCs w:val="22"/>
        </w:rPr>
        <w:t xml:space="preserve">i </w:t>
      </w:r>
      <w:r w:rsidR="00B83EEE">
        <w:rPr>
          <w:sz w:val="22"/>
          <w:szCs w:val="22"/>
        </w:rPr>
        <w:t xml:space="preserve">vývoz ostatních zakysaných mléčných výrobků o </w:t>
      </w:r>
      <w:r w:rsidR="00883804">
        <w:rPr>
          <w:sz w:val="22"/>
          <w:szCs w:val="22"/>
        </w:rPr>
        <w:t>18,6</w:t>
      </w:r>
      <w:r w:rsidR="00B83EEE">
        <w:rPr>
          <w:sz w:val="22"/>
          <w:szCs w:val="22"/>
        </w:rPr>
        <w:t xml:space="preserve"> %. Vývoz čerstvého másla ve spotřebitelském balení se meziročně </w:t>
      </w:r>
      <w:r w:rsidR="00D24F63">
        <w:rPr>
          <w:sz w:val="22"/>
          <w:szCs w:val="22"/>
        </w:rPr>
        <w:t>zvýšil</w:t>
      </w:r>
      <w:r w:rsidR="00883804">
        <w:rPr>
          <w:sz w:val="22"/>
          <w:szCs w:val="22"/>
        </w:rPr>
        <w:t xml:space="preserve"> z 26,5 t v lednu 2011 na </w:t>
      </w:r>
      <w:r w:rsidR="00D24F63">
        <w:rPr>
          <w:sz w:val="22"/>
          <w:szCs w:val="22"/>
        </w:rPr>
        <w:t xml:space="preserve">89,5 t v lednu 2012, </w:t>
      </w:r>
      <w:r w:rsidR="00B83EEE">
        <w:rPr>
          <w:sz w:val="22"/>
          <w:szCs w:val="22"/>
        </w:rPr>
        <w:t xml:space="preserve">vývoz másla v blocích byl meziročně </w:t>
      </w:r>
      <w:r w:rsidR="00D24F63">
        <w:rPr>
          <w:sz w:val="22"/>
          <w:szCs w:val="22"/>
        </w:rPr>
        <w:t>nižší o 5,7 t (vývoz v lednu 2012 představoval objem 75,3 t).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Dovozy ze tří zemí - z Německa (</w:t>
      </w:r>
      <w:r w:rsidR="00D24F63">
        <w:rPr>
          <w:sz w:val="22"/>
          <w:szCs w:val="22"/>
        </w:rPr>
        <w:t>41,3</w:t>
      </w:r>
      <w:r>
        <w:rPr>
          <w:sz w:val="22"/>
          <w:szCs w:val="22"/>
        </w:rPr>
        <w:t xml:space="preserve"> %), Polska (</w:t>
      </w:r>
      <w:r w:rsidR="00D24F63">
        <w:rPr>
          <w:sz w:val="22"/>
          <w:szCs w:val="22"/>
        </w:rPr>
        <w:t>28,9</w:t>
      </w:r>
      <w:r>
        <w:rPr>
          <w:sz w:val="22"/>
          <w:szCs w:val="22"/>
        </w:rPr>
        <w:t xml:space="preserve"> %) a Slovenska (</w:t>
      </w:r>
      <w:r w:rsidR="00D24F63">
        <w:rPr>
          <w:sz w:val="22"/>
          <w:szCs w:val="22"/>
        </w:rPr>
        <w:t>11,0</w:t>
      </w:r>
      <w:r>
        <w:rPr>
          <w:sz w:val="22"/>
          <w:szCs w:val="22"/>
        </w:rPr>
        <w:t xml:space="preserve"> %) představují </w:t>
      </w:r>
      <w:r w:rsidR="002567B0">
        <w:rPr>
          <w:sz w:val="22"/>
          <w:szCs w:val="22"/>
        </w:rPr>
        <w:t xml:space="preserve">celkem </w:t>
      </w:r>
      <w:r w:rsidR="00D24F63">
        <w:rPr>
          <w:sz w:val="22"/>
          <w:szCs w:val="22"/>
        </w:rPr>
        <w:t>81,2</w:t>
      </w:r>
      <w:r w:rsidR="00F82D6A">
        <w:rPr>
          <w:sz w:val="22"/>
          <w:szCs w:val="22"/>
        </w:rPr>
        <w:t xml:space="preserve"> % veškerého dovozu mléka a mléčných výrobků (z finančního vyjádření). V</w:t>
      </w:r>
      <w:r w:rsidR="00D24F63">
        <w:rPr>
          <w:sz w:val="22"/>
          <w:szCs w:val="22"/>
        </w:rPr>
        <w:t> lednu</w:t>
      </w:r>
      <w:r w:rsidR="00F82D6A"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 w:rsidR="00F82D6A" w:rsidRPr="00AB3150">
        <w:rPr>
          <w:sz w:val="22"/>
          <w:szCs w:val="22"/>
        </w:rPr>
        <w:t xml:space="preserve"> se mléko a mléčné výrobky dovezly do ČR z</w:t>
      </w:r>
      <w:r w:rsidR="00875038">
        <w:rPr>
          <w:sz w:val="22"/>
          <w:szCs w:val="22"/>
        </w:rPr>
        <w:t> </w:t>
      </w:r>
      <w:r w:rsidR="00D24F63">
        <w:rPr>
          <w:sz w:val="22"/>
          <w:szCs w:val="22"/>
        </w:rPr>
        <w:t>21</w:t>
      </w:r>
      <w:r w:rsidR="00875038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zemí, ze zemí EU-27 celkem 99,</w:t>
      </w:r>
      <w:r w:rsidR="00D24F63">
        <w:rPr>
          <w:sz w:val="22"/>
          <w:szCs w:val="22"/>
        </w:rPr>
        <w:t>5</w:t>
      </w:r>
      <w:r w:rsidR="00F82D6A">
        <w:rPr>
          <w:sz w:val="22"/>
          <w:szCs w:val="22"/>
        </w:rPr>
        <w:t xml:space="preserve"> %. V meziročním porovnání dochází ke </w:t>
      </w:r>
      <w:r w:rsidR="00D24F63">
        <w:rPr>
          <w:sz w:val="22"/>
          <w:szCs w:val="22"/>
        </w:rPr>
        <w:t>snížení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D24F63">
        <w:rPr>
          <w:sz w:val="22"/>
          <w:szCs w:val="22"/>
        </w:rPr>
        <w:t>67,4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D24F63">
        <w:rPr>
          <w:sz w:val="22"/>
          <w:szCs w:val="22"/>
        </w:rPr>
        <w:t>8,8</w:t>
      </w:r>
      <w:r w:rsidR="00F82D6A">
        <w:rPr>
          <w:sz w:val="22"/>
          <w:szCs w:val="22"/>
        </w:rPr>
        <w:t xml:space="preserve"> %. </w:t>
      </w:r>
    </w:p>
    <w:p w:rsidR="00DF1492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D24F63">
        <w:rPr>
          <w:sz w:val="22"/>
          <w:szCs w:val="22"/>
        </w:rPr>
        <w:t>leden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mírně snížily</w:t>
      </w:r>
      <w:r>
        <w:rPr>
          <w:sz w:val="22"/>
          <w:szCs w:val="22"/>
        </w:rPr>
        <w:t xml:space="preserve">, a to o </w:t>
      </w:r>
      <w:r w:rsidR="00D24F63">
        <w:rPr>
          <w:sz w:val="22"/>
          <w:szCs w:val="22"/>
        </w:rPr>
        <w:t>155</w:t>
      </w:r>
      <w:r>
        <w:rPr>
          <w:sz w:val="22"/>
          <w:szCs w:val="22"/>
        </w:rPr>
        <w:t xml:space="preserve"> t na celkových </w:t>
      </w:r>
      <w:r w:rsidR="00D24F63">
        <w:rPr>
          <w:sz w:val="22"/>
          <w:szCs w:val="22"/>
        </w:rPr>
        <w:t>5 044</w:t>
      </w:r>
      <w:r>
        <w:rPr>
          <w:sz w:val="22"/>
          <w:szCs w:val="22"/>
        </w:rPr>
        <w:t xml:space="preserve"> t. Toto množství představuje cca </w:t>
      </w:r>
      <w:r w:rsidR="00D24F63">
        <w:rPr>
          <w:sz w:val="22"/>
          <w:szCs w:val="22"/>
        </w:rPr>
        <w:t>65,4</w:t>
      </w:r>
      <w:r>
        <w:rPr>
          <w:sz w:val="22"/>
          <w:szCs w:val="22"/>
        </w:rPr>
        <w:t xml:space="preserve"> % objemu domácí </w:t>
      </w:r>
      <w:r w:rsidR="004D1FA2">
        <w:rPr>
          <w:sz w:val="22"/>
          <w:szCs w:val="22"/>
        </w:rPr>
        <w:t xml:space="preserve">lednové </w:t>
      </w:r>
      <w:r>
        <w:rPr>
          <w:sz w:val="22"/>
          <w:szCs w:val="22"/>
        </w:rPr>
        <w:t xml:space="preserve">výroby sýrů a tvarohů. Největší objemy sýrů a tvarohů se do ČR </w:t>
      </w:r>
      <w:r w:rsidR="00D24F63">
        <w:rPr>
          <w:sz w:val="22"/>
          <w:szCs w:val="22"/>
        </w:rPr>
        <w:t xml:space="preserve">v lednu 2012 </w:t>
      </w:r>
      <w:r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>
        <w:rPr>
          <w:sz w:val="22"/>
          <w:szCs w:val="22"/>
        </w:rPr>
        <w:t xml:space="preserve"> z Německa (celkem </w:t>
      </w:r>
      <w:r w:rsidR="00D24F63">
        <w:rPr>
          <w:sz w:val="22"/>
          <w:szCs w:val="22"/>
        </w:rPr>
        <w:t>2 466</w:t>
      </w:r>
      <w:r>
        <w:rPr>
          <w:sz w:val="22"/>
          <w:szCs w:val="22"/>
        </w:rPr>
        <w:t xml:space="preserve"> t za průměrnou dovozní cenu </w:t>
      </w:r>
      <w:r w:rsidR="00D24F63">
        <w:rPr>
          <w:sz w:val="22"/>
          <w:szCs w:val="22"/>
        </w:rPr>
        <w:t>65,06</w:t>
      </w:r>
      <w:r>
        <w:rPr>
          <w:sz w:val="22"/>
          <w:szCs w:val="22"/>
        </w:rPr>
        <w:t xml:space="preserve"> Kč/kg – z toho např. </w:t>
      </w:r>
      <w:r w:rsidR="00D24F63">
        <w:rPr>
          <w:sz w:val="22"/>
          <w:szCs w:val="22"/>
        </w:rPr>
        <w:t>937</w:t>
      </w:r>
      <w:r>
        <w:rPr>
          <w:sz w:val="22"/>
          <w:szCs w:val="22"/>
        </w:rPr>
        <w:t xml:space="preserve"> t Eidamu za průměrnou dovozní cenu 75,</w:t>
      </w:r>
      <w:r w:rsidR="00D24F63">
        <w:rPr>
          <w:sz w:val="22"/>
          <w:szCs w:val="22"/>
        </w:rPr>
        <w:t>33</w:t>
      </w:r>
      <w:r>
        <w:rPr>
          <w:sz w:val="22"/>
          <w:szCs w:val="22"/>
        </w:rPr>
        <w:t xml:space="preserve"> Kč/kg) a z Polska (celkem </w:t>
      </w:r>
      <w:r w:rsidR="00D24F63">
        <w:rPr>
          <w:sz w:val="22"/>
          <w:szCs w:val="22"/>
        </w:rPr>
        <w:t>1 634</w:t>
      </w:r>
      <w:r>
        <w:rPr>
          <w:sz w:val="22"/>
          <w:szCs w:val="22"/>
        </w:rPr>
        <w:t xml:space="preserve"> t za průměrnou dovozní cenu </w:t>
      </w:r>
      <w:r w:rsidR="00D24F63">
        <w:rPr>
          <w:sz w:val="22"/>
          <w:szCs w:val="22"/>
        </w:rPr>
        <w:t>76,25</w:t>
      </w:r>
      <w:r>
        <w:rPr>
          <w:sz w:val="22"/>
          <w:szCs w:val="22"/>
        </w:rPr>
        <w:t xml:space="preserve"> Kč/kg, z toho např. tavené </w:t>
      </w:r>
      <w:r w:rsidR="00DF1492">
        <w:rPr>
          <w:sz w:val="22"/>
          <w:szCs w:val="22"/>
        </w:rPr>
        <w:t xml:space="preserve">sýry </w:t>
      </w:r>
      <w:r w:rsidR="00D24F63">
        <w:rPr>
          <w:sz w:val="22"/>
          <w:szCs w:val="22"/>
        </w:rPr>
        <w:t>–</w:t>
      </w:r>
      <w:r w:rsidR="00DF1492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392,8</w:t>
      </w:r>
      <w:r w:rsidR="00DF1492">
        <w:rPr>
          <w:sz w:val="22"/>
          <w:szCs w:val="22"/>
        </w:rPr>
        <w:t xml:space="preserve"> t za </w:t>
      </w:r>
      <w:r w:rsidR="00D24F63">
        <w:rPr>
          <w:sz w:val="22"/>
          <w:szCs w:val="22"/>
        </w:rPr>
        <w:t>77,15</w:t>
      </w:r>
      <w:r w:rsidR="00DF1492">
        <w:rPr>
          <w:sz w:val="22"/>
          <w:szCs w:val="22"/>
        </w:rPr>
        <w:t xml:space="preserve"> Kč/kg, Eidam – </w:t>
      </w:r>
      <w:r w:rsidR="00D24F63">
        <w:rPr>
          <w:sz w:val="22"/>
          <w:szCs w:val="22"/>
        </w:rPr>
        <w:t>363</w:t>
      </w:r>
      <w:r w:rsidR="00DF1492">
        <w:rPr>
          <w:sz w:val="22"/>
          <w:szCs w:val="22"/>
        </w:rPr>
        <w:t xml:space="preserve"> t za </w:t>
      </w:r>
      <w:r w:rsidR="00D24F63">
        <w:rPr>
          <w:sz w:val="22"/>
          <w:szCs w:val="22"/>
        </w:rPr>
        <w:t>77,26</w:t>
      </w:r>
      <w:r w:rsidR="00DF1492">
        <w:rPr>
          <w:sz w:val="22"/>
          <w:szCs w:val="22"/>
        </w:rPr>
        <w:t xml:space="preserve"> Kč/kg</w:t>
      </w:r>
      <w:r w:rsidR="00D24F63">
        <w:rPr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 w:rsidR="00E54FEE"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jsou i objemy dovozu jogurtů a ostatních zakysaných mléčných výrobků (o </w:t>
      </w:r>
      <w:r w:rsidR="00E54FEE">
        <w:rPr>
          <w:sz w:val="22"/>
          <w:szCs w:val="22"/>
        </w:rPr>
        <w:t>262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>, tj. o 8,1 %</w:t>
      </w:r>
      <w:r w:rsidR="00DF1492">
        <w:rPr>
          <w:sz w:val="22"/>
          <w:szCs w:val="22"/>
        </w:rPr>
        <w:t>), které se v daném období dovážely do ČR především z Německa (</w:t>
      </w:r>
      <w:r w:rsidR="00E54FEE">
        <w:rPr>
          <w:sz w:val="22"/>
          <w:szCs w:val="22"/>
        </w:rPr>
        <w:t>1 914,1</w:t>
      </w:r>
      <w:r w:rsidR="00DF1492">
        <w:rPr>
          <w:sz w:val="22"/>
          <w:szCs w:val="22"/>
        </w:rPr>
        <w:t xml:space="preserve"> t za 28,</w:t>
      </w:r>
      <w:r w:rsidR="00E54FEE">
        <w:rPr>
          <w:sz w:val="22"/>
          <w:szCs w:val="22"/>
        </w:rPr>
        <w:t>09</w:t>
      </w:r>
      <w:r w:rsidR="00DF1492">
        <w:rPr>
          <w:sz w:val="22"/>
          <w:szCs w:val="22"/>
        </w:rPr>
        <w:t xml:space="preserve"> Kč/kg), Polska (</w:t>
      </w:r>
      <w:r w:rsidR="00E54FEE">
        <w:rPr>
          <w:sz w:val="22"/>
          <w:szCs w:val="22"/>
        </w:rPr>
        <w:t>683</w:t>
      </w:r>
      <w:r w:rsidR="00DF1492">
        <w:rPr>
          <w:sz w:val="22"/>
          <w:szCs w:val="22"/>
        </w:rPr>
        <w:t xml:space="preserve"> t za </w:t>
      </w:r>
      <w:r w:rsidR="00E54FEE">
        <w:rPr>
          <w:sz w:val="22"/>
          <w:szCs w:val="22"/>
        </w:rPr>
        <w:t>20,09</w:t>
      </w:r>
      <w:r w:rsidR="00DF1492">
        <w:rPr>
          <w:sz w:val="22"/>
          <w:szCs w:val="22"/>
        </w:rPr>
        <w:t xml:space="preserve"> Kč/kg), </w:t>
      </w:r>
      <w:r w:rsidR="00EF2BEC">
        <w:rPr>
          <w:sz w:val="22"/>
          <w:szCs w:val="22"/>
        </w:rPr>
        <w:t xml:space="preserve">Francie (162,8 t za 28,53 Kč/kg), </w:t>
      </w:r>
      <w:r w:rsidR="00DF1492">
        <w:rPr>
          <w:sz w:val="22"/>
          <w:szCs w:val="22"/>
        </w:rPr>
        <w:t>Slovenska (</w:t>
      </w:r>
      <w:r w:rsidR="00EF2BEC">
        <w:rPr>
          <w:sz w:val="22"/>
          <w:szCs w:val="22"/>
        </w:rPr>
        <w:t>97,4</w:t>
      </w:r>
      <w:r w:rsidR="00DF1492">
        <w:rPr>
          <w:sz w:val="22"/>
          <w:szCs w:val="22"/>
        </w:rPr>
        <w:t xml:space="preserve"> t za </w:t>
      </w:r>
      <w:r w:rsidR="00EF2BEC">
        <w:rPr>
          <w:sz w:val="22"/>
          <w:szCs w:val="22"/>
        </w:rPr>
        <w:t>31,03</w:t>
      </w:r>
      <w:r w:rsidR="00DF1492">
        <w:rPr>
          <w:sz w:val="22"/>
          <w:szCs w:val="22"/>
        </w:rPr>
        <w:t xml:space="preserve"> Kč/kg), Rakouska (</w:t>
      </w:r>
      <w:r w:rsidR="00EF2BEC">
        <w:rPr>
          <w:sz w:val="22"/>
          <w:szCs w:val="22"/>
        </w:rPr>
        <w:t>98,4</w:t>
      </w:r>
      <w:r w:rsidR="00DF1492">
        <w:rPr>
          <w:sz w:val="22"/>
          <w:szCs w:val="22"/>
        </w:rPr>
        <w:t xml:space="preserve"> t za </w:t>
      </w:r>
      <w:r w:rsidR="00EF2BEC">
        <w:rPr>
          <w:sz w:val="22"/>
          <w:szCs w:val="22"/>
        </w:rPr>
        <w:t>35,25</w:t>
      </w:r>
      <w:r w:rsidR="00DF1492">
        <w:rPr>
          <w:sz w:val="22"/>
          <w:szCs w:val="22"/>
        </w:rPr>
        <w:t xml:space="preserve"> Kč/kg).</w:t>
      </w:r>
      <w:r w:rsidR="00EF2BEC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Dovozy másla v objemu </w:t>
      </w:r>
      <w:r w:rsidR="00EF2BEC">
        <w:rPr>
          <w:sz w:val="22"/>
          <w:szCs w:val="22"/>
        </w:rPr>
        <w:t>1 158</w:t>
      </w:r>
      <w:r w:rsidR="00DF1492">
        <w:rPr>
          <w:sz w:val="22"/>
          <w:szCs w:val="22"/>
        </w:rPr>
        <w:t xml:space="preserve"> t </w:t>
      </w:r>
      <w:r w:rsidR="00EF2BEC">
        <w:rPr>
          <w:sz w:val="22"/>
          <w:szCs w:val="22"/>
        </w:rPr>
        <w:t>v lednu 2012 představují 36,3</w:t>
      </w:r>
      <w:r w:rsidR="00DF1492">
        <w:rPr>
          <w:sz w:val="22"/>
          <w:szCs w:val="22"/>
        </w:rPr>
        <w:t xml:space="preserve"> % podílu z domácí výroby másla. </w:t>
      </w:r>
      <w:r w:rsidR="00EF2BEC">
        <w:rPr>
          <w:sz w:val="22"/>
          <w:szCs w:val="22"/>
        </w:rPr>
        <w:t>V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lednu</w:t>
      </w:r>
      <w:r w:rsidR="00DF1492">
        <w:rPr>
          <w:sz w:val="22"/>
          <w:szCs w:val="22"/>
        </w:rPr>
        <w:t xml:space="preserve"> 201</w:t>
      </w:r>
      <w:r w:rsidR="00EF2BEC">
        <w:rPr>
          <w:sz w:val="22"/>
          <w:szCs w:val="22"/>
        </w:rPr>
        <w:t>2</w:t>
      </w:r>
      <w:r w:rsidR="00DF1492">
        <w:rPr>
          <w:sz w:val="22"/>
          <w:szCs w:val="22"/>
        </w:rPr>
        <w:t xml:space="preserve"> se máslo dováželo </w:t>
      </w:r>
      <w:r w:rsidR="00BA2902">
        <w:rPr>
          <w:sz w:val="22"/>
          <w:szCs w:val="22"/>
        </w:rPr>
        <w:t xml:space="preserve">do ČR </w:t>
      </w:r>
      <w:r w:rsidR="00DF1492">
        <w:rPr>
          <w:sz w:val="22"/>
          <w:szCs w:val="22"/>
        </w:rPr>
        <w:t>zejména z Německa (</w:t>
      </w:r>
      <w:r w:rsidR="00EF2BEC">
        <w:rPr>
          <w:sz w:val="22"/>
          <w:szCs w:val="22"/>
        </w:rPr>
        <w:t>478,2</w:t>
      </w:r>
      <w:r w:rsidR="00DF1492">
        <w:rPr>
          <w:sz w:val="22"/>
          <w:szCs w:val="22"/>
        </w:rPr>
        <w:t xml:space="preserve"> t za </w:t>
      </w:r>
      <w:r w:rsidR="00EF2BEC">
        <w:rPr>
          <w:sz w:val="22"/>
          <w:szCs w:val="22"/>
        </w:rPr>
        <w:t>94,02</w:t>
      </w:r>
      <w:r w:rsidR="00DF1492">
        <w:rPr>
          <w:sz w:val="22"/>
          <w:szCs w:val="22"/>
        </w:rPr>
        <w:t xml:space="preserve"> Kč/kg), Polska (</w:t>
      </w:r>
      <w:r w:rsidR="00EF2BEC">
        <w:rPr>
          <w:sz w:val="22"/>
          <w:szCs w:val="22"/>
        </w:rPr>
        <w:t>330,4</w:t>
      </w:r>
      <w:r w:rsidR="00DF1492">
        <w:rPr>
          <w:sz w:val="22"/>
          <w:szCs w:val="22"/>
        </w:rPr>
        <w:t xml:space="preserve"> t za </w:t>
      </w:r>
      <w:r w:rsidR="00EF2BEC">
        <w:rPr>
          <w:sz w:val="22"/>
          <w:szCs w:val="22"/>
        </w:rPr>
        <w:t>89,75</w:t>
      </w:r>
      <w:r w:rsidR="00DF1492">
        <w:rPr>
          <w:sz w:val="22"/>
          <w:szCs w:val="22"/>
        </w:rPr>
        <w:t xml:space="preserve"> Kč/kg) a z Belgie (</w:t>
      </w:r>
      <w:r w:rsidR="00EF2BEC">
        <w:rPr>
          <w:sz w:val="22"/>
          <w:szCs w:val="22"/>
        </w:rPr>
        <w:t>246,8</w:t>
      </w:r>
      <w:r w:rsidR="00DF1492">
        <w:rPr>
          <w:sz w:val="22"/>
          <w:szCs w:val="22"/>
        </w:rPr>
        <w:t xml:space="preserve"> t za </w:t>
      </w:r>
      <w:r w:rsidR="00EF2BEC">
        <w:rPr>
          <w:sz w:val="22"/>
          <w:szCs w:val="22"/>
        </w:rPr>
        <w:t>92,79</w:t>
      </w:r>
      <w:r w:rsidR="00DF1492">
        <w:rPr>
          <w:sz w:val="22"/>
          <w:szCs w:val="22"/>
        </w:rPr>
        <w:t xml:space="preserve"> Kč/kg).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4341FB" w:rsidRDefault="00F136A9" w:rsidP="00F136A9">
      <w:pPr>
        <w:ind w:left="284"/>
        <w:rPr>
          <w:b/>
          <w:sz w:val="22"/>
          <w:szCs w:val="22"/>
        </w:rPr>
      </w:pPr>
      <w:r w:rsidRPr="00F136A9">
        <w:rPr>
          <w:noProof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40F7" w:rsidRPr="006440F7" w:rsidRDefault="006440F7" w:rsidP="00780559">
            <w:pPr>
              <w:rPr>
                <w:sz w:val="18"/>
                <w:szCs w:val="18"/>
              </w:rPr>
            </w:pPr>
          </w:p>
        </w:tc>
      </w:tr>
      <w:tr w:rsidR="006440F7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40F7" w:rsidRDefault="006440F7" w:rsidP="00780559">
            <w:pPr>
              <w:rPr>
                <w:i/>
                <w:sz w:val="18"/>
                <w:szCs w:val="18"/>
              </w:rPr>
            </w:pP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D8" w:rsidRDefault="005C64D8" w:rsidP="00CC65A3">
      <w:pPr>
        <w:pStyle w:val="POZNMKA"/>
      </w:pPr>
      <w:r>
        <w:separator/>
      </w:r>
    </w:p>
  </w:endnote>
  <w:endnote w:type="continuationSeparator" w:id="0">
    <w:p w:rsidR="005C64D8" w:rsidRDefault="005C64D8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70" w:rsidRDefault="00CF4333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B39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3970" w:rsidRDefault="007B39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70" w:rsidRDefault="007B3970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CF4333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CF4333" w:rsidRPr="00697EEE">
      <w:rPr>
        <w:sz w:val="20"/>
      </w:rPr>
      <w:fldChar w:fldCharType="separate"/>
    </w:r>
    <w:r w:rsidR="002B7100" w:rsidRPr="002B7100">
      <w:rPr>
        <w:rFonts w:ascii="Cambria" w:hAnsi="Cambria"/>
        <w:noProof/>
        <w:sz w:val="20"/>
      </w:rPr>
      <w:t>6</w:t>
    </w:r>
    <w:r w:rsidR="00CF4333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D8" w:rsidRDefault="005C64D8" w:rsidP="00CC65A3">
      <w:pPr>
        <w:pStyle w:val="POZNMKA"/>
      </w:pPr>
      <w:r>
        <w:separator/>
      </w:r>
    </w:p>
  </w:footnote>
  <w:footnote w:type="continuationSeparator" w:id="0">
    <w:p w:rsidR="005C64D8" w:rsidRDefault="005C64D8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F99"/>
    <w:rsid w:val="00052EC9"/>
    <w:rsid w:val="0005309F"/>
    <w:rsid w:val="00057EC8"/>
    <w:rsid w:val="0006023F"/>
    <w:rsid w:val="00067180"/>
    <w:rsid w:val="00070D27"/>
    <w:rsid w:val="00070F10"/>
    <w:rsid w:val="00073840"/>
    <w:rsid w:val="00074A94"/>
    <w:rsid w:val="000751BE"/>
    <w:rsid w:val="00075744"/>
    <w:rsid w:val="00083C39"/>
    <w:rsid w:val="00083F92"/>
    <w:rsid w:val="00086B4B"/>
    <w:rsid w:val="00093FC1"/>
    <w:rsid w:val="00095002"/>
    <w:rsid w:val="00095191"/>
    <w:rsid w:val="000A014B"/>
    <w:rsid w:val="000A1231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D007A"/>
    <w:rsid w:val="000D0E8F"/>
    <w:rsid w:val="000D1CC3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5304"/>
    <w:rsid w:val="00106D95"/>
    <w:rsid w:val="00110D86"/>
    <w:rsid w:val="00114F7A"/>
    <w:rsid w:val="00116195"/>
    <w:rsid w:val="00117A88"/>
    <w:rsid w:val="00120728"/>
    <w:rsid w:val="0012088B"/>
    <w:rsid w:val="00124352"/>
    <w:rsid w:val="00126559"/>
    <w:rsid w:val="00127B6F"/>
    <w:rsid w:val="00130949"/>
    <w:rsid w:val="0013178A"/>
    <w:rsid w:val="0013239D"/>
    <w:rsid w:val="001326C3"/>
    <w:rsid w:val="00133F4A"/>
    <w:rsid w:val="0013447D"/>
    <w:rsid w:val="001356B8"/>
    <w:rsid w:val="00137BA9"/>
    <w:rsid w:val="00142BE6"/>
    <w:rsid w:val="00144ECC"/>
    <w:rsid w:val="00145FC0"/>
    <w:rsid w:val="001478F0"/>
    <w:rsid w:val="001479E3"/>
    <w:rsid w:val="001514E2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A43F7"/>
    <w:rsid w:val="001A490F"/>
    <w:rsid w:val="001A6466"/>
    <w:rsid w:val="001A6A20"/>
    <w:rsid w:val="001A6C5C"/>
    <w:rsid w:val="001B0F0C"/>
    <w:rsid w:val="001B15CB"/>
    <w:rsid w:val="001B2961"/>
    <w:rsid w:val="001C107D"/>
    <w:rsid w:val="001C14F3"/>
    <w:rsid w:val="001C5DF9"/>
    <w:rsid w:val="001C7D81"/>
    <w:rsid w:val="001D0301"/>
    <w:rsid w:val="001D371C"/>
    <w:rsid w:val="001D60D6"/>
    <w:rsid w:val="001D6DFD"/>
    <w:rsid w:val="001E5A13"/>
    <w:rsid w:val="001E66F3"/>
    <w:rsid w:val="001E76BE"/>
    <w:rsid w:val="001F2767"/>
    <w:rsid w:val="001F548D"/>
    <w:rsid w:val="001F5B53"/>
    <w:rsid w:val="00200EDE"/>
    <w:rsid w:val="00202F7A"/>
    <w:rsid w:val="002056B1"/>
    <w:rsid w:val="0021076D"/>
    <w:rsid w:val="00211C25"/>
    <w:rsid w:val="00216855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662AE"/>
    <w:rsid w:val="002711C5"/>
    <w:rsid w:val="00272382"/>
    <w:rsid w:val="002725B2"/>
    <w:rsid w:val="00276DF1"/>
    <w:rsid w:val="00281B69"/>
    <w:rsid w:val="00282125"/>
    <w:rsid w:val="002824C4"/>
    <w:rsid w:val="002847D2"/>
    <w:rsid w:val="00287047"/>
    <w:rsid w:val="002908B7"/>
    <w:rsid w:val="00291D3E"/>
    <w:rsid w:val="002A03B3"/>
    <w:rsid w:val="002A27D3"/>
    <w:rsid w:val="002A7068"/>
    <w:rsid w:val="002B0C7A"/>
    <w:rsid w:val="002B2318"/>
    <w:rsid w:val="002B2C35"/>
    <w:rsid w:val="002B3AAA"/>
    <w:rsid w:val="002B495D"/>
    <w:rsid w:val="002B5AAB"/>
    <w:rsid w:val="002B69E4"/>
    <w:rsid w:val="002B6D43"/>
    <w:rsid w:val="002B6EEC"/>
    <w:rsid w:val="002B7100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4C36"/>
    <w:rsid w:val="002D5179"/>
    <w:rsid w:val="002D6217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B1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81C8F"/>
    <w:rsid w:val="00384133"/>
    <w:rsid w:val="0039318D"/>
    <w:rsid w:val="00394C2C"/>
    <w:rsid w:val="00395423"/>
    <w:rsid w:val="003A1122"/>
    <w:rsid w:val="003A42A4"/>
    <w:rsid w:val="003B47C3"/>
    <w:rsid w:val="003B710E"/>
    <w:rsid w:val="003C0B6C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B37"/>
    <w:rsid w:val="004151D2"/>
    <w:rsid w:val="004174AE"/>
    <w:rsid w:val="00422C1B"/>
    <w:rsid w:val="00424775"/>
    <w:rsid w:val="004249DB"/>
    <w:rsid w:val="00425178"/>
    <w:rsid w:val="00431C68"/>
    <w:rsid w:val="0043218B"/>
    <w:rsid w:val="00432CBE"/>
    <w:rsid w:val="004341FB"/>
    <w:rsid w:val="00435AEB"/>
    <w:rsid w:val="004376CA"/>
    <w:rsid w:val="004419D1"/>
    <w:rsid w:val="00446238"/>
    <w:rsid w:val="00452675"/>
    <w:rsid w:val="00452EB2"/>
    <w:rsid w:val="004552EF"/>
    <w:rsid w:val="00457CC5"/>
    <w:rsid w:val="00460E6C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B4DAE"/>
    <w:rsid w:val="004B60E8"/>
    <w:rsid w:val="004C1993"/>
    <w:rsid w:val="004C1E3C"/>
    <w:rsid w:val="004C494B"/>
    <w:rsid w:val="004C7E97"/>
    <w:rsid w:val="004D0CD1"/>
    <w:rsid w:val="004D1FA2"/>
    <w:rsid w:val="004D2086"/>
    <w:rsid w:val="004D2F1D"/>
    <w:rsid w:val="004D409F"/>
    <w:rsid w:val="004E1BB4"/>
    <w:rsid w:val="004E286D"/>
    <w:rsid w:val="004E3443"/>
    <w:rsid w:val="004E4116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19C9"/>
    <w:rsid w:val="00513E3A"/>
    <w:rsid w:val="00515726"/>
    <w:rsid w:val="00521010"/>
    <w:rsid w:val="00521317"/>
    <w:rsid w:val="005230C4"/>
    <w:rsid w:val="00523DBB"/>
    <w:rsid w:val="00526A0B"/>
    <w:rsid w:val="0053092E"/>
    <w:rsid w:val="00533F9B"/>
    <w:rsid w:val="005358A6"/>
    <w:rsid w:val="00536577"/>
    <w:rsid w:val="005368D8"/>
    <w:rsid w:val="00537CE3"/>
    <w:rsid w:val="005421B0"/>
    <w:rsid w:val="00542A04"/>
    <w:rsid w:val="005440E9"/>
    <w:rsid w:val="00544F47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273C"/>
    <w:rsid w:val="00573C0F"/>
    <w:rsid w:val="0057436F"/>
    <w:rsid w:val="00575B7B"/>
    <w:rsid w:val="00575DB8"/>
    <w:rsid w:val="005807F3"/>
    <w:rsid w:val="00581B1B"/>
    <w:rsid w:val="0058467D"/>
    <w:rsid w:val="00584FE9"/>
    <w:rsid w:val="00587FB4"/>
    <w:rsid w:val="005922A8"/>
    <w:rsid w:val="00593F4A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596E"/>
    <w:rsid w:val="005C64D8"/>
    <w:rsid w:val="005C6D9E"/>
    <w:rsid w:val="005D0A69"/>
    <w:rsid w:val="005D2893"/>
    <w:rsid w:val="005D3E9E"/>
    <w:rsid w:val="005D4285"/>
    <w:rsid w:val="005D7D18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63301"/>
    <w:rsid w:val="00666C78"/>
    <w:rsid w:val="00672F03"/>
    <w:rsid w:val="00673DE1"/>
    <w:rsid w:val="006753A3"/>
    <w:rsid w:val="0068003E"/>
    <w:rsid w:val="006809E5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B0C38"/>
    <w:rsid w:val="006B2128"/>
    <w:rsid w:val="006B4B37"/>
    <w:rsid w:val="006B64D0"/>
    <w:rsid w:val="006B7492"/>
    <w:rsid w:val="006C226C"/>
    <w:rsid w:val="006C37CF"/>
    <w:rsid w:val="006C652D"/>
    <w:rsid w:val="006C749E"/>
    <w:rsid w:val="006D1AFE"/>
    <w:rsid w:val="006D685D"/>
    <w:rsid w:val="006E05BA"/>
    <w:rsid w:val="006E457B"/>
    <w:rsid w:val="006E4AE1"/>
    <w:rsid w:val="006E770F"/>
    <w:rsid w:val="006F331D"/>
    <w:rsid w:val="006F3459"/>
    <w:rsid w:val="006F4E94"/>
    <w:rsid w:val="006F6071"/>
    <w:rsid w:val="00703221"/>
    <w:rsid w:val="00704398"/>
    <w:rsid w:val="00710E31"/>
    <w:rsid w:val="00712004"/>
    <w:rsid w:val="007120D1"/>
    <w:rsid w:val="0072124F"/>
    <w:rsid w:val="007213A1"/>
    <w:rsid w:val="00722318"/>
    <w:rsid w:val="007223D1"/>
    <w:rsid w:val="00724BC3"/>
    <w:rsid w:val="007277E0"/>
    <w:rsid w:val="00732A66"/>
    <w:rsid w:val="00732EE7"/>
    <w:rsid w:val="00734413"/>
    <w:rsid w:val="007355C4"/>
    <w:rsid w:val="00735893"/>
    <w:rsid w:val="007371A4"/>
    <w:rsid w:val="00737668"/>
    <w:rsid w:val="007407BC"/>
    <w:rsid w:val="00742144"/>
    <w:rsid w:val="007432FB"/>
    <w:rsid w:val="00743984"/>
    <w:rsid w:val="00744D67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22A6"/>
    <w:rsid w:val="007632A6"/>
    <w:rsid w:val="007657DE"/>
    <w:rsid w:val="007747CF"/>
    <w:rsid w:val="007747FA"/>
    <w:rsid w:val="00775B2D"/>
    <w:rsid w:val="007775C8"/>
    <w:rsid w:val="00780382"/>
    <w:rsid w:val="00780559"/>
    <w:rsid w:val="00784AB1"/>
    <w:rsid w:val="00790174"/>
    <w:rsid w:val="0079183E"/>
    <w:rsid w:val="0079369B"/>
    <w:rsid w:val="00793C3E"/>
    <w:rsid w:val="007952AF"/>
    <w:rsid w:val="007976F3"/>
    <w:rsid w:val="007A030E"/>
    <w:rsid w:val="007A33C9"/>
    <w:rsid w:val="007A5D6A"/>
    <w:rsid w:val="007A62DD"/>
    <w:rsid w:val="007B30F6"/>
    <w:rsid w:val="007B3926"/>
    <w:rsid w:val="007B3970"/>
    <w:rsid w:val="007B426C"/>
    <w:rsid w:val="007B5101"/>
    <w:rsid w:val="007B53DC"/>
    <w:rsid w:val="007B55A5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6E63"/>
    <w:rsid w:val="007E73F6"/>
    <w:rsid w:val="007F1C33"/>
    <w:rsid w:val="007F1EC0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3EF7"/>
    <w:rsid w:val="00824E36"/>
    <w:rsid w:val="00826D4E"/>
    <w:rsid w:val="00830060"/>
    <w:rsid w:val="00830538"/>
    <w:rsid w:val="00830FE3"/>
    <w:rsid w:val="0083258D"/>
    <w:rsid w:val="00832C81"/>
    <w:rsid w:val="0083798F"/>
    <w:rsid w:val="00840271"/>
    <w:rsid w:val="008420FC"/>
    <w:rsid w:val="008421AF"/>
    <w:rsid w:val="0084273A"/>
    <w:rsid w:val="00843E2A"/>
    <w:rsid w:val="00844D1D"/>
    <w:rsid w:val="0084538A"/>
    <w:rsid w:val="008477C0"/>
    <w:rsid w:val="008541BB"/>
    <w:rsid w:val="00856284"/>
    <w:rsid w:val="0085644D"/>
    <w:rsid w:val="0085714B"/>
    <w:rsid w:val="00860C08"/>
    <w:rsid w:val="0086440C"/>
    <w:rsid w:val="00864D8E"/>
    <w:rsid w:val="0086576E"/>
    <w:rsid w:val="00865F5E"/>
    <w:rsid w:val="0086621B"/>
    <w:rsid w:val="008670F9"/>
    <w:rsid w:val="0086741A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2F2D"/>
    <w:rsid w:val="00883804"/>
    <w:rsid w:val="008847E9"/>
    <w:rsid w:val="0088599E"/>
    <w:rsid w:val="00891AD2"/>
    <w:rsid w:val="00892320"/>
    <w:rsid w:val="00893D43"/>
    <w:rsid w:val="0089464E"/>
    <w:rsid w:val="00896AD9"/>
    <w:rsid w:val="008A0BF6"/>
    <w:rsid w:val="008A3EBB"/>
    <w:rsid w:val="008B10C6"/>
    <w:rsid w:val="008B19B1"/>
    <w:rsid w:val="008B7A8A"/>
    <w:rsid w:val="008C0C77"/>
    <w:rsid w:val="008C71D8"/>
    <w:rsid w:val="008C7B77"/>
    <w:rsid w:val="008C7EDD"/>
    <w:rsid w:val="008D0207"/>
    <w:rsid w:val="008D2024"/>
    <w:rsid w:val="008D27FE"/>
    <w:rsid w:val="008D48DF"/>
    <w:rsid w:val="008D577C"/>
    <w:rsid w:val="008D593B"/>
    <w:rsid w:val="008E3B84"/>
    <w:rsid w:val="00901331"/>
    <w:rsid w:val="00902DCF"/>
    <w:rsid w:val="00910C7E"/>
    <w:rsid w:val="009167C6"/>
    <w:rsid w:val="0091769E"/>
    <w:rsid w:val="009212F5"/>
    <w:rsid w:val="00923D6B"/>
    <w:rsid w:val="00924FCA"/>
    <w:rsid w:val="00932C0B"/>
    <w:rsid w:val="00932FC2"/>
    <w:rsid w:val="00933544"/>
    <w:rsid w:val="00935513"/>
    <w:rsid w:val="0094050D"/>
    <w:rsid w:val="00940F0D"/>
    <w:rsid w:val="0094304D"/>
    <w:rsid w:val="00945099"/>
    <w:rsid w:val="0095275C"/>
    <w:rsid w:val="00954576"/>
    <w:rsid w:val="00955D0A"/>
    <w:rsid w:val="00956FF7"/>
    <w:rsid w:val="009574AB"/>
    <w:rsid w:val="00964D38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270D"/>
    <w:rsid w:val="009975E5"/>
    <w:rsid w:val="00997AE8"/>
    <w:rsid w:val="009A018E"/>
    <w:rsid w:val="009A71BE"/>
    <w:rsid w:val="009A75B7"/>
    <w:rsid w:val="009B2A77"/>
    <w:rsid w:val="009B4731"/>
    <w:rsid w:val="009C08CD"/>
    <w:rsid w:val="009C190A"/>
    <w:rsid w:val="009C379C"/>
    <w:rsid w:val="009C39BA"/>
    <w:rsid w:val="009C54BB"/>
    <w:rsid w:val="009D06C4"/>
    <w:rsid w:val="009D1466"/>
    <w:rsid w:val="009D2FBA"/>
    <w:rsid w:val="009D638D"/>
    <w:rsid w:val="009E0B32"/>
    <w:rsid w:val="009E28AE"/>
    <w:rsid w:val="009E2910"/>
    <w:rsid w:val="009E5E40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32BD"/>
    <w:rsid w:val="00A23B7C"/>
    <w:rsid w:val="00A276AF"/>
    <w:rsid w:val="00A3205E"/>
    <w:rsid w:val="00A33711"/>
    <w:rsid w:val="00A343B7"/>
    <w:rsid w:val="00A360FF"/>
    <w:rsid w:val="00A37B54"/>
    <w:rsid w:val="00A37E38"/>
    <w:rsid w:val="00A4214E"/>
    <w:rsid w:val="00A42EB1"/>
    <w:rsid w:val="00A449CB"/>
    <w:rsid w:val="00A47E37"/>
    <w:rsid w:val="00A50895"/>
    <w:rsid w:val="00A50C58"/>
    <w:rsid w:val="00A553BD"/>
    <w:rsid w:val="00A61276"/>
    <w:rsid w:val="00A612D8"/>
    <w:rsid w:val="00A61974"/>
    <w:rsid w:val="00A62D5E"/>
    <w:rsid w:val="00A65B3F"/>
    <w:rsid w:val="00A67E64"/>
    <w:rsid w:val="00A7307D"/>
    <w:rsid w:val="00A74525"/>
    <w:rsid w:val="00A7656F"/>
    <w:rsid w:val="00A80247"/>
    <w:rsid w:val="00A81110"/>
    <w:rsid w:val="00A84222"/>
    <w:rsid w:val="00A85789"/>
    <w:rsid w:val="00A93732"/>
    <w:rsid w:val="00A941B3"/>
    <w:rsid w:val="00A97BFA"/>
    <w:rsid w:val="00AA02BC"/>
    <w:rsid w:val="00AA1A40"/>
    <w:rsid w:val="00AA24B8"/>
    <w:rsid w:val="00AA24C0"/>
    <w:rsid w:val="00AA3755"/>
    <w:rsid w:val="00AA5E13"/>
    <w:rsid w:val="00AA6A46"/>
    <w:rsid w:val="00AA73CA"/>
    <w:rsid w:val="00AB033E"/>
    <w:rsid w:val="00AC024D"/>
    <w:rsid w:val="00AC0CD4"/>
    <w:rsid w:val="00AC2CC1"/>
    <w:rsid w:val="00AC6342"/>
    <w:rsid w:val="00AC7D1C"/>
    <w:rsid w:val="00AD153D"/>
    <w:rsid w:val="00AD1D21"/>
    <w:rsid w:val="00AD46A6"/>
    <w:rsid w:val="00AD5B1D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30CC"/>
    <w:rsid w:val="00B14E1E"/>
    <w:rsid w:val="00B1717D"/>
    <w:rsid w:val="00B204C7"/>
    <w:rsid w:val="00B21B41"/>
    <w:rsid w:val="00B22989"/>
    <w:rsid w:val="00B22D11"/>
    <w:rsid w:val="00B24C2B"/>
    <w:rsid w:val="00B26E8A"/>
    <w:rsid w:val="00B277D3"/>
    <w:rsid w:val="00B31D41"/>
    <w:rsid w:val="00B338B3"/>
    <w:rsid w:val="00B4000A"/>
    <w:rsid w:val="00B4112B"/>
    <w:rsid w:val="00B42775"/>
    <w:rsid w:val="00B43AF0"/>
    <w:rsid w:val="00B456D7"/>
    <w:rsid w:val="00B46D93"/>
    <w:rsid w:val="00B53721"/>
    <w:rsid w:val="00B54EA5"/>
    <w:rsid w:val="00B5645D"/>
    <w:rsid w:val="00B57AB3"/>
    <w:rsid w:val="00B6586F"/>
    <w:rsid w:val="00B67573"/>
    <w:rsid w:val="00B725E1"/>
    <w:rsid w:val="00B75249"/>
    <w:rsid w:val="00B76EAA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21B1"/>
    <w:rsid w:val="00BC3AE6"/>
    <w:rsid w:val="00BD5DF1"/>
    <w:rsid w:val="00BE23F2"/>
    <w:rsid w:val="00BE722E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DE7"/>
    <w:rsid w:val="00C15A28"/>
    <w:rsid w:val="00C200CB"/>
    <w:rsid w:val="00C203E0"/>
    <w:rsid w:val="00C21969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81738"/>
    <w:rsid w:val="00C821FD"/>
    <w:rsid w:val="00C84239"/>
    <w:rsid w:val="00C86CAA"/>
    <w:rsid w:val="00C87344"/>
    <w:rsid w:val="00C87A70"/>
    <w:rsid w:val="00C87FDA"/>
    <w:rsid w:val="00C914CD"/>
    <w:rsid w:val="00C95C8F"/>
    <w:rsid w:val="00CA233D"/>
    <w:rsid w:val="00CA2B80"/>
    <w:rsid w:val="00CA409D"/>
    <w:rsid w:val="00CA462A"/>
    <w:rsid w:val="00CA494E"/>
    <w:rsid w:val="00CA4D99"/>
    <w:rsid w:val="00CA68AB"/>
    <w:rsid w:val="00CA6EF3"/>
    <w:rsid w:val="00CB047D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6B3"/>
    <w:rsid w:val="00CE544F"/>
    <w:rsid w:val="00CE59ED"/>
    <w:rsid w:val="00CE70B7"/>
    <w:rsid w:val="00CE7673"/>
    <w:rsid w:val="00CF2FB0"/>
    <w:rsid w:val="00CF3BB9"/>
    <w:rsid w:val="00CF4333"/>
    <w:rsid w:val="00CF497B"/>
    <w:rsid w:val="00CF4ED8"/>
    <w:rsid w:val="00CF7364"/>
    <w:rsid w:val="00CF7728"/>
    <w:rsid w:val="00CF7A31"/>
    <w:rsid w:val="00CF7B2B"/>
    <w:rsid w:val="00D03413"/>
    <w:rsid w:val="00D07E65"/>
    <w:rsid w:val="00D12A12"/>
    <w:rsid w:val="00D162D9"/>
    <w:rsid w:val="00D20E8E"/>
    <w:rsid w:val="00D22A24"/>
    <w:rsid w:val="00D23D79"/>
    <w:rsid w:val="00D24C2F"/>
    <w:rsid w:val="00D24F63"/>
    <w:rsid w:val="00D25591"/>
    <w:rsid w:val="00D305CC"/>
    <w:rsid w:val="00D30A96"/>
    <w:rsid w:val="00D31746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624D2"/>
    <w:rsid w:val="00D63791"/>
    <w:rsid w:val="00D63C56"/>
    <w:rsid w:val="00D65B00"/>
    <w:rsid w:val="00D66B6A"/>
    <w:rsid w:val="00D67408"/>
    <w:rsid w:val="00D70536"/>
    <w:rsid w:val="00D715FE"/>
    <w:rsid w:val="00D7276F"/>
    <w:rsid w:val="00D759DD"/>
    <w:rsid w:val="00D82A2F"/>
    <w:rsid w:val="00D8320A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67DC"/>
    <w:rsid w:val="00DA02B4"/>
    <w:rsid w:val="00DA1297"/>
    <w:rsid w:val="00DA525A"/>
    <w:rsid w:val="00DA5938"/>
    <w:rsid w:val="00DB632D"/>
    <w:rsid w:val="00DC2929"/>
    <w:rsid w:val="00DC5191"/>
    <w:rsid w:val="00DC6137"/>
    <w:rsid w:val="00DC6E33"/>
    <w:rsid w:val="00DD1175"/>
    <w:rsid w:val="00DD71AC"/>
    <w:rsid w:val="00DE002A"/>
    <w:rsid w:val="00DE35D2"/>
    <w:rsid w:val="00DE52D3"/>
    <w:rsid w:val="00DE5369"/>
    <w:rsid w:val="00DE64FA"/>
    <w:rsid w:val="00DF1492"/>
    <w:rsid w:val="00DF320F"/>
    <w:rsid w:val="00DF5BFB"/>
    <w:rsid w:val="00DF5D96"/>
    <w:rsid w:val="00DF682C"/>
    <w:rsid w:val="00E00EA6"/>
    <w:rsid w:val="00E02140"/>
    <w:rsid w:val="00E035E9"/>
    <w:rsid w:val="00E07167"/>
    <w:rsid w:val="00E11EF4"/>
    <w:rsid w:val="00E12877"/>
    <w:rsid w:val="00E164E0"/>
    <w:rsid w:val="00E21441"/>
    <w:rsid w:val="00E22318"/>
    <w:rsid w:val="00E23F13"/>
    <w:rsid w:val="00E32833"/>
    <w:rsid w:val="00E329E2"/>
    <w:rsid w:val="00E34EB1"/>
    <w:rsid w:val="00E40F98"/>
    <w:rsid w:val="00E43F1B"/>
    <w:rsid w:val="00E46121"/>
    <w:rsid w:val="00E46D45"/>
    <w:rsid w:val="00E51EAF"/>
    <w:rsid w:val="00E54FEE"/>
    <w:rsid w:val="00E608C4"/>
    <w:rsid w:val="00E6172E"/>
    <w:rsid w:val="00E641DE"/>
    <w:rsid w:val="00E64D0B"/>
    <w:rsid w:val="00E64FE2"/>
    <w:rsid w:val="00E65FBD"/>
    <w:rsid w:val="00E73C54"/>
    <w:rsid w:val="00E773FC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94D63"/>
    <w:rsid w:val="00EB4140"/>
    <w:rsid w:val="00EB48F4"/>
    <w:rsid w:val="00EB4FA6"/>
    <w:rsid w:val="00EC0614"/>
    <w:rsid w:val="00EC26FE"/>
    <w:rsid w:val="00ED126D"/>
    <w:rsid w:val="00ED5E4D"/>
    <w:rsid w:val="00ED758A"/>
    <w:rsid w:val="00EE5038"/>
    <w:rsid w:val="00EF16AB"/>
    <w:rsid w:val="00EF2BEC"/>
    <w:rsid w:val="00EF5015"/>
    <w:rsid w:val="00EF596D"/>
    <w:rsid w:val="00F017D7"/>
    <w:rsid w:val="00F02916"/>
    <w:rsid w:val="00F0325D"/>
    <w:rsid w:val="00F03765"/>
    <w:rsid w:val="00F051A1"/>
    <w:rsid w:val="00F12897"/>
    <w:rsid w:val="00F12F31"/>
    <w:rsid w:val="00F136A9"/>
    <w:rsid w:val="00F21922"/>
    <w:rsid w:val="00F22A42"/>
    <w:rsid w:val="00F27960"/>
    <w:rsid w:val="00F31578"/>
    <w:rsid w:val="00F3693D"/>
    <w:rsid w:val="00F36B50"/>
    <w:rsid w:val="00F40B51"/>
    <w:rsid w:val="00F4185E"/>
    <w:rsid w:val="00F429F9"/>
    <w:rsid w:val="00F42AE8"/>
    <w:rsid w:val="00F432DD"/>
    <w:rsid w:val="00F436A5"/>
    <w:rsid w:val="00F444FF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20FA"/>
    <w:rsid w:val="00FC35E4"/>
    <w:rsid w:val="00FC4A93"/>
    <w:rsid w:val="00FD1979"/>
    <w:rsid w:val="00FD1F71"/>
    <w:rsid w:val="00FD2DF5"/>
    <w:rsid w:val="00FD64FA"/>
    <w:rsid w:val="00FD6689"/>
    <w:rsid w:val="00FE101B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_graf__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/>
              <a:t>Vývoj početních stavů krav dle kategorií v kusech ke dni 1. 4. příslušného kalendářního roku                                 (Pramen: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List1!$K$4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6.4146983748429087E-2"/>
                  <c:y val="3.5847524984928082E-2"/>
                </c:manualLayout>
              </c:layout>
              <c:showVal val="1"/>
            </c:dLbl>
            <c:dLbl>
              <c:idx val="2"/>
              <c:layout>
                <c:manualLayout>
                  <c:x val="-6.6876642631339578E-2"/>
                  <c:y val="2.3195457343188088E-2"/>
                </c:manualLayout>
              </c:layout>
              <c:showVal val="1"/>
            </c:dLbl>
            <c:dLbl>
              <c:idx val="3"/>
              <c:layout>
                <c:manualLayout>
                  <c:x val="-6.8241472072795475E-2"/>
                  <c:y val="1.8978101462609226E-2"/>
                </c:manualLayout>
              </c:layout>
              <c:showVal val="1"/>
            </c:dLbl>
            <c:dLbl>
              <c:idx val="4"/>
              <c:layout>
                <c:manualLayout>
                  <c:x val="-6.6876750098224733E-2"/>
                  <c:y val="2.3195457343188088E-2"/>
                </c:manualLayout>
              </c:layout>
              <c:showVal val="1"/>
            </c:dLbl>
            <c:dLbl>
              <c:idx val="5"/>
              <c:layout>
                <c:manualLayout>
                  <c:x val="-5.8687665982604074E-2"/>
                  <c:y val="2.5304135283478652E-2"/>
                </c:manualLayout>
              </c:layout>
              <c:showVal val="1"/>
            </c:dLbl>
            <c:dLbl>
              <c:idx val="6"/>
              <c:layout>
                <c:manualLayout>
                  <c:x val="-4.2309712685133324E-2"/>
                  <c:y val="3.5847524984928082E-2"/>
                </c:manualLayout>
              </c:layout>
              <c:showVal val="1"/>
            </c:dLbl>
            <c:dLbl>
              <c:idx val="7"/>
              <c:layout>
                <c:manualLayout>
                  <c:x val="-4.5039371568045022E-2"/>
                  <c:y val="3.3738847044638066E-2"/>
                </c:manualLayout>
              </c:layout>
              <c:showVal val="1"/>
            </c:dLbl>
            <c:dLbl>
              <c:idx val="8"/>
              <c:layout>
                <c:manualLayout>
                  <c:x val="-5.0498689333869133E-2"/>
                  <c:y val="3.7956202925218445E-2"/>
                </c:manualLayout>
              </c:layout>
              <c:showVal val="1"/>
            </c:dLbl>
            <c:dLbl>
              <c:idx val="9"/>
              <c:layout>
                <c:manualLayout>
                  <c:x val="-5.3228348216779318E-2"/>
                  <c:y val="3.7956202925218445E-2"/>
                </c:manualLayout>
              </c:layout>
              <c:showVal val="1"/>
            </c:dLbl>
            <c:dLbl>
              <c:idx val="10"/>
              <c:layout>
                <c:manualLayout>
                  <c:x val="-5.4593285125123035E-2"/>
                  <c:y val="3.1630169104348196E-2"/>
                </c:manualLayout>
              </c:layout>
              <c:showVal val="1"/>
            </c:dLbl>
            <c:dLbl>
              <c:idx val="11"/>
              <c:layout>
                <c:manualLayout>
                  <c:x val="-5.1863518775324566E-2"/>
                  <c:y val="4.8499592626667212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List1!$K$5:$K$16</c:f>
              <c:numCache>
                <c:formatCode>#,##0</c:formatCode>
                <c:ptCount val="12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</c:numCache>
            </c:numRef>
          </c:val>
        </c:ser>
        <c:ser>
          <c:idx val="1"/>
          <c:order val="1"/>
          <c:tx>
            <c:strRef>
              <c:f>List1!$L$4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-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4.7769030450957865E-2"/>
                  <c:y val="-4.2173558805797567E-2"/>
                </c:manualLayout>
              </c:layout>
              <c:showVal val="1"/>
            </c:dLbl>
            <c:dLbl>
              <c:idx val="2"/>
              <c:layout>
                <c:manualLayout>
                  <c:x val="-5.3228348216779318E-2"/>
                  <c:y val="-3.7956202925218445E-2"/>
                </c:manualLayout>
              </c:layout>
              <c:showVal val="1"/>
            </c:dLbl>
            <c:dLbl>
              <c:idx val="3"/>
              <c:layout>
                <c:manualLayout>
                  <c:x val="-5.1863518775324566E-2"/>
                  <c:y val="-2.9521491164058177E-2"/>
                </c:manualLayout>
              </c:layout>
              <c:showVal val="1"/>
            </c:dLbl>
            <c:dLbl>
              <c:idx val="4"/>
              <c:layout>
                <c:manualLayout>
                  <c:x val="-5.4593285125123084E-2"/>
                  <c:y val="-4.2173558805797567E-2"/>
                </c:manualLayout>
              </c:layout>
              <c:showVal val="1"/>
            </c:dLbl>
            <c:dLbl>
              <c:idx val="5"/>
              <c:layout>
                <c:manualLayout>
                  <c:x val="-6.1417324865517375E-2"/>
                  <c:y val="-5.2716948507248167E-2"/>
                </c:manualLayout>
              </c:layout>
              <c:showVal val="1"/>
            </c:dLbl>
            <c:dLbl>
              <c:idx val="6"/>
              <c:layout>
                <c:manualLayout>
                  <c:x val="-4.9133859892412833E-2"/>
                  <c:y val="-4.0064880865507822E-2"/>
                </c:manualLayout>
              </c:layout>
              <c:showVal val="1"/>
            </c:dLbl>
            <c:dLbl>
              <c:idx val="7"/>
              <c:layout>
                <c:manualLayout>
                  <c:x val="-5.4593177658238026E-2"/>
                  <c:y val="-3.5847691022561648E-2"/>
                </c:manualLayout>
              </c:layout>
              <c:showVal val="1"/>
            </c:dLbl>
            <c:dLbl>
              <c:idx val="8"/>
              <c:layout>
                <c:manualLayout>
                  <c:x val="-6.5511813189883694E-2"/>
                  <c:y val="-3.3739013082271903E-2"/>
                </c:manualLayout>
              </c:layout>
              <c:showVal val="1"/>
            </c:dLbl>
            <c:dLbl>
              <c:idx val="9"/>
              <c:layout>
                <c:manualLayout>
                  <c:x val="-5.4593177658238026E-2"/>
                  <c:y val="-4.2173724843432486E-2"/>
                </c:manualLayout>
              </c:layout>
              <c:showVal val="1"/>
            </c:dLbl>
            <c:dLbl>
              <c:idx val="10"/>
              <c:layout>
                <c:manualLayout>
                  <c:x val="-5.1863626242211101E-2"/>
                  <c:y val="-4.4282402783720538E-2"/>
                </c:manualLayout>
              </c:layout>
              <c:showVal val="1"/>
            </c:dLbl>
            <c:dLbl>
              <c:idx val="11"/>
              <c:layout>
                <c:manualLayout>
                  <c:x val="-4.0944883243677295E-2"/>
                  <c:y val="-5.9043148365749677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List1!$L$5:$L$16</c:f>
              <c:numCache>
                <c:formatCode>#,##0</c:formatCode>
                <c:ptCount val="12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</c:numCache>
            </c:numRef>
          </c:val>
        </c:ser>
        <c:marker val="1"/>
        <c:axId val="83569664"/>
        <c:axId val="83579648"/>
      </c:lineChart>
      <c:catAx>
        <c:axId val="83569664"/>
        <c:scaling>
          <c:orientation val="minMax"/>
        </c:scaling>
        <c:axPos val="b"/>
        <c:numFmt formatCode="General" sourceLinked="1"/>
        <c:tickLblPos val="nextTo"/>
        <c:crossAx val="83579648"/>
        <c:crosses val="autoZero"/>
        <c:auto val="1"/>
        <c:lblAlgn val="ctr"/>
        <c:lblOffset val="100"/>
      </c:catAx>
      <c:valAx>
        <c:axId val="83579648"/>
        <c:scaling>
          <c:orientation val="minMax"/>
          <c:max val="600000"/>
          <c:min val="50000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83569664"/>
        <c:crosses val="autoZero"/>
        <c:crossBetween val="between"/>
      </c:valAx>
      <c:spPr>
        <a:solidFill>
          <a:schemeClr val="bg1"/>
        </a:solidFill>
        <a:ln w="25400">
          <a:solidFill>
            <a:sysClr val="windowText" lastClr="000000"/>
          </a:solidFill>
        </a:ln>
      </c:spPr>
    </c:plotArea>
    <c:legend>
      <c:legendPos val="b"/>
    </c:legend>
    <c:plotVisOnly val="1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txPr>
    <a:bodyPr/>
    <a:lstStyle/>
    <a:p>
      <a:pPr>
        <a:defRPr sz="800" baseline="0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Vývoj CZV mléka I.tř.jak. a vývoj CPV a SC polotučného trvanlivého mléka</a:t>
            </a:r>
            <a:endParaRPr lang="cs-CZ" sz="1000"/>
          </a:p>
          <a:p>
            <a:pPr>
              <a:defRPr sz="1000"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5394153317042344"/>
          <c:y val="0.26751125621492433"/>
          <c:w val="0.74894198570006332"/>
          <c:h val="0.55119812726111961"/>
        </c:manualLayout>
      </c:layout>
      <c:lineChart>
        <c:grouping val="standard"/>
        <c:ser>
          <c:idx val="0"/>
          <c:order val="0"/>
          <c:tx>
            <c:strRef>
              <c:f>List1!$H$136</c:f>
              <c:strCache>
                <c:ptCount val="1"/>
                <c:pt idx="0">
                  <c:v>CZV</c:v>
                </c:pt>
              </c:strCache>
            </c:strRef>
          </c:tx>
          <c:marker>
            <c:symbol val="diamond"/>
            <c:size val="4"/>
          </c:marker>
          <c:cat>
            <c:strRef>
              <c:f>List1!$G$137:$G$257</c:f>
              <c:strCache>
                <c:ptCount val="121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</c:strCache>
            </c:strRef>
          </c:cat>
          <c:val>
            <c:numRef>
              <c:f>List1!$H$137:$H$257</c:f>
              <c:numCache>
                <c:formatCode>General</c:formatCode>
                <c:ptCount val="121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8.2200000000000006</c:v>
                </c:pt>
                <c:pt idx="43">
                  <c:v>8.26</c:v>
                </c:pt>
                <c:pt idx="44">
                  <c:v>8.2200000000000006</c:v>
                </c:pt>
                <c:pt idx="45">
                  <c:v>8.2200000000000006</c:v>
                </c:pt>
                <c:pt idx="46">
                  <c:v>8.2200000000000006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8.2200000000000006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</c:numCache>
            </c:numRef>
          </c:val>
        </c:ser>
        <c:ser>
          <c:idx val="1"/>
          <c:order val="1"/>
          <c:tx>
            <c:strRef>
              <c:f>List1!$I$136</c:f>
              <c:strCache>
                <c:ptCount val="1"/>
                <c:pt idx="0">
                  <c:v>CPV</c:v>
                </c:pt>
              </c:strCache>
            </c:strRef>
          </c:tx>
          <c:marker>
            <c:symbol val="square"/>
            <c:size val="4"/>
          </c:marker>
          <c:cat>
            <c:strRef>
              <c:f>List1!$G$137:$G$257</c:f>
              <c:strCache>
                <c:ptCount val="121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</c:strCache>
            </c:strRef>
          </c:cat>
          <c:val>
            <c:numRef>
              <c:f>List1!$I$137:$I$257</c:f>
              <c:numCache>
                <c:formatCode>General</c:formatCode>
                <c:ptCount val="121"/>
                <c:pt idx="0">
                  <c:v>11.9</c:v>
                </c:pt>
                <c:pt idx="1">
                  <c:v>11.9</c:v>
                </c:pt>
                <c:pt idx="2">
                  <c:v>11.860000000000015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10.350000000000016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10.860000000000015</c:v>
                </c:pt>
                <c:pt idx="31">
                  <c:v>10.860000000000015</c:v>
                </c:pt>
                <c:pt idx="32">
                  <c:v>10.860000000000015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10.350000000000016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</c:numCache>
            </c:numRef>
          </c:val>
        </c:ser>
        <c:ser>
          <c:idx val="2"/>
          <c:order val="2"/>
          <c:tx>
            <c:strRef>
              <c:f>List1!$J$136</c:f>
              <c:strCache>
                <c:ptCount val="1"/>
                <c:pt idx="0">
                  <c:v>SC</c:v>
                </c:pt>
              </c:strCache>
            </c:strRef>
          </c:tx>
          <c:marker>
            <c:symbol val="triangle"/>
            <c:size val="4"/>
          </c:marker>
          <c:cat>
            <c:strRef>
              <c:f>List1!$G$137:$G$257</c:f>
              <c:strCache>
                <c:ptCount val="121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</c:strCache>
            </c:strRef>
          </c:cat>
          <c:val>
            <c:numRef>
              <c:f>List1!$J$137:$J$257</c:f>
              <c:numCache>
                <c:formatCode>General</c:formatCode>
                <c:ptCount val="121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17.110000000000031</c:v>
                </c:pt>
                <c:pt idx="120">
                  <c:v>17.2</c:v>
                </c:pt>
              </c:numCache>
            </c:numRef>
          </c:val>
        </c:ser>
        <c:marker val="1"/>
        <c:axId val="98785536"/>
        <c:axId val="98791424"/>
      </c:lineChart>
      <c:catAx>
        <c:axId val="98785536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98791424"/>
        <c:crosses val="autoZero"/>
        <c:auto val="1"/>
        <c:lblAlgn val="ctr"/>
        <c:lblOffset val="100"/>
      </c:catAx>
      <c:valAx>
        <c:axId val="98791424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8785536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588"/>
          <c:y val="0.91305546266176185"/>
          <c:w val="0.51678217131677007"/>
          <c:h val="4.8532717194134524E-2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1100"/>
            </a:pPr>
            <a:r>
              <a:rPr lang="en-US" sz="1000"/>
              <a:t>Ceny mléka v EU-27 v měsíci </a:t>
            </a:r>
            <a:r>
              <a:rPr lang="cs-CZ" sz="1000"/>
              <a:t>prosinec</a:t>
            </a:r>
            <a:r>
              <a:rPr lang="en-US" sz="1000"/>
              <a:t> 2010 a 2011</a:t>
            </a:r>
            <a:r>
              <a:rPr lang="en-US" sz="1100"/>
              <a:t> </a:t>
            </a:r>
            <a:r>
              <a:rPr lang="en-US" sz="800"/>
              <a:t>(Pramen: Evropská komise , Milk Market Situation, </a:t>
            </a:r>
            <a:r>
              <a:rPr lang="cs-CZ" sz="800"/>
              <a:t>23 February 2012)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16958395403277293"/>
          <c:y val="0.22798609633255301"/>
          <c:w val="0.79598663044702878"/>
          <c:h val="0.44352537013954396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Švédsko</c:v>
                </c:pt>
                <c:pt idx="7">
                  <c:v>Nizozemsko</c:v>
                </c:pt>
                <c:pt idx="8">
                  <c:v>Dánsko</c:v>
                </c:pt>
                <c:pt idx="9">
                  <c:v>Irsko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Lucembursko</c:v>
                </c:pt>
                <c:pt idx="13">
                  <c:v>Bulharsko</c:v>
                </c:pt>
                <c:pt idx="14">
                  <c:v>Spojené království</c:v>
                </c:pt>
                <c:pt idx="15">
                  <c:v>Belgie</c:v>
                </c:pt>
                <c:pt idx="16">
                  <c:v>Španělsko</c:v>
                </c:pt>
                <c:pt idx="17">
                  <c:v>Slovinsko</c:v>
                </c:pt>
                <c:pt idx="18">
                  <c:v>Portugalsko</c:v>
                </c:pt>
                <c:pt idx="19">
                  <c:v>Francie</c:v>
                </c:pt>
                <c:pt idx="20">
                  <c:v>Slovensko</c:v>
                </c:pt>
                <c:pt idx="21">
                  <c:v>Estonsko</c:v>
                </c:pt>
                <c:pt idx="22">
                  <c:v>Česká republika</c:v>
                </c:pt>
                <c:pt idx="23">
                  <c:v>Lotyšsko</c:v>
                </c:pt>
                <c:pt idx="24">
                  <c:v>Litva</c:v>
                </c:pt>
                <c:pt idx="25">
                  <c:v>Maďarsko</c:v>
                </c:pt>
                <c:pt idx="26">
                  <c:v>Rumunsko</c:v>
                </c:pt>
                <c:pt idx="27">
                  <c:v>Polsko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51.68</c:v>
                </c:pt>
                <c:pt idx="1">
                  <c:v>38.97</c:v>
                </c:pt>
                <c:pt idx="2">
                  <c:v>46.07</c:v>
                </c:pt>
                <c:pt idx="3" formatCode="0.00">
                  <c:v>42.96</c:v>
                </c:pt>
                <c:pt idx="4" formatCode="0.00">
                  <c:v>34.800000000000004</c:v>
                </c:pt>
                <c:pt idx="5" formatCode="0.00">
                  <c:v>35.309999999999995</c:v>
                </c:pt>
                <c:pt idx="6" formatCode="0.00">
                  <c:v>41.04</c:v>
                </c:pt>
                <c:pt idx="7" formatCode="0.00">
                  <c:v>35.65</c:v>
                </c:pt>
                <c:pt idx="8" formatCode="0.00">
                  <c:v>36.9</c:v>
                </c:pt>
                <c:pt idx="9" formatCode="0.00">
                  <c:v>32.730000000000011</c:v>
                </c:pt>
                <c:pt idx="10" formatCode="0.00">
                  <c:v>34.42</c:v>
                </c:pt>
                <c:pt idx="11" formatCode="0.00">
                  <c:v>33.200000000000003</c:v>
                </c:pt>
                <c:pt idx="12" formatCode="0.00">
                  <c:v>32.51</c:v>
                </c:pt>
                <c:pt idx="13" formatCode="0.00">
                  <c:v>31.67</c:v>
                </c:pt>
                <c:pt idx="14" formatCode="0.00">
                  <c:v>29.8</c:v>
                </c:pt>
                <c:pt idx="15" formatCode="0.00">
                  <c:v>33.809999999999995</c:v>
                </c:pt>
                <c:pt idx="16" formatCode="0.00">
                  <c:v>31.259999999999987</c:v>
                </c:pt>
                <c:pt idx="17" formatCode="0.00">
                  <c:v>28.85</c:v>
                </c:pt>
                <c:pt idx="18" formatCode="0.00">
                  <c:v>32.220000000000013</c:v>
                </c:pt>
                <c:pt idx="19" formatCode="0.00">
                  <c:v>32.120000000000012</c:v>
                </c:pt>
                <c:pt idx="20" formatCode="0.00">
                  <c:v>30.57</c:v>
                </c:pt>
                <c:pt idx="21" formatCode="0.00">
                  <c:v>30.77</c:v>
                </c:pt>
                <c:pt idx="22">
                  <c:v>31.02</c:v>
                </c:pt>
                <c:pt idx="23" formatCode="0.00">
                  <c:v>27.650000000000031</c:v>
                </c:pt>
                <c:pt idx="24" formatCode="0.00">
                  <c:v>29.630000000000031</c:v>
                </c:pt>
                <c:pt idx="25" formatCode="0.00">
                  <c:v>28.99</c:v>
                </c:pt>
                <c:pt idx="26" formatCode="0.00">
                  <c:v>26.55</c:v>
                </c:pt>
                <c:pt idx="27" formatCode="0.00">
                  <c:v>29.79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2"/>
            </a:solidFill>
          </c:spPr>
          <c:dPt>
            <c:idx val="11"/>
            <c:spPr>
              <a:solidFill>
                <a:schemeClr val="accent2">
                  <a:lumMod val="50000"/>
                </a:schemeClr>
              </a:solidFill>
            </c:spPr>
          </c:dPt>
          <c:dLbls>
            <c:txPr>
              <a:bodyPr rot="-5400000" vert="horz"/>
              <a:lstStyle/>
              <a:p>
                <a:pPr>
                  <a:defRPr sz="600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Švédsko</c:v>
                </c:pt>
                <c:pt idx="7">
                  <c:v>Nizozemsko</c:v>
                </c:pt>
                <c:pt idx="8">
                  <c:v>Dánsko</c:v>
                </c:pt>
                <c:pt idx="9">
                  <c:v>Irsko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Lucembursko</c:v>
                </c:pt>
                <c:pt idx="13">
                  <c:v>Bulharsko</c:v>
                </c:pt>
                <c:pt idx="14">
                  <c:v>Spojené království</c:v>
                </c:pt>
                <c:pt idx="15">
                  <c:v>Belgie</c:v>
                </c:pt>
                <c:pt idx="16">
                  <c:v>Španělsko</c:v>
                </c:pt>
                <c:pt idx="17">
                  <c:v>Slovinsko</c:v>
                </c:pt>
                <c:pt idx="18">
                  <c:v>Portugalsko</c:v>
                </c:pt>
                <c:pt idx="19">
                  <c:v>Francie</c:v>
                </c:pt>
                <c:pt idx="20">
                  <c:v>Slovensko</c:v>
                </c:pt>
                <c:pt idx="21">
                  <c:v>Estonsko</c:v>
                </c:pt>
                <c:pt idx="22">
                  <c:v>Česká republika</c:v>
                </c:pt>
                <c:pt idx="23">
                  <c:v>Lotyšsko</c:v>
                </c:pt>
                <c:pt idx="24">
                  <c:v>Litva</c:v>
                </c:pt>
                <c:pt idx="25">
                  <c:v>Maďarsko</c:v>
                </c:pt>
                <c:pt idx="26">
                  <c:v>Rumunsko</c:v>
                </c:pt>
                <c:pt idx="27">
                  <c:v>Polsko</c:v>
                </c:pt>
              </c:strCache>
            </c:strRef>
          </c:cat>
          <c:val>
            <c:numRef>
              <c:f>List1!$Q$6:$Q$33</c:f>
              <c:numCache>
                <c:formatCode>0.00</c:formatCode>
                <c:ptCount val="28"/>
                <c:pt idx="0">
                  <c:v>53.720000000000013</c:v>
                </c:pt>
                <c:pt idx="1">
                  <c:v>47.39</c:v>
                </c:pt>
                <c:pt idx="2" formatCode="General">
                  <c:v>46.61</c:v>
                </c:pt>
                <c:pt idx="3">
                  <c:v>45.17</c:v>
                </c:pt>
                <c:pt idx="4">
                  <c:v>39.050000000000004</c:v>
                </c:pt>
                <c:pt idx="5">
                  <c:v>37.71</c:v>
                </c:pt>
                <c:pt idx="6">
                  <c:v>37.57</c:v>
                </c:pt>
                <c:pt idx="7">
                  <c:v>37.5</c:v>
                </c:pt>
                <c:pt idx="8">
                  <c:v>36.5</c:v>
                </c:pt>
                <c:pt idx="9">
                  <c:v>36.42</c:v>
                </c:pt>
                <c:pt idx="10">
                  <c:v>35.71</c:v>
                </c:pt>
                <c:pt idx="11" formatCode="General">
                  <c:v>34.700000000000003</c:v>
                </c:pt>
                <c:pt idx="12">
                  <c:v>34.53</c:v>
                </c:pt>
                <c:pt idx="13">
                  <c:v>33.9</c:v>
                </c:pt>
                <c:pt idx="14">
                  <c:v>33.67</c:v>
                </c:pt>
                <c:pt idx="15">
                  <c:v>33.65</c:v>
                </c:pt>
                <c:pt idx="16">
                  <c:v>32.82</c:v>
                </c:pt>
                <c:pt idx="17">
                  <c:v>32.700000000000003</c:v>
                </c:pt>
                <c:pt idx="18">
                  <c:v>32.42</c:v>
                </c:pt>
                <c:pt idx="19">
                  <c:v>32.21</c:v>
                </c:pt>
                <c:pt idx="20">
                  <c:v>32.21</c:v>
                </c:pt>
                <c:pt idx="21">
                  <c:v>32</c:v>
                </c:pt>
                <c:pt idx="22">
                  <c:v>31.979999999999986</c:v>
                </c:pt>
                <c:pt idx="23">
                  <c:v>30.21</c:v>
                </c:pt>
                <c:pt idx="24">
                  <c:v>30.1</c:v>
                </c:pt>
                <c:pt idx="25">
                  <c:v>30.05</c:v>
                </c:pt>
                <c:pt idx="26" formatCode="General">
                  <c:v>30.04</c:v>
                </c:pt>
                <c:pt idx="27">
                  <c:v>28.74</c:v>
                </c:pt>
              </c:numCache>
            </c:numRef>
          </c:val>
        </c:ser>
        <c:axId val="84510976"/>
        <c:axId val="84529152"/>
      </c:barChart>
      <c:catAx>
        <c:axId val="845109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84529152"/>
        <c:crosses val="autoZero"/>
        <c:auto val="1"/>
        <c:lblAlgn val="ctr"/>
        <c:lblOffset val="100"/>
      </c:catAx>
      <c:valAx>
        <c:axId val="84529152"/>
        <c:scaling>
          <c:orientation val="minMax"/>
          <c:min val="1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 baseline="0"/>
                </a:pPr>
                <a:r>
                  <a:rPr lang="en-US" sz="800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845109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758969367700263"/>
          <c:y val="0.92908683711833362"/>
          <c:w val="0.45589236758759688"/>
          <c:h val="6.622726213277394E-2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List1!$G$41:$G$133</c:f>
              <c:numCache>
                <c:formatCode>mmm/yy</c:formatCode>
                <c:ptCount val="93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</c:numCache>
            </c:numRef>
          </c:cat>
          <c:val>
            <c:numRef>
              <c:f>List1!$H$41:$H$133</c:f>
              <c:numCache>
                <c:formatCode>General</c:formatCode>
                <c:ptCount val="93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</c:numCache>
            </c:numRef>
          </c:val>
        </c:ser>
        <c:axId val="84624128"/>
        <c:axId val="8462566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List1!$G$41:$G$133</c:f>
              <c:numCache>
                <c:formatCode>mmm/yy</c:formatCode>
                <c:ptCount val="93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</c:numCache>
            </c:numRef>
          </c:cat>
          <c:val>
            <c:numRef>
              <c:f>List1!$I$41:$I$133</c:f>
              <c:numCache>
                <c:formatCode>General</c:formatCode>
                <c:ptCount val="93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</c:numCache>
            </c:numRef>
          </c:val>
        </c:ser>
        <c:marker val="1"/>
        <c:axId val="84646144"/>
        <c:axId val="84644224"/>
      </c:lineChart>
      <c:dateAx>
        <c:axId val="8462412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84625664"/>
        <c:crosses val="autoZero"/>
        <c:auto val="1"/>
        <c:lblOffset val="100"/>
      </c:dateAx>
      <c:valAx>
        <c:axId val="846256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84624128"/>
        <c:crosses val="autoZero"/>
        <c:crossBetween val="between"/>
      </c:valAx>
      <c:valAx>
        <c:axId val="84644224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84646144"/>
        <c:crosses val="max"/>
        <c:crossBetween val="between"/>
      </c:valAx>
      <c:dateAx>
        <c:axId val="84646144"/>
        <c:scaling>
          <c:orientation val="minMax"/>
        </c:scaling>
        <c:delete val="1"/>
        <c:axPos val="b"/>
        <c:numFmt formatCode="mmm/yy" sourceLinked="1"/>
        <c:tickLblPos val="none"/>
        <c:crossAx val="84644224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ABB9-FC8B-44A7-9DDC-3012268E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2012-03-16T07:18:00Z</cp:lastPrinted>
  <dcterms:created xsi:type="dcterms:W3CDTF">2012-03-16T08:56:00Z</dcterms:created>
  <dcterms:modified xsi:type="dcterms:W3CDTF">2012-03-16T08:56:00Z</dcterms:modified>
</cp:coreProperties>
</file>