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B6EB9" w:rsidTr="0005022A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B6EB9" w:rsidRDefault="001B6EB9" w:rsidP="0005022A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 xml:space="preserve">Komoditní karta – </w:t>
            </w:r>
            <w:r w:rsidRPr="00FC3506">
              <w:rPr>
                <w:b/>
              </w:rPr>
              <w:t>dostupná data k </w:t>
            </w:r>
            <w:r>
              <w:rPr>
                <w:b/>
              </w:rPr>
              <w:t>22</w:t>
            </w:r>
            <w:r w:rsidRPr="00FC3506">
              <w:rPr>
                <w:b/>
              </w:rPr>
              <w:t xml:space="preserve">. </w:t>
            </w:r>
            <w:r>
              <w:rPr>
                <w:b/>
              </w:rPr>
              <w:t xml:space="preserve">únoru </w:t>
            </w:r>
            <w:r w:rsidRPr="00FC3506">
              <w:rPr>
                <w:b/>
              </w:rPr>
              <w:t>201</w:t>
            </w:r>
            <w:r>
              <w:rPr>
                <w:b/>
              </w:rPr>
              <w:t>3</w:t>
            </w:r>
            <w:r>
              <w:rPr>
                <w:b/>
                <w:sz w:val="28"/>
              </w:rPr>
              <w:t xml:space="preserve">                MLÉKO a mlékárenské výrobky</w:t>
            </w:r>
          </w:p>
        </w:tc>
      </w:tr>
      <w:tr w:rsidR="001B6EB9" w:rsidTr="00050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B6EB9" w:rsidRDefault="001B6EB9" w:rsidP="0005022A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9A018E" w:rsidRDefault="001B6EB9" w:rsidP="0005022A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007195" w:rsidRDefault="001B6EB9" w:rsidP="0005022A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007195" w:rsidRDefault="001B6EB9" w:rsidP="0005022A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007195" w:rsidRDefault="001B6EB9" w:rsidP="0005022A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007195" w:rsidRDefault="001B6EB9" w:rsidP="0005022A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007195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1B6EB9" w:rsidRPr="002C020B" w:rsidRDefault="001B6EB9" w:rsidP="0005022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1B6EB9" w:rsidRPr="000C7815" w:rsidRDefault="001B6EB9" w:rsidP="0005022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1B6EB9" w:rsidRPr="002C020B" w:rsidRDefault="001B6EB9" w:rsidP="0005022A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1B6EB9" w:rsidRPr="00043863" w:rsidRDefault="001B6EB9" w:rsidP="0005022A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1B6EB9" w:rsidRPr="00EF560C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</w:tr>
      <w:tr w:rsidR="001B6EB9" w:rsidRPr="007952AF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1B6EB9" w:rsidRPr="00043863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1B6EB9" w:rsidRPr="002C020B" w:rsidRDefault="001B6EB9" w:rsidP="0005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</w:tr>
    </w:tbl>
    <w:p w:rsidR="001B6EB9" w:rsidRPr="009E7303" w:rsidRDefault="001B6EB9" w:rsidP="001B6EB9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1B6EB9" w:rsidRPr="009E7303" w:rsidRDefault="001B6EB9" w:rsidP="001B6EB9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1B6EB9" w:rsidRDefault="001B6EB9" w:rsidP="001B6EB9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5"/>
        <w:gridCol w:w="810"/>
        <w:gridCol w:w="810"/>
        <w:gridCol w:w="810"/>
        <w:gridCol w:w="810"/>
        <w:gridCol w:w="810"/>
        <w:gridCol w:w="810"/>
        <w:gridCol w:w="810"/>
        <w:gridCol w:w="874"/>
        <w:gridCol w:w="865"/>
        <w:gridCol w:w="58"/>
      </w:tblGrid>
      <w:tr w:rsidR="001B6EB9" w:rsidRPr="00B43AF0" w:rsidTr="0005022A">
        <w:trPr>
          <w:trHeight w:val="384"/>
        </w:trPr>
        <w:tc>
          <w:tcPr>
            <w:tcW w:w="10702" w:type="dxa"/>
            <w:gridSpan w:val="11"/>
            <w:shd w:val="clear" w:color="auto" w:fill="B8CCE4"/>
          </w:tcPr>
          <w:p w:rsidR="001B6EB9" w:rsidRPr="00B43AF0" w:rsidRDefault="001B6EB9" w:rsidP="0005022A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tcBorders>
              <w:top w:val="double" w:sz="4" w:space="0" w:color="auto"/>
              <w:right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74" w:type="dxa"/>
            <w:tcBorders>
              <w:top w:val="double" w:sz="4" w:space="0" w:color="auto"/>
            </w:tcBorders>
          </w:tcPr>
          <w:p w:rsidR="001B6EB9" w:rsidRPr="00120728" w:rsidRDefault="001B6EB9" w:rsidP="0005022A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5" w:type="dxa"/>
            <w:tcBorders>
              <w:top w:val="double" w:sz="4" w:space="0" w:color="auto"/>
            </w:tcBorders>
          </w:tcPr>
          <w:p w:rsidR="001B6EB9" w:rsidRPr="001B15CB" w:rsidRDefault="001B6EB9" w:rsidP="0005022A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33"/>
        </w:trPr>
        <w:tc>
          <w:tcPr>
            <w:tcW w:w="3235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5" w:type="dxa"/>
            <w:tcBorders>
              <w:top w:val="nil"/>
            </w:tcBorders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74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7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- tavené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7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74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52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87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</w:tr>
      <w:tr w:rsidR="001B6EB9" w:rsidRPr="009A018E" w:rsidTr="0005022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8" w:type="dxa"/>
          <w:trHeight w:val="271"/>
        </w:trPr>
        <w:tc>
          <w:tcPr>
            <w:tcW w:w="3235" w:type="dxa"/>
            <w:shd w:val="clear" w:color="auto" w:fill="FBD4B4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810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74" w:type="dxa"/>
            <w:shd w:val="clear" w:color="auto" w:fill="FBD4B4"/>
          </w:tcPr>
          <w:p w:rsidR="001B6EB9" w:rsidRPr="00B43AF0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5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1B6EB9" w:rsidRDefault="001B6EB9" w:rsidP="001B6EB9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 ČSÚ – Spotřeba potravin,</w:t>
      </w:r>
    </w:p>
    <w:p w:rsidR="001B6EB9" w:rsidRPr="009E7303" w:rsidRDefault="001B6EB9" w:rsidP="001B6EB9">
      <w:pPr>
        <w:rPr>
          <w:i/>
          <w:sz w:val="16"/>
          <w:szCs w:val="16"/>
        </w:rPr>
      </w:pPr>
    </w:p>
    <w:p w:rsidR="001B6EB9" w:rsidRDefault="001B6EB9" w:rsidP="001B6EB9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6EB9" w:rsidRDefault="001B6EB9" w:rsidP="001B6EB9">
      <w:pPr>
        <w:rPr>
          <w:b/>
          <w:noProof/>
        </w:rPr>
      </w:pPr>
      <w:r>
        <w:rPr>
          <w:b/>
          <w:noProof/>
        </w:rPr>
        <w:lastRenderedPageBreak/>
        <w:t>Výsledky chovu skotu - II. pololetí 2012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1B6EB9" w:rsidRPr="00AF28D9" w:rsidTr="0005022A">
        <w:tc>
          <w:tcPr>
            <w:tcW w:w="969" w:type="pct"/>
            <w:vMerge w:val="restar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DE9D9" w:themeFill="accent6" w:themeFillTint="33"/>
          </w:tcPr>
          <w:p w:rsidR="001B6EB9" w:rsidRPr="00B167B5" w:rsidRDefault="001B6EB9" w:rsidP="0005022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31.12.</w:t>
            </w:r>
          </w:p>
        </w:tc>
        <w:tc>
          <w:tcPr>
            <w:tcW w:w="1136" w:type="pct"/>
            <w:gridSpan w:val="3"/>
            <w:shd w:val="clear" w:color="auto" w:fill="EAF1DD" w:themeFill="accent3" w:themeFillTint="33"/>
          </w:tcPr>
          <w:p w:rsidR="001B6EB9" w:rsidRPr="00B167B5" w:rsidRDefault="001B6EB9" w:rsidP="0005022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Průměrná denní dojivost</w:t>
            </w:r>
          </w:p>
        </w:tc>
        <w:tc>
          <w:tcPr>
            <w:tcW w:w="1624" w:type="pct"/>
            <w:gridSpan w:val="3"/>
            <w:shd w:val="clear" w:color="auto" w:fill="F2DBDB" w:themeFill="accent2" w:themeFillTint="33"/>
          </w:tcPr>
          <w:p w:rsidR="001B6EB9" w:rsidRPr="00B167B5" w:rsidRDefault="001B6EB9" w:rsidP="0005022A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1B6EB9" w:rsidRPr="00AF28D9" w:rsidTr="0005022A">
        <w:tc>
          <w:tcPr>
            <w:tcW w:w="969" w:type="pct"/>
            <w:vMerge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1B6EB9" w:rsidRDefault="001B6EB9" w:rsidP="000502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6F7C04" w:rsidRDefault="001B6EB9" w:rsidP="0005022A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D35614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2011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Pr="00D35614">
              <w:rPr>
                <w:b/>
                <w:sz w:val="20"/>
              </w:rPr>
              <w:t xml:space="preserve"> 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1B6EB9" w:rsidRPr="00AF28D9" w:rsidRDefault="001B6EB9" w:rsidP="0005022A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1B6EB9" w:rsidRPr="00AF28D9" w:rsidRDefault="001B6EB9" w:rsidP="0005022A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Pr="00121970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45 043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45 024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7 529,0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339 294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49 466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46 716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6 417,9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318 582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39 562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39 790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6 947,3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274 057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106,9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7 844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7 382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5 921,9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104,2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46 587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7 864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7 784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6 818,7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104,0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54 090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10 884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10 324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6 425,7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69 948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29 299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29 401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7 164,3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209 535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34 551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33 831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7 076,0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105,5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243 502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63 819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63 487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7 242,3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460 082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20 784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20 405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7 431,5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153 576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26 247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25 169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7 465,9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102,8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196 283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18 598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18 006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96,8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7 746,7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143 831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</w:tr>
      <w:tr w:rsidR="001B6EB9" w:rsidRPr="00AF28D9" w:rsidTr="0005022A">
        <w:tc>
          <w:tcPr>
            <w:tcW w:w="969" w:type="pct"/>
          </w:tcPr>
          <w:p w:rsidR="001B6EB9" w:rsidRPr="00AF28D9" w:rsidRDefault="001B6EB9" w:rsidP="0005022A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1B6EB9" w:rsidRDefault="001B6EB9" w:rsidP="0005022A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20 118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19 751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7 655,6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334" w:type="pct"/>
            <w:shd w:val="clear" w:color="auto" w:fill="EAF1DD" w:themeFill="accent3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103,7</w:t>
            </w:r>
          </w:p>
        </w:tc>
        <w:tc>
          <w:tcPr>
            <w:tcW w:w="538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154 317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489" w:type="pct"/>
            <w:shd w:val="clear" w:color="auto" w:fill="F2DBDB" w:themeFill="accent2" w:themeFillTint="33"/>
          </w:tcPr>
          <w:p w:rsidR="001B6EB9" w:rsidRPr="00AF28D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</w:tr>
      <w:tr w:rsidR="001B6EB9" w:rsidRPr="00AF28D9" w:rsidTr="0005022A">
        <w:tc>
          <w:tcPr>
            <w:tcW w:w="969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1B6EB9" w:rsidRDefault="001B6EB9" w:rsidP="0005022A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374 072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367 070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98,1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7 127,8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104,3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2 663 683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1B6EB9" w:rsidRPr="00AF28D9" w:rsidRDefault="001B6EB9" w:rsidP="0005022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102,9</w:t>
            </w:r>
          </w:p>
        </w:tc>
      </w:tr>
    </w:tbl>
    <w:p w:rsidR="001B6EB9" w:rsidRDefault="001B6EB9" w:rsidP="001B6EB9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B6EB9" w:rsidRPr="00B85074" w:rsidRDefault="001B6EB9" w:rsidP="001B6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2010 a 2011 v kg</w:t>
      </w:r>
    </w:p>
    <w:tbl>
      <w:tblPr>
        <w:tblW w:w="105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38"/>
        <w:gridCol w:w="1280"/>
        <w:gridCol w:w="992"/>
        <w:gridCol w:w="1276"/>
        <w:gridCol w:w="1276"/>
        <w:gridCol w:w="992"/>
        <w:gridCol w:w="1276"/>
        <w:gridCol w:w="850"/>
        <w:gridCol w:w="567"/>
        <w:gridCol w:w="851"/>
      </w:tblGrid>
      <w:tr w:rsidR="001B6EB9" w:rsidRPr="005A0163" w:rsidTr="0005022A">
        <w:trPr>
          <w:trHeight w:val="261"/>
        </w:trPr>
        <w:tc>
          <w:tcPr>
            <w:tcW w:w="1238" w:type="dxa"/>
            <w:vMerge w:val="restart"/>
            <w:shd w:val="clear" w:color="auto" w:fill="auto"/>
          </w:tcPr>
          <w:p w:rsidR="001B6EB9" w:rsidRPr="005A0163" w:rsidRDefault="001B6EB9" w:rsidP="0005022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548" w:type="dxa"/>
            <w:gridSpan w:val="3"/>
            <w:shd w:val="clear" w:color="auto" w:fill="auto"/>
          </w:tcPr>
          <w:p w:rsidR="001B6EB9" w:rsidRPr="005A0163" w:rsidRDefault="001B6EB9" w:rsidP="0005022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>
              <w:rPr>
                <w:b/>
                <w:caps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B6EB9" w:rsidRPr="005A0163" w:rsidRDefault="001B6EB9" w:rsidP="0005022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1B6EB9" w:rsidRPr="005A0163" w:rsidRDefault="001B6EB9" w:rsidP="0005022A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11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B6EB9" w:rsidRPr="005A0163" w:rsidTr="0005022A">
        <w:trPr>
          <w:trHeight w:val="290"/>
        </w:trPr>
        <w:tc>
          <w:tcPr>
            <w:tcW w:w="1238" w:type="dxa"/>
            <w:vMerge/>
            <w:shd w:val="clear" w:color="auto" w:fill="auto"/>
          </w:tcPr>
          <w:p w:rsidR="001B6EB9" w:rsidRPr="005A0163" w:rsidRDefault="001B6EB9" w:rsidP="0005022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992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276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50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567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51" w:type="dxa"/>
            <w:shd w:val="clear" w:color="auto" w:fill="auto"/>
          </w:tcPr>
          <w:p w:rsidR="001B6EB9" w:rsidRPr="005A0163" w:rsidRDefault="001B6EB9" w:rsidP="0005022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1B6EB9" w:rsidRPr="00881E10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212 946 191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542 289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213 488 480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226 315 001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547 353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226 862 354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6,3</w:t>
            </w:r>
          </w:p>
        </w:tc>
      </w:tr>
      <w:tr w:rsidR="001B6EB9" w:rsidRPr="00881E10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196 768 232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553 486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197 321 718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210 599 855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543 148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211 143 003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7,0</w:t>
            </w:r>
          </w:p>
        </w:tc>
      </w:tr>
      <w:tr w:rsidR="001B6EB9" w:rsidRPr="00881E10" w:rsidTr="0005022A">
        <w:trPr>
          <w:trHeight w:val="261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222 859 103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635 628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223 494 731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232 902 169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677 537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233 579 706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1B6EB9" w:rsidRPr="00881E10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220 259 308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632 540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220 891 848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230 151 682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660 749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230 812 431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229 597 445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624 244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230 221 689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242 358 565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681 250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243 039 815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5,6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Pr="00881E10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222 556 641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592 601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223 149 242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232 432 342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652 057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233 084 399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4,5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230 957 683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546 383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231 504 066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234 299 850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599 269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234 899 119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224 279 064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566 881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224 845 945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230 049 488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633 247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230 682 735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2,6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213 821 231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567 374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214 388 605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216 952 148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612 763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217 564 911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1,5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214 959 174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580 637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215 539 811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221 035 143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669 728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221 704 871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206 669 360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577 811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207 247 171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212 635 515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666 389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213 301 904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2,9</w:t>
            </w:r>
          </w:p>
        </w:tc>
      </w:tr>
      <w:tr w:rsidR="001B6EB9" w:rsidRPr="00B85074" w:rsidTr="0005022A">
        <w:trPr>
          <w:trHeight w:val="286"/>
        </w:trPr>
        <w:tc>
          <w:tcPr>
            <w:tcW w:w="1238" w:type="dxa"/>
            <w:shd w:val="clear" w:color="auto" w:fill="auto"/>
            <w:vAlign w:val="center"/>
          </w:tcPr>
          <w:p w:rsidR="001B6EB9" w:rsidRDefault="001B6EB9" w:rsidP="0005022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219 356 857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523 969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219 880 826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222 762 567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580 856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223 343 423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color w:val="000000"/>
                <w:sz w:val="18"/>
                <w:szCs w:val="18"/>
              </w:rPr>
              <w:t>1,6</w:t>
            </w:r>
          </w:p>
        </w:tc>
      </w:tr>
      <w:tr w:rsidR="001B6EB9" w:rsidRPr="00881E10" w:rsidTr="0005022A">
        <w:trPr>
          <w:trHeight w:val="286"/>
        </w:trPr>
        <w:tc>
          <w:tcPr>
            <w:tcW w:w="1238" w:type="dxa"/>
            <w:shd w:val="clear" w:color="auto" w:fill="FDE9D9" w:themeFill="accent6" w:themeFillTint="33"/>
            <w:vAlign w:val="center"/>
          </w:tcPr>
          <w:p w:rsidR="001B6EB9" w:rsidRPr="00881E10" w:rsidRDefault="001B6EB9" w:rsidP="0005022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280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2 615 030 289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6 943 843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2 621 974 132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2 712 494 325</w:t>
            </w:r>
          </w:p>
        </w:tc>
        <w:tc>
          <w:tcPr>
            <w:tcW w:w="992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7 524 346</w:t>
            </w:r>
          </w:p>
        </w:tc>
        <w:tc>
          <w:tcPr>
            <w:tcW w:w="1276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2 720 018 671</w:t>
            </w:r>
          </w:p>
        </w:tc>
        <w:tc>
          <w:tcPr>
            <w:tcW w:w="850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67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51" w:type="dxa"/>
            <w:shd w:val="clear" w:color="auto" w:fill="FDE9D9" w:themeFill="accent6" w:themeFillTint="33"/>
            <w:vAlign w:val="bottom"/>
          </w:tcPr>
          <w:p w:rsidR="001B6EB9" w:rsidRPr="00502211" w:rsidRDefault="001B6EB9" w:rsidP="0005022A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0221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3,7</w:t>
            </w:r>
          </w:p>
        </w:tc>
      </w:tr>
    </w:tbl>
    <w:p w:rsidR="001B6EB9" w:rsidRDefault="001B6EB9" w:rsidP="001B6EB9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>
        <w:rPr>
          <w:i/>
          <w:sz w:val="16"/>
          <w:szCs w:val="16"/>
        </w:rPr>
        <w:t>stému mléčných kvót SZIF</w:t>
      </w:r>
    </w:p>
    <w:p w:rsidR="001B6EB9" w:rsidRDefault="001B6EB9" w:rsidP="001B6EB9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B6EB9" w:rsidRDefault="001B6EB9" w:rsidP="001B6EB9">
      <w:pPr>
        <w:rPr>
          <w:sz w:val="16"/>
          <w:szCs w:val="16"/>
        </w:rPr>
      </w:pPr>
      <w:r>
        <w:rPr>
          <w:sz w:val="16"/>
          <w:szCs w:val="16"/>
        </w:rPr>
        <w:t xml:space="preserve">            V kvótovém roce 2012/2013 za období duben až prosinec 2012 byla kvóta pro dodávky plněna na 70,90 %, kvóta pro přímý prodej na 23,08 %.</w:t>
      </w:r>
    </w:p>
    <w:p w:rsidR="001B6EB9" w:rsidRPr="00F017D7" w:rsidRDefault="001B6EB9" w:rsidP="001B6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1B6EB9" w:rsidRDefault="001B6EB9" w:rsidP="001B6EB9">
      <w:pPr>
        <w:rPr>
          <w:sz w:val="16"/>
          <w:szCs w:val="16"/>
        </w:rPr>
      </w:pPr>
    </w:p>
    <w:p w:rsidR="001B6EB9" w:rsidRDefault="001B6EB9" w:rsidP="001B6EB9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B6EB9" w:rsidRPr="000B309D" w:rsidTr="0005022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B6EB9" w:rsidRPr="000B309D" w:rsidTr="0005022A">
        <w:trPr>
          <w:trHeight w:val="235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1 111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1 087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1 553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1 296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1 489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1 299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1 554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1 642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1 201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1 021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801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1 149</w:t>
            </w:r>
          </w:p>
        </w:tc>
      </w:tr>
      <w:tr w:rsidR="001B6EB9" w:rsidRPr="000B309D" w:rsidTr="0005022A">
        <w:trPr>
          <w:trHeight w:val="235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1B6EB9" w:rsidRPr="000B309D" w:rsidTr="0005022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</w:tbl>
    <w:p w:rsidR="001B6EB9" w:rsidRPr="00972FE2" w:rsidRDefault="001B6EB9" w:rsidP="001B6EB9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B6EB9" w:rsidRPr="00972FE2" w:rsidTr="0005022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972FE2" w:rsidRDefault="001B6EB9" w:rsidP="0005022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1B6EB9" w:rsidRPr="000B309D" w:rsidTr="0005022A">
        <w:trPr>
          <w:trHeight w:val="240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4 148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4 229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4 413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4 444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4 253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4 177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4 058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4 124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4 158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4 247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4 340</w:t>
            </w:r>
          </w:p>
        </w:tc>
      </w:tr>
      <w:tr w:rsidR="001B6EB9" w:rsidRPr="000B309D" w:rsidTr="0005022A">
        <w:trPr>
          <w:trHeight w:val="240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1B6EB9" w:rsidRPr="000B309D" w:rsidTr="0005022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</w:tbl>
    <w:p w:rsidR="001B6EB9" w:rsidRPr="00972FE2" w:rsidRDefault="001B6EB9" w:rsidP="001B6EB9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B6EB9" w:rsidRPr="000B309D" w:rsidTr="0005022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B6EB9" w:rsidRPr="000B309D" w:rsidRDefault="001B6EB9" w:rsidP="0005022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1B6EB9" w:rsidRPr="000B309D" w:rsidTr="0005022A">
        <w:trPr>
          <w:trHeight w:val="227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2010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1 474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1 397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1 402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1 389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1 156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1 075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1 258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1 461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1 599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1 659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1 456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1 378</w:t>
            </w:r>
          </w:p>
        </w:tc>
      </w:tr>
      <w:tr w:rsidR="001B6EB9" w:rsidRPr="000B309D" w:rsidTr="0005022A">
        <w:trPr>
          <w:trHeight w:val="227"/>
        </w:trPr>
        <w:tc>
          <w:tcPr>
            <w:tcW w:w="0" w:type="auto"/>
          </w:tcPr>
          <w:p w:rsidR="001B6EB9" w:rsidRPr="000B309D" w:rsidRDefault="001B6EB9" w:rsidP="0005022A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1B6EB9" w:rsidRPr="000B309D" w:rsidTr="0005022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1B6EB9" w:rsidRPr="000B309D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Pr="000B309D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</w:tbl>
    <w:p w:rsidR="001B6EB9" w:rsidRDefault="001B6EB9" w:rsidP="001B6EB9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1B6EB9" w:rsidRDefault="001B6EB9" w:rsidP="001B6EB9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1B6EB9" w:rsidRPr="00F017D7" w:rsidTr="0005022A">
        <w:trPr>
          <w:trHeight w:val="313"/>
        </w:trPr>
        <w:tc>
          <w:tcPr>
            <w:tcW w:w="3500" w:type="dxa"/>
            <w:vMerge w:val="restart"/>
            <w:shd w:val="clear" w:color="auto" w:fill="auto"/>
          </w:tcPr>
          <w:p w:rsidR="001B6EB9" w:rsidRDefault="001B6EB9" w:rsidP="0005022A">
            <w:pPr>
              <w:rPr>
                <w:b/>
                <w:sz w:val="20"/>
              </w:rPr>
            </w:pPr>
          </w:p>
          <w:p w:rsidR="001B6EB9" w:rsidRPr="009035AF" w:rsidRDefault="001B6EB9" w:rsidP="0005022A">
            <w:pPr>
              <w:rPr>
                <w:b/>
                <w:sz w:val="28"/>
                <w:szCs w:val="28"/>
              </w:rPr>
            </w:pPr>
            <w:r w:rsidRPr="009035AF">
              <w:rPr>
                <w:b/>
                <w:sz w:val="28"/>
                <w:szCs w:val="28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F017D7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1B6EB9" w:rsidRPr="00F017D7" w:rsidTr="0005022A">
        <w:trPr>
          <w:trHeight w:val="264"/>
        </w:trPr>
        <w:tc>
          <w:tcPr>
            <w:tcW w:w="3500" w:type="dxa"/>
            <w:vMerge/>
            <w:shd w:val="clear" w:color="auto" w:fill="auto"/>
          </w:tcPr>
          <w:p w:rsidR="001B6EB9" w:rsidRPr="00F017D7" w:rsidRDefault="001B6EB9" w:rsidP="0005022A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prosinec</w:t>
            </w:r>
          </w:p>
        </w:tc>
        <w:tc>
          <w:tcPr>
            <w:tcW w:w="1696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 - prosinec</w:t>
            </w:r>
          </w:p>
        </w:tc>
        <w:tc>
          <w:tcPr>
            <w:tcW w:w="1413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1B6EB9" w:rsidRPr="00F017D7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2 303 899,0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2 381 826,0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77 927,0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103,4</w:t>
            </w:r>
          </w:p>
        </w:tc>
      </w:tr>
      <w:tr w:rsidR="001B6EB9" w:rsidRPr="00F017D7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 xml:space="preserve">z toho: </w:t>
            </w:r>
            <w:r w:rsidRPr="00F017D7">
              <w:rPr>
                <w:sz w:val="20"/>
              </w:rPr>
              <w:t xml:space="preserve"> v I. a vyšší třídě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2 237 883,0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2 319 312,0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81 429,0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103,6</w:t>
            </w:r>
          </w:p>
        </w:tc>
      </w:tr>
      <w:tr w:rsidR="001B6EB9" w:rsidRPr="00F017D7" w:rsidTr="0005022A">
        <w:trPr>
          <w:trHeight w:val="219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 xml:space="preserve">z toho:  </w:t>
            </w:r>
            <w:r w:rsidRPr="00F017D7">
              <w:rPr>
                <w:sz w:val="20"/>
              </w:rPr>
              <w:t xml:space="preserve">vývoz syrového mléka 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176 007,5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264 863,4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88 855,9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150,5</w:t>
            </w:r>
          </w:p>
        </w:tc>
      </w:tr>
      <w:tr w:rsidR="001B6EB9" w:rsidRPr="00F017D7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-0,03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</w:t>
            </w:r>
          </w:p>
        </w:tc>
      </w:tr>
      <w:tr w:rsidR="001B6EB9" w:rsidRPr="00F017D7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1B6EB9" w:rsidRPr="00F017D7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8,26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7,67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92,9</w:t>
            </w:r>
          </w:p>
        </w:tc>
      </w:tr>
      <w:tr w:rsidR="001B6EB9" w:rsidRPr="00F017D7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8,29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7,70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-0,59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92,9</w:t>
            </w:r>
          </w:p>
        </w:tc>
      </w:tr>
      <w:tr w:rsidR="001B6EB9" w:rsidRPr="00F017D7" w:rsidTr="0005022A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1B6EB9" w:rsidRPr="00F017D7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F017D7" w:rsidRDefault="001B6EB9" w:rsidP="0005022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1B6EB9" w:rsidRPr="00F017D7" w:rsidRDefault="001B6EB9" w:rsidP="0005022A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627 222,0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601 609,9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-25 612,1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95,9</w:t>
            </w:r>
          </w:p>
        </w:tc>
      </w:tr>
      <w:tr w:rsidR="001B6EB9" w:rsidRPr="00F017D7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96 311,4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93 215,5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-3 095,9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96,8</w:t>
            </w:r>
          </w:p>
        </w:tc>
      </w:tr>
      <w:tr w:rsidR="001B6EB9" w:rsidRPr="00F017D7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F017D7" w:rsidRDefault="001B6EB9" w:rsidP="0005022A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1B6EB9" w:rsidRPr="00F017D7" w:rsidRDefault="001B6EB9" w:rsidP="0005022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528 883,9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506 430,4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-22 453,5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95,8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6822A0" w:rsidRDefault="001B6EB9" w:rsidP="0005022A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1B6EB9" w:rsidRPr="006822A0" w:rsidRDefault="001B6EB9" w:rsidP="0005022A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2 026,7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1 964,0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-62,7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96,9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46 779,4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46 547,9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-231,5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0D34BD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1B6EB9" w:rsidRPr="00A22ECF" w:rsidRDefault="001B6EB9" w:rsidP="0005022A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16 397,7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14 833,0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-1 564,7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90,5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0D34BD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- smetany s obs. tuku nejm. 30 %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18 840,1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19 010,9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170,8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100,9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132 567,5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131 392,9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-1 174,6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99,1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56 454,6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48 245,6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-8 209,0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85,5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>- podmáslí, mléčné nápoje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24 353,9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20 571,4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-3 782,5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84,5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- ostatní 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32 100,7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27 674,2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-4 426,5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86,2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39 287,2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38 867,0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-420,2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98,9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017D30" w:rsidRDefault="001B6EB9" w:rsidP="0005022A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1B6EB9" w:rsidRPr="00017D30" w:rsidRDefault="001B6EB9" w:rsidP="0005022A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7 430,7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6 594,0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-836,7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88,7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30 448,3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30 506,2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93 565,8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95 742,7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2 176,9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102,3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79 470,3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80 732,1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1 261,8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101,6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14 095,5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15 010,6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915,1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106,5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12 070,5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11 605,1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-465,4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96,1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3 874,9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4 072,5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197,6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105,1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10 249,5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9 946,9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-302,6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97,0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CF7A31" w:rsidRDefault="001B6EB9" w:rsidP="0005022A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1B6EB9" w:rsidRPr="00CF7A31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29 087,0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29 986,5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899,5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103,1</w:t>
            </w:r>
          </w:p>
        </w:tc>
      </w:tr>
      <w:tr w:rsidR="001B6EB9" w:rsidRPr="00CF7A31" w:rsidTr="0005022A">
        <w:trPr>
          <w:trHeight w:val="280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14 511,2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16 884,2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2 373,0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116,4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auto"/>
          </w:tcPr>
          <w:p w:rsidR="001B6EB9" w:rsidRPr="00CF7A31" w:rsidRDefault="001B6EB9" w:rsidP="0005022A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1B6EB9" w:rsidRPr="00CF7A31" w:rsidRDefault="001B6EB9" w:rsidP="0005022A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14 575,8</w:t>
            </w:r>
          </w:p>
        </w:tc>
        <w:tc>
          <w:tcPr>
            <w:tcW w:w="1696" w:type="dxa"/>
            <w:shd w:val="clear" w:color="auto" w:fill="auto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13 102,3</w:t>
            </w:r>
          </w:p>
        </w:tc>
        <w:tc>
          <w:tcPr>
            <w:tcW w:w="1413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-1 473,5</w:t>
            </w:r>
          </w:p>
        </w:tc>
        <w:tc>
          <w:tcPr>
            <w:tcW w:w="1537" w:type="dxa"/>
            <w:shd w:val="clear" w:color="auto" w:fill="auto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89,9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3F4FB3" w:rsidRDefault="001B6EB9" w:rsidP="0005022A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1B6EB9" w:rsidRPr="003F4FB3" w:rsidRDefault="001B6EB9" w:rsidP="0005022A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13 575,1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15 267,6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1 692,5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112,5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3F4FB3" w:rsidRDefault="001B6EB9" w:rsidP="0005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1B6EB9" w:rsidRPr="003F4FB3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30 209,5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33 342,9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3 133,4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110,4</w:t>
            </w:r>
          </w:p>
        </w:tc>
      </w:tr>
      <w:tr w:rsidR="001B6EB9" w:rsidRPr="00CF7A31" w:rsidTr="0005022A">
        <w:trPr>
          <w:trHeight w:val="264"/>
        </w:trPr>
        <w:tc>
          <w:tcPr>
            <w:tcW w:w="3500" w:type="dxa"/>
            <w:shd w:val="clear" w:color="auto" w:fill="FDE9D9"/>
          </w:tcPr>
          <w:p w:rsidR="001B6EB9" w:rsidRPr="003F4FB3" w:rsidRDefault="001B6EB9" w:rsidP="000502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1B6EB9" w:rsidRPr="003F4FB3" w:rsidRDefault="001B6EB9" w:rsidP="0005022A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43 818,1</w:t>
            </w:r>
          </w:p>
        </w:tc>
        <w:tc>
          <w:tcPr>
            <w:tcW w:w="1696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35 768,2</w:t>
            </w:r>
          </w:p>
        </w:tc>
        <w:tc>
          <w:tcPr>
            <w:tcW w:w="1413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-8 049,9</w:t>
            </w:r>
          </w:p>
        </w:tc>
        <w:tc>
          <w:tcPr>
            <w:tcW w:w="1537" w:type="dxa"/>
            <w:shd w:val="clear" w:color="auto" w:fill="FDE9D9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81,6</w:t>
            </w:r>
          </w:p>
        </w:tc>
      </w:tr>
    </w:tbl>
    <w:p w:rsidR="001B6EB9" w:rsidRDefault="001B6EB9" w:rsidP="001B6EB9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1B6EB9" w:rsidRDefault="001B6EB9" w:rsidP="001B6EB9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1B6EB9" w:rsidRDefault="001B6EB9" w:rsidP="001B6EB9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1B6EB9" w:rsidRPr="00B43AF0" w:rsidTr="0005022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1B6EB9" w:rsidRPr="00B43AF0" w:rsidRDefault="001B6EB9" w:rsidP="0005022A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1B6EB9" w:rsidRPr="00B43AF0" w:rsidRDefault="001B6EB9" w:rsidP="001B6EB9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B6EB9" w:rsidRPr="00DD160B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B6EB9" w:rsidRPr="00DD160B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B6EB9" w:rsidRPr="00DD160B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6EB9" w:rsidRPr="00B43AF0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B6EB9" w:rsidRPr="00DD160B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1B6EB9" w:rsidRPr="009A018E" w:rsidTr="0005022A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6EB9" w:rsidRDefault="001B6EB9" w:rsidP="0005022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B6EB9" w:rsidRPr="00687993" w:rsidRDefault="001B6EB9" w:rsidP="000502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B6EB9" w:rsidRPr="00DD160B" w:rsidRDefault="001B6EB9" w:rsidP="0005022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</w:tbl>
    <w:p w:rsidR="001B6EB9" w:rsidRPr="00B43AF0" w:rsidRDefault="001B6EB9" w:rsidP="001B6EB9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1B6EB9" w:rsidRDefault="001B6EB9" w:rsidP="001B6EB9">
      <w:pPr>
        <w:rPr>
          <w:b/>
        </w:rPr>
      </w:pPr>
    </w:p>
    <w:p w:rsidR="001B6EB9" w:rsidRDefault="001B6EB9" w:rsidP="001B6EB9">
      <w:pPr>
        <w:rPr>
          <w:b/>
        </w:rPr>
      </w:pPr>
    </w:p>
    <w:p w:rsidR="001B6EB9" w:rsidRDefault="001B6EB9" w:rsidP="001B6EB9">
      <w:pPr>
        <w:rPr>
          <w:b/>
        </w:rPr>
      </w:pPr>
    </w:p>
    <w:p w:rsidR="001B6EB9" w:rsidRPr="00B43AF0" w:rsidRDefault="001B6EB9" w:rsidP="001B6EB9">
      <w:pPr>
        <w:rPr>
          <w:b/>
        </w:rPr>
      </w:pPr>
      <w:r w:rsidRPr="00B43AF0">
        <w:rPr>
          <w:b/>
        </w:rPr>
        <w:t xml:space="preserve">Ceny zemědělských výrobců (CZV), ceny průmyslových výrobců </w:t>
      </w:r>
      <w:r>
        <w:rPr>
          <w:b/>
        </w:rPr>
        <w:t>(</w:t>
      </w:r>
      <w:r w:rsidRPr="00B43AF0">
        <w:rPr>
          <w:b/>
        </w:rPr>
        <w:t>CPV) a spotřebitelské ceny (SC) - porovnání</w:t>
      </w:r>
    </w:p>
    <w:tbl>
      <w:tblPr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2"/>
        <w:gridCol w:w="1239"/>
        <w:gridCol w:w="1016"/>
        <w:gridCol w:w="945"/>
        <w:gridCol w:w="1016"/>
        <w:gridCol w:w="1152"/>
        <w:gridCol w:w="1424"/>
      </w:tblGrid>
      <w:tr w:rsidR="001B6EB9" w:rsidRPr="009A018E" w:rsidTr="0005022A">
        <w:trPr>
          <w:trHeight w:val="250"/>
        </w:trPr>
        <w:tc>
          <w:tcPr>
            <w:tcW w:w="3522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Leden</w:t>
            </w:r>
          </w:p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2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2012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</w:tcBorders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Index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vMerge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5" w:type="dxa"/>
            <w:vMerge/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016" w:type="dxa"/>
            <w:vMerge/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152" w:type="dxa"/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 w:rsidRPr="00374857">
              <w:rPr>
                <w:b/>
                <w:sz w:val="20"/>
                <w:szCs w:val="22"/>
              </w:rPr>
              <w:t>201</w:t>
            </w:r>
            <w:r>
              <w:rPr>
                <w:b/>
                <w:sz w:val="20"/>
                <w:szCs w:val="22"/>
              </w:rPr>
              <w:t>2</w:t>
            </w:r>
            <w:r w:rsidRPr="00374857">
              <w:rPr>
                <w:b/>
                <w:sz w:val="20"/>
                <w:szCs w:val="22"/>
              </w:rPr>
              <w:t>/201</w:t>
            </w:r>
            <w:r>
              <w:rPr>
                <w:b/>
                <w:sz w:val="20"/>
                <w:szCs w:val="22"/>
              </w:rPr>
              <w:t>1</w:t>
            </w:r>
          </w:p>
        </w:tc>
        <w:tc>
          <w:tcPr>
            <w:tcW w:w="1424" w:type="dxa"/>
            <w:shd w:val="clear" w:color="auto" w:fill="B8CCE4"/>
          </w:tcPr>
          <w:p w:rsidR="001B6EB9" w:rsidRPr="00374857" w:rsidRDefault="001B6EB9" w:rsidP="0005022A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Prosinec</w:t>
            </w:r>
          </w:p>
          <w:p w:rsidR="001B6EB9" w:rsidRPr="00374857" w:rsidRDefault="001B6EB9" w:rsidP="0005022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2012 </w:t>
            </w:r>
            <w:r w:rsidRPr="00374857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 xml:space="preserve">leden </w:t>
            </w:r>
            <w:r w:rsidRPr="00374857">
              <w:rPr>
                <w:b/>
                <w:sz w:val="20"/>
                <w:szCs w:val="18"/>
              </w:rPr>
              <w:t>201</w:t>
            </w:r>
            <w:r>
              <w:rPr>
                <w:b/>
                <w:sz w:val="20"/>
                <w:szCs w:val="18"/>
              </w:rPr>
              <w:t>2</w:t>
            </w:r>
          </w:p>
        </w:tc>
      </w:tr>
      <w:tr w:rsidR="001B6EB9" w:rsidRPr="009A018E" w:rsidTr="0005022A">
        <w:trPr>
          <w:trHeight w:val="169"/>
        </w:trPr>
        <w:tc>
          <w:tcPr>
            <w:tcW w:w="10314" w:type="dxa"/>
            <w:gridSpan w:val="7"/>
          </w:tcPr>
          <w:p w:rsidR="001B6EB9" w:rsidRDefault="001B6EB9" w:rsidP="0005022A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1B6EB9" w:rsidRPr="009A018E" w:rsidTr="0005022A">
        <w:trPr>
          <w:trHeight w:val="229"/>
        </w:trPr>
        <w:tc>
          <w:tcPr>
            <w:tcW w:w="3522" w:type="dxa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 xml:space="preserve">Syrové kravské mléko </w:t>
            </w:r>
            <w:r>
              <w:rPr>
                <w:sz w:val="20"/>
                <w:szCs w:val="22"/>
              </w:rPr>
              <w:t xml:space="preserve">celkem </w:t>
            </w:r>
            <w:r w:rsidRPr="00374857">
              <w:rPr>
                <w:sz w:val="20"/>
                <w:szCs w:val="22"/>
              </w:rPr>
              <w:t>(Kč/l)</w:t>
            </w: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CZV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8,38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8,35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7,80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93,08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93,41</w:t>
            </w:r>
          </w:p>
        </w:tc>
      </w:tr>
      <w:tr w:rsidR="001B6EB9" w:rsidRPr="009A018E" w:rsidTr="0005022A">
        <w:trPr>
          <w:trHeight w:val="247"/>
        </w:trPr>
        <w:tc>
          <w:tcPr>
            <w:tcW w:w="10314" w:type="dxa"/>
            <w:gridSpan w:val="7"/>
          </w:tcPr>
          <w:p w:rsidR="001B6EB9" w:rsidRPr="00C03B3A" w:rsidRDefault="001B6EB9" w:rsidP="0005022A">
            <w:pPr>
              <w:rPr>
                <w:b/>
                <w:sz w:val="20"/>
                <w:szCs w:val="22"/>
              </w:rPr>
            </w:pPr>
          </w:p>
        </w:tc>
      </w:tr>
      <w:tr w:rsidR="001B6EB9" w:rsidRPr="009A018E" w:rsidTr="0005022A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Polotučné mléko trvanlivé (Kč/l)</w:t>
            </w: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10,07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10,64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105,66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102,21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17,11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17,20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16,95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99,06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98,55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69,91</w:t>
            </w:r>
          </w:p>
        </w:tc>
        <w:tc>
          <w:tcPr>
            <w:tcW w:w="945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65,23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59,30</w:t>
            </w:r>
          </w:p>
        </w:tc>
        <w:tc>
          <w:tcPr>
            <w:tcW w:w="1152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1B6EB9" w:rsidRPr="009A018E" w:rsidTr="0005022A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Polotučné </w:t>
            </w:r>
            <w:r w:rsidRPr="00374857">
              <w:rPr>
                <w:sz w:val="20"/>
                <w:szCs w:val="22"/>
              </w:rPr>
              <w:t xml:space="preserve">mléko </w:t>
            </w:r>
            <w:r>
              <w:rPr>
                <w:sz w:val="20"/>
                <w:szCs w:val="22"/>
              </w:rPr>
              <w:t>pasterované</w:t>
            </w:r>
            <w:r w:rsidRPr="00374857">
              <w:rPr>
                <w:sz w:val="20"/>
                <w:szCs w:val="22"/>
              </w:rPr>
              <w:t xml:space="preserve"> (Kč/l)</w:t>
            </w: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11,55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12,05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12,32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106,67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102,24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18,45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19,00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18,32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99,30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96,42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59,74</w:t>
            </w:r>
          </w:p>
        </w:tc>
        <w:tc>
          <w:tcPr>
            <w:tcW w:w="945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57,68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48,70</w:t>
            </w:r>
          </w:p>
        </w:tc>
        <w:tc>
          <w:tcPr>
            <w:tcW w:w="1152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1B6EB9" w:rsidRPr="009A018E" w:rsidTr="0005022A">
        <w:trPr>
          <w:trHeight w:val="229"/>
        </w:trPr>
        <w:tc>
          <w:tcPr>
            <w:tcW w:w="3522" w:type="dxa"/>
            <w:vMerge w:val="restart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Máslo (Kč/kg)</w:t>
            </w: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105,71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102,41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99,65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94,27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97,30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143,61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145,46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142,75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99,40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98,14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35,85</w:t>
            </w:r>
          </w:p>
        </w:tc>
        <w:tc>
          <w:tcPr>
            <w:tcW w:w="945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42,04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43,25</w:t>
            </w:r>
          </w:p>
        </w:tc>
        <w:tc>
          <w:tcPr>
            <w:tcW w:w="1152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1B6EB9" w:rsidRPr="009A018E" w:rsidTr="0005022A">
        <w:trPr>
          <w:trHeight w:val="247"/>
        </w:trPr>
        <w:tc>
          <w:tcPr>
            <w:tcW w:w="3522" w:type="dxa"/>
            <w:vMerge w:val="restart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Sýr Eidam (Kč/kg)</w:t>
            </w: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89,04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94,49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92,07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103,40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97,44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124,97</w:t>
            </w:r>
          </w:p>
        </w:tc>
        <w:tc>
          <w:tcPr>
            <w:tcW w:w="945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126,56</w:t>
            </w:r>
          </w:p>
        </w:tc>
        <w:tc>
          <w:tcPr>
            <w:tcW w:w="1016" w:type="dxa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130,57</w:t>
            </w:r>
          </w:p>
        </w:tc>
        <w:tc>
          <w:tcPr>
            <w:tcW w:w="1152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104,48</w:t>
            </w:r>
          </w:p>
        </w:tc>
        <w:tc>
          <w:tcPr>
            <w:tcW w:w="1424" w:type="dxa"/>
            <w:shd w:val="clear" w:color="auto" w:fill="FBD4B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103,17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40,35</w:t>
            </w:r>
          </w:p>
        </w:tc>
        <w:tc>
          <w:tcPr>
            <w:tcW w:w="945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33,94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41,82</w:t>
            </w:r>
          </w:p>
        </w:tc>
        <w:tc>
          <w:tcPr>
            <w:tcW w:w="1152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 w:val="restart"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Tvaroh měkký (Kč/kg)</w:t>
            </w:r>
          </w:p>
        </w:tc>
        <w:tc>
          <w:tcPr>
            <w:tcW w:w="1239" w:type="dxa"/>
            <w:shd w:val="clear" w:color="auto" w:fill="FFFFFF" w:themeFill="background1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CPV</w:t>
            </w:r>
          </w:p>
        </w:tc>
        <w:tc>
          <w:tcPr>
            <w:tcW w:w="1016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44,46</w:t>
            </w:r>
          </w:p>
        </w:tc>
        <w:tc>
          <w:tcPr>
            <w:tcW w:w="945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49,32</w:t>
            </w:r>
          </w:p>
        </w:tc>
        <w:tc>
          <w:tcPr>
            <w:tcW w:w="1016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47,17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106,10</w:t>
            </w:r>
          </w:p>
        </w:tc>
        <w:tc>
          <w:tcPr>
            <w:tcW w:w="1424" w:type="dxa"/>
            <w:shd w:val="clear" w:color="auto" w:fill="FBD4B4" w:themeFill="accent6" w:themeFillTint="66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95,64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SC</w:t>
            </w:r>
          </w:p>
        </w:tc>
        <w:tc>
          <w:tcPr>
            <w:tcW w:w="1016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71,15</w:t>
            </w:r>
          </w:p>
        </w:tc>
        <w:tc>
          <w:tcPr>
            <w:tcW w:w="945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70,87</w:t>
            </w:r>
          </w:p>
        </w:tc>
        <w:tc>
          <w:tcPr>
            <w:tcW w:w="1016" w:type="dxa"/>
            <w:shd w:val="clear" w:color="auto" w:fill="FFFFFF" w:themeFill="background1"/>
          </w:tcPr>
          <w:p w:rsidR="001B6EB9" w:rsidRDefault="001B6EB9" w:rsidP="0005022A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70,2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98,66</w:t>
            </w:r>
          </w:p>
        </w:tc>
        <w:tc>
          <w:tcPr>
            <w:tcW w:w="1424" w:type="dxa"/>
            <w:shd w:val="clear" w:color="auto" w:fill="FBD4B4" w:themeFill="accent6" w:themeFillTint="66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99,05</w:t>
            </w:r>
          </w:p>
        </w:tc>
      </w:tr>
      <w:tr w:rsidR="001B6EB9" w:rsidRPr="009A018E" w:rsidTr="0005022A">
        <w:trPr>
          <w:trHeight w:val="169"/>
        </w:trPr>
        <w:tc>
          <w:tcPr>
            <w:tcW w:w="3522" w:type="dxa"/>
            <w:vMerge/>
            <w:shd w:val="clear" w:color="auto" w:fill="FBD4B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</w:p>
        </w:tc>
        <w:tc>
          <w:tcPr>
            <w:tcW w:w="1239" w:type="dxa"/>
            <w:shd w:val="clear" w:color="auto" w:fill="B8CCE4"/>
          </w:tcPr>
          <w:p w:rsidR="001B6EB9" w:rsidRPr="00374857" w:rsidRDefault="001B6EB9" w:rsidP="0005022A">
            <w:pPr>
              <w:rPr>
                <w:sz w:val="20"/>
                <w:szCs w:val="22"/>
              </w:rPr>
            </w:pPr>
            <w:r w:rsidRPr="00374857">
              <w:rPr>
                <w:sz w:val="20"/>
                <w:szCs w:val="22"/>
              </w:rPr>
              <w:t>rozdíl v %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60,03</w:t>
            </w:r>
          </w:p>
        </w:tc>
        <w:tc>
          <w:tcPr>
            <w:tcW w:w="945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43,69</w:t>
            </w:r>
          </w:p>
        </w:tc>
        <w:tc>
          <w:tcPr>
            <w:tcW w:w="1016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48,82</w:t>
            </w:r>
          </w:p>
        </w:tc>
        <w:tc>
          <w:tcPr>
            <w:tcW w:w="1152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4" w:type="dxa"/>
            <w:shd w:val="clear" w:color="auto" w:fill="B8CCE4"/>
          </w:tcPr>
          <w:p w:rsidR="001B6EB9" w:rsidRDefault="001B6EB9" w:rsidP="0005022A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:rsidR="001B6EB9" w:rsidRPr="009A018E" w:rsidRDefault="001B6EB9" w:rsidP="001B6EB9">
      <w:pPr>
        <w:sectPr w:rsidR="001B6EB9" w:rsidRPr="009A018E" w:rsidSect="00FB58B3">
          <w:footerReference w:type="even" r:id="rId8"/>
          <w:footerReference w:type="default" r:id="rId9"/>
          <w:pgSz w:w="11906" w:h="16838" w:code="9"/>
          <w:pgMar w:top="624" w:right="624" w:bottom="624" w:left="624" w:header="709" w:footer="709" w:gutter="0"/>
          <w:cols w:space="708"/>
          <w:docGrid w:linePitch="326"/>
        </w:sectPr>
      </w:pPr>
    </w:p>
    <w:p w:rsidR="001B6EB9" w:rsidRDefault="001B6EB9" w:rsidP="001B6EB9">
      <w:pPr>
        <w:rPr>
          <w:i/>
          <w:sz w:val="18"/>
          <w:szCs w:val="18"/>
        </w:rPr>
      </w:pPr>
      <w:r w:rsidRPr="0098477D">
        <w:rPr>
          <w:i/>
          <w:sz w:val="18"/>
          <w:szCs w:val="18"/>
        </w:rPr>
        <w:t>Pramen: Rezortní statistika Mlék (MZe) 6-12, ČSÚ</w:t>
      </w:r>
      <w:r>
        <w:rPr>
          <w:i/>
          <w:sz w:val="18"/>
          <w:szCs w:val="18"/>
        </w:rPr>
        <w:t xml:space="preserve"> </w:t>
      </w:r>
    </w:p>
    <w:p w:rsidR="001B6EB9" w:rsidRDefault="001B6EB9" w:rsidP="001B6EB9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21"/>
        <w:gridCol w:w="1721"/>
        <w:gridCol w:w="1721"/>
        <w:gridCol w:w="1721"/>
        <w:gridCol w:w="1722"/>
        <w:gridCol w:w="1722"/>
      </w:tblGrid>
      <w:tr w:rsidR="001B6EB9" w:rsidRPr="00A74203" w:rsidTr="0005022A">
        <w:trPr>
          <w:trHeight w:val="452"/>
        </w:trPr>
        <w:tc>
          <w:tcPr>
            <w:tcW w:w="1721" w:type="dxa"/>
          </w:tcPr>
          <w:p w:rsidR="001B6EB9" w:rsidRPr="00A74203" w:rsidRDefault="001B6EB9" w:rsidP="0005022A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21" w:type="dxa"/>
          </w:tcPr>
          <w:p w:rsidR="001B6EB9" w:rsidRPr="00A74203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21" w:type="dxa"/>
          </w:tcPr>
          <w:p w:rsidR="001B6EB9" w:rsidRPr="00A74203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21" w:type="dxa"/>
          </w:tcPr>
          <w:p w:rsidR="001B6EB9" w:rsidRPr="00A74203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22" w:type="dxa"/>
          </w:tcPr>
          <w:p w:rsidR="001B6EB9" w:rsidRPr="00A74203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22" w:type="dxa"/>
          </w:tcPr>
          <w:p w:rsidR="001B6EB9" w:rsidRPr="00A74203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1B6EB9" w:rsidTr="0005022A">
        <w:trPr>
          <w:trHeight w:val="237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1/2012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4425 - 4675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2950 - 3150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3575 - 3950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4950 - 5225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1275 - 1400</w:t>
            </w:r>
          </w:p>
        </w:tc>
      </w:tr>
      <w:tr w:rsidR="001B6EB9" w:rsidTr="0005022A">
        <w:trPr>
          <w:trHeight w:val="215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43/2012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 – 4350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3500 - 3625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3800 - 3925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4750 - 5050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1225 - 1450</w:t>
            </w:r>
          </w:p>
        </w:tc>
      </w:tr>
      <w:tr w:rsidR="001B6EB9" w:rsidTr="0005022A">
        <w:trPr>
          <w:trHeight w:val="237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47/2012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– 4550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3325 - 3550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3750 - 3950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1250 - 1400</w:t>
            </w:r>
          </w:p>
        </w:tc>
      </w:tr>
      <w:tr w:rsidR="001B6EB9" w:rsidTr="0005022A">
        <w:trPr>
          <w:trHeight w:val="237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49/2012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3800 - 4000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4950 - 5250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1300 - 1450</w:t>
            </w:r>
          </w:p>
        </w:tc>
      </w:tr>
      <w:tr w:rsidR="001B6EB9" w:rsidTr="0005022A">
        <w:trPr>
          <w:trHeight w:val="237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1B6EB9" w:rsidTr="0005022A">
        <w:trPr>
          <w:trHeight w:val="237"/>
        </w:trPr>
        <w:tc>
          <w:tcPr>
            <w:tcW w:w="1721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5/2013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4400 - 4675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3500 - 3700</w:t>
            </w:r>
          </w:p>
        </w:tc>
        <w:tc>
          <w:tcPr>
            <w:tcW w:w="1721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22" w:type="dxa"/>
          </w:tcPr>
          <w:p w:rsidR="001B6EB9" w:rsidRDefault="001B6EB9" w:rsidP="00050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1275 - 1475</w:t>
            </w:r>
          </w:p>
        </w:tc>
      </w:tr>
    </w:tbl>
    <w:p w:rsidR="001B6EB9" w:rsidRDefault="001B6EB9" w:rsidP="001B6EB9">
      <w:pPr>
        <w:rPr>
          <w:sz w:val="18"/>
          <w:szCs w:val="18"/>
        </w:rPr>
      </w:pPr>
    </w:p>
    <w:p w:rsidR="001B6EB9" w:rsidRDefault="001B6EB9" w:rsidP="001B6EB9">
      <w:pPr>
        <w:rPr>
          <w:sz w:val="18"/>
          <w:szCs w:val="18"/>
        </w:rPr>
      </w:pPr>
    </w:p>
    <w:p w:rsidR="001B6EB9" w:rsidRDefault="001B6EB9" w:rsidP="001B6EB9">
      <w:pPr>
        <w:rPr>
          <w:sz w:val="18"/>
          <w:szCs w:val="18"/>
        </w:rPr>
      </w:pPr>
      <w:r w:rsidRPr="00D43590">
        <w:rPr>
          <w:noProof/>
          <w:sz w:val="18"/>
          <w:szCs w:val="18"/>
        </w:rPr>
        <w:drawing>
          <wp:inline distT="0" distB="0" distL="0" distR="0">
            <wp:extent cx="6488075" cy="3827721"/>
            <wp:effectExtent l="19050" t="0" r="27025" b="1329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6EB9" w:rsidRDefault="001B6EB9" w:rsidP="001B6EB9">
      <w:pPr>
        <w:rPr>
          <w:sz w:val="18"/>
          <w:szCs w:val="18"/>
        </w:rPr>
      </w:pPr>
    </w:p>
    <w:p w:rsidR="001B6EB9" w:rsidRDefault="001B6EB9" w:rsidP="001B6EB9">
      <w:pPr>
        <w:rPr>
          <w:sz w:val="18"/>
          <w:szCs w:val="18"/>
        </w:rPr>
      </w:pPr>
    </w:p>
    <w:p w:rsidR="001B6EB9" w:rsidRDefault="001B6EB9" w:rsidP="001B6EB9">
      <w:pPr>
        <w:rPr>
          <w:sz w:val="18"/>
          <w:szCs w:val="18"/>
        </w:rPr>
      </w:pPr>
    </w:p>
    <w:p w:rsidR="001B6EB9" w:rsidRPr="007B426C" w:rsidRDefault="001B6EB9" w:rsidP="001B6E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- leden až prosinec 2011 a 2012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1B6EB9" w:rsidRPr="007D3526" w:rsidTr="0005022A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1B6EB9" w:rsidRPr="007D3526" w:rsidRDefault="001B6EB9" w:rsidP="0005022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Leden -</w:t>
            </w:r>
            <w:r>
              <w:rPr>
                <w:b/>
                <w:sz w:val="20"/>
              </w:rPr>
              <w:t xml:space="preserve"> prosinec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2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1</w:t>
            </w:r>
          </w:p>
        </w:tc>
      </w:tr>
      <w:tr w:rsidR="001B6EB9" w:rsidRPr="007D3526" w:rsidTr="0005022A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769" w:type="dxa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1B6EB9" w:rsidRPr="007D3526" w:rsidRDefault="001B6EB9" w:rsidP="0005022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1B6EB9" w:rsidRPr="007D3526" w:rsidTr="0005022A">
        <w:trPr>
          <w:trHeight w:val="482"/>
        </w:trPr>
        <w:tc>
          <w:tcPr>
            <w:tcW w:w="3177" w:type="dxa"/>
          </w:tcPr>
          <w:p w:rsidR="001B6EB9" w:rsidRPr="007D3526" w:rsidRDefault="001B6EB9" w:rsidP="0005022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1B6EB9" w:rsidRPr="007D3526" w:rsidRDefault="001B6EB9" w:rsidP="0005022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14 703 071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15 121 871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418 800</w:t>
            </w:r>
          </w:p>
        </w:tc>
        <w:tc>
          <w:tcPr>
            <w:tcW w:w="1569" w:type="dxa"/>
            <w:vAlign w:val="center"/>
          </w:tcPr>
          <w:p w:rsidR="001B6EB9" w:rsidRPr="007D3526" w:rsidRDefault="001B6EB9" w:rsidP="0005022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102,8</w:t>
            </w:r>
          </w:p>
        </w:tc>
      </w:tr>
      <w:tr w:rsidR="001B6EB9" w:rsidRPr="007D3526" w:rsidTr="0005022A">
        <w:trPr>
          <w:trHeight w:val="502"/>
        </w:trPr>
        <w:tc>
          <w:tcPr>
            <w:tcW w:w="3177" w:type="dxa"/>
          </w:tcPr>
          <w:p w:rsidR="001B6EB9" w:rsidRPr="007D3526" w:rsidRDefault="001B6EB9" w:rsidP="0005022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1B6EB9" w:rsidRPr="007D3526" w:rsidRDefault="001B6EB9" w:rsidP="0005022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10 479 430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11 199 268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719 838</w:t>
            </w:r>
          </w:p>
        </w:tc>
        <w:tc>
          <w:tcPr>
            <w:tcW w:w="1569" w:type="dxa"/>
            <w:vAlign w:val="center"/>
          </w:tcPr>
          <w:p w:rsidR="001B6EB9" w:rsidRPr="007D3526" w:rsidRDefault="001B6EB9" w:rsidP="0005022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106,9</w:t>
            </w:r>
          </w:p>
        </w:tc>
      </w:tr>
      <w:tr w:rsidR="001B6EB9" w:rsidRPr="007D3526" w:rsidTr="0005022A">
        <w:trPr>
          <w:trHeight w:val="482"/>
        </w:trPr>
        <w:tc>
          <w:tcPr>
            <w:tcW w:w="3177" w:type="dxa"/>
          </w:tcPr>
          <w:p w:rsidR="001B6EB9" w:rsidRPr="007D3526" w:rsidRDefault="001B6EB9" w:rsidP="0005022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4 223 641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3 922 603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- 301 038</w:t>
            </w:r>
          </w:p>
        </w:tc>
        <w:tc>
          <w:tcPr>
            <w:tcW w:w="1569" w:type="dxa"/>
            <w:vAlign w:val="center"/>
          </w:tcPr>
          <w:p w:rsidR="001B6EB9" w:rsidRPr="007D3526" w:rsidRDefault="001B6EB9" w:rsidP="0005022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92,9</w:t>
            </w:r>
          </w:p>
        </w:tc>
      </w:tr>
      <w:tr w:rsidR="001B6EB9" w:rsidRPr="007D3526" w:rsidTr="0005022A">
        <w:trPr>
          <w:trHeight w:val="251"/>
        </w:trPr>
        <w:tc>
          <w:tcPr>
            <w:tcW w:w="3177" w:type="dxa"/>
          </w:tcPr>
          <w:p w:rsidR="001B6EB9" w:rsidRPr="007D3526" w:rsidRDefault="001B6EB9" w:rsidP="0005022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25 182 501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26 321 139</w:t>
            </w:r>
          </w:p>
        </w:tc>
        <w:tc>
          <w:tcPr>
            <w:tcW w:w="1769" w:type="dxa"/>
            <w:vAlign w:val="center"/>
          </w:tcPr>
          <w:p w:rsidR="001B6EB9" w:rsidRPr="007D3526" w:rsidRDefault="001B6EB9" w:rsidP="0005022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1 138 638</w:t>
            </w:r>
          </w:p>
        </w:tc>
        <w:tc>
          <w:tcPr>
            <w:tcW w:w="1569" w:type="dxa"/>
            <w:vAlign w:val="center"/>
          </w:tcPr>
          <w:p w:rsidR="001B6EB9" w:rsidRPr="007D3526" w:rsidRDefault="001B6EB9" w:rsidP="0005022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104,5</w:t>
            </w:r>
          </w:p>
        </w:tc>
      </w:tr>
    </w:tbl>
    <w:p w:rsidR="001B6EB9" w:rsidRDefault="001B6EB9" w:rsidP="001B6EB9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1B6EB9" w:rsidRDefault="001B6EB9" w:rsidP="001B6EB9">
      <w:pPr>
        <w:rPr>
          <w:i/>
          <w:sz w:val="18"/>
          <w:szCs w:val="18"/>
        </w:rPr>
      </w:pPr>
    </w:p>
    <w:p w:rsidR="001B6EB9" w:rsidRPr="00A079D8" w:rsidRDefault="001B6EB9" w:rsidP="001B6EB9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079D8">
        <w:rPr>
          <w:sz w:val="22"/>
          <w:szCs w:val="22"/>
        </w:rPr>
        <w:t>Dosažená finanční hodnota vývozu mléka a mléčných výrobků je ovlivněna zejména velkým objemem vývozu mléčné suroviny k dalšímu zpracování v zahraničí (</w:t>
      </w:r>
      <w:r w:rsidRPr="00A079D8">
        <w:rPr>
          <w:sz w:val="22"/>
          <w:szCs w:val="22"/>
          <w:u w:val="single"/>
        </w:rPr>
        <w:t xml:space="preserve">vývoz zboží s nízkou přidanou hodnotou). </w:t>
      </w:r>
    </w:p>
    <w:p w:rsidR="001B6EB9" w:rsidRPr="00025012" w:rsidRDefault="001B6EB9" w:rsidP="001B6EB9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025012">
        <w:rPr>
          <w:b/>
          <w:sz w:val="22"/>
          <w:szCs w:val="22"/>
        </w:rPr>
        <w:t>Výrazně</w:t>
      </w:r>
      <w:r w:rsidRPr="00025012">
        <w:rPr>
          <w:b/>
          <w:sz w:val="22"/>
          <w:szCs w:val="22"/>
          <w:u w:val="single"/>
        </w:rPr>
        <w:t xml:space="preserve"> zrychlené tempo dovozu</w:t>
      </w:r>
      <w:r w:rsidRPr="00025012">
        <w:rPr>
          <w:sz w:val="22"/>
          <w:szCs w:val="22"/>
        </w:rPr>
        <w:t xml:space="preserve">, </w:t>
      </w:r>
      <w:r w:rsidRPr="004F10F9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>elmi</w:t>
      </w:r>
      <w:r w:rsidRPr="004F10F9">
        <w:rPr>
          <w:sz w:val="22"/>
          <w:szCs w:val="22"/>
          <w:u w:val="single"/>
        </w:rPr>
        <w:t xml:space="preserve"> vysoké</w:t>
      </w:r>
      <w:r w:rsidRPr="00DA02A7">
        <w:rPr>
          <w:sz w:val="22"/>
          <w:szCs w:val="22"/>
          <w:u w:val="single"/>
        </w:rPr>
        <w:t xml:space="preserve"> objemy dovozu sýrů a tvarohů, zvýšení dovozu konzumního mléka převážně z</w:t>
      </w:r>
      <w:r>
        <w:rPr>
          <w:sz w:val="22"/>
          <w:szCs w:val="22"/>
          <w:u w:val="single"/>
        </w:rPr>
        <w:t> </w:t>
      </w:r>
      <w:r w:rsidRPr="00DA02A7">
        <w:rPr>
          <w:sz w:val="22"/>
          <w:szCs w:val="22"/>
          <w:u w:val="single"/>
        </w:rPr>
        <w:t>Německa</w:t>
      </w:r>
      <w:r>
        <w:rPr>
          <w:sz w:val="22"/>
          <w:szCs w:val="22"/>
          <w:u w:val="single"/>
        </w:rPr>
        <w:t>,</w:t>
      </w:r>
      <w:r w:rsidRPr="00DA02A7">
        <w:rPr>
          <w:sz w:val="22"/>
          <w:szCs w:val="22"/>
          <w:u w:val="single"/>
        </w:rPr>
        <w:t xml:space="preserve"> másla z Německa, Slovenska a Belgie</w:t>
      </w:r>
      <w:r>
        <w:rPr>
          <w:sz w:val="22"/>
          <w:szCs w:val="22"/>
          <w:u w:val="single"/>
        </w:rPr>
        <w:t xml:space="preserve"> a jogurtů a zakysaných výrobků z Německa, Polska a Slovenska</w:t>
      </w:r>
      <w:r w:rsidRPr="00DA02A7">
        <w:rPr>
          <w:sz w:val="22"/>
          <w:szCs w:val="22"/>
          <w:u w:val="single"/>
        </w:rPr>
        <w:t>.</w:t>
      </w:r>
    </w:p>
    <w:p w:rsidR="001B6EB9" w:rsidRDefault="001B6EB9" w:rsidP="001B6EB9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1B6EB9" w:rsidRDefault="001B6EB9" w:rsidP="001B6EB9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Celková bilance dovozu a vývozu mléka a mléčných výrobků je meziročně nižší o 7,1 %.</w:t>
      </w:r>
    </w:p>
    <w:p w:rsidR="001B6EB9" w:rsidRDefault="001B6EB9" w:rsidP="001B6EB9">
      <w:pPr>
        <w:ind w:right="29"/>
        <w:jc w:val="both"/>
        <w:rPr>
          <w:sz w:val="22"/>
          <w:szCs w:val="22"/>
        </w:rPr>
      </w:pPr>
    </w:p>
    <w:p w:rsidR="001B6EB9" w:rsidRPr="007B426C" w:rsidRDefault="001B6EB9" w:rsidP="001B6EB9">
      <w:pPr>
        <w:ind w:left="284"/>
        <w:outlineLvl w:val="0"/>
        <w:rPr>
          <w:b/>
        </w:rPr>
      </w:pPr>
      <w:r>
        <w:rPr>
          <w:b/>
        </w:rPr>
        <w:t>Vývoj zahran.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 až prosinec 2012 a 2011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I-XII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9C190A" w:rsidRDefault="001B6EB9" w:rsidP="0005022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9C190A" w:rsidRDefault="001B6EB9" w:rsidP="0005022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1B6EB9" w:rsidRPr="00D850D8" w:rsidRDefault="001B6EB9" w:rsidP="0005022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72 950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82 770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636 043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693 266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563 093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610 496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15,63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10,09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9,48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1 098 826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1 293 994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6 418 945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6 572 176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5 320 119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5 278 182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7 302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6 556</w:t>
            </w:r>
          </w:p>
        </w:tc>
        <w:tc>
          <w:tcPr>
            <w:tcW w:w="932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34 223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38 472</w:t>
            </w:r>
          </w:p>
        </w:tc>
        <w:tc>
          <w:tcPr>
            <w:tcW w:w="964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26 921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31 916</w:t>
            </w:r>
          </w:p>
        </w:tc>
        <w:tc>
          <w:tcPr>
            <w:tcW w:w="688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35,77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37,76</w:t>
            </w:r>
          </w:p>
        </w:tc>
        <w:tc>
          <w:tcPr>
            <w:tcW w:w="817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59,79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56,32</w:t>
            </w:r>
          </w:p>
        </w:tc>
        <w:tc>
          <w:tcPr>
            <w:tcW w:w="1110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261 206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247 566</w:t>
            </w:r>
          </w:p>
        </w:tc>
        <w:tc>
          <w:tcPr>
            <w:tcW w:w="1105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2 046 113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2 166 633</w:t>
            </w:r>
          </w:p>
        </w:tc>
        <w:tc>
          <w:tcPr>
            <w:tcW w:w="1161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1 784 907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1 919 067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41 634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43 589</w:t>
            </w:r>
          </w:p>
        </w:tc>
        <w:tc>
          <w:tcPr>
            <w:tcW w:w="932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69 098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52 970</w:t>
            </w:r>
          </w:p>
        </w:tc>
        <w:tc>
          <w:tcPr>
            <w:tcW w:w="964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27 464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9 381</w:t>
            </w:r>
          </w:p>
        </w:tc>
        <w:tc>
          <w:tcPr>
            <w:tcW w:w="688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26,24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28,15</w:t>
            </w:r>
          </w:p>
        </w:tc>
        <w:tc>
          <w:tcPr>
            <w:tcW w:w="817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26,90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29,12</w:t>
            </w:r>
          </w:p>
        </w:tc>
        <w:tc>
          <w:tcPr>
            <w:tcW w:w="1110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1 092 364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1 227 136</w:t>
            </w:r>
          </w:p>
        </w:tc>
        <w:tc>
          <w:tcPr>
            <w:tcW w:w="1105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1 858 430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1 542 399</w:t>
            </w:r>
          </w:p>
        </w:tc>
        <w:tc>
          <w:tcPr>
            <w:tcW w:w="1161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766 066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315 263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25 743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31 387</w:t>
            </w:r>
          </w:p>
        </w:tc>
        <w:tc>
          <w:tcPr>
            <w:tcW w:w="932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50 753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49 539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25 010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18 152</w:t>
            </w:r>
          </w:p>
        </w:tc>
        <w:tc>
          <w:tcPr>
            <w:tcW w:w="688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11,54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13,19</w:t>
            </w:r>
          </w:p>
        </w:tc>
        <w:tc>
          <w:tcPr>
            <w:tcW w:w="817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16,96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22,58</w:t>
            </w:r>
          </w:p>
        </w:tc>
        <w:tc>
          <w:tcPr>
            <w:tcW w:w="1110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297 062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413 968</w:t>
            </w:r>
          </w:p>
        </w:tc>
        <w:tc>
          <w:tcPr>
            <w:tcW w:w="1105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860 655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1 118 578</w:t>
            </w:r>
          </w:p>
        </w:tc>
        <w:tc>
          <w:tcPr>
            <w:tcW w:w="1161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563 593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704 610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</w:p>
        </w:tc>
        <w:tc>
          <w:tcPr>
            <w:tcW w:w="919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18 827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19 484</w:t>
            </w:r>
          </w:p>
        </w:tc>
        <w:tc>
          <w:tcPr>
            <w:tcW w:w="932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4 957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3 492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- 13 870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- 15 992</w:t>
            </w:r>
          </w:p>
        </w:tc>
        <w:tc>
          <w:tcPr>
            <w:tcW w:w="688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88,80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83,27</w:t>
            </w:r>
          </w:p>
        </w:tc>
        <w:tc>
          <w:tcPr>
            <w:tcW w:w="817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91,21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88,29</w:t>
            </w:r>
          </w:p>
        </w:tc>
        <w:tc>
          <w:tcPr>
            <w:tcW w:w="1110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1 671 939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1 622 385</w:t>
            </w:r>
          </w:p>
        </w:tc>
        <w:tc>
          <w:tcPr>
            <w:tcW w:w="1105" w:type="dxa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452 173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308 273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- 1 219 766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- 1 314 112</w:t>
            </w:r>
          </w:p>
        </w:tc>
      </w:tr>
      <w:tr w:rsidR="001B6EB9" w:rsidRPr="009A018E" w:rsidTr="0005022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1B6EB9" w:rsidRPr="007B426C" w:rsidRDefault="001B6EB9" w:rsidP="0005022A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11</w:t>
            </w:r>
          </w:p>
          <w:p w:rsidR="001B6EB9" w:rsidRPr="00AF5046" w:rsidRDefault="001B6EB9" w:rsidP="0005022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78 347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82 273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31 050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32 531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- 47 297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- 49 742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77,32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77,72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98,77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104,94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6 058 033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6 394 218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3 066 755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3 413 813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B6EB9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- 2 991 278</w:t>
            </w:r>
          </w:p>
          <w:p w:rsidR="001B6EB9" w:rsidRPr="007B426C" w:rsidRDefault="001B6EB9" w:rsidP="0005022A">
            <w:pPr>
              <w:jc w:val="right"/>
              <w:rPr>
                <w:sz w:val="20"/>
              </w:rPr>
            </w:pPr>
            <w:r>
              <w:rPr>
                <w:sz w:val="20"/>
              </w:rPr>
              <w:t>- 2 980 405</w:t>
            </w:r>
          </w:p>
        </w:tc>
      </w:tr>
    </w:tbl>
    <w:p w:rsidR="001B6EB9" w:rsidRDefault="001B6EB9" w:rsidP="001B6EB9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1B6EB9" w:rsidRPr="007B426C" w:rsidRDefault="001B6EB9" w:rsidP="001B6EB9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 - po opravě chybně zadaného deklarovaného množství dovozcem</w:t>
      </w:r>
    </w:p>
    <w:p w:rsidR="001B6EB9" w:rsidRDefault="001B6EB9" w:rsidP="001B6EB9">
      <w:pPr>
        <w:ind w:left="284"/>
        <w:outlineLvl w:val="0"/>
        <w:rPr>
          <w:b/>
        </w:rPr>
      </w:pPr>
    </w:p>
    <w:p w:rsidR="001B6EB9" w:rsidRPr="007B426C" w:rsidRDefault="001B6EB9" w:rsidP="001B6EB9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lednu až prosinci 2012, vyvezly</w:t>
      </w:r>
      <w:r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71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-</w:t>
      </w:r>
      <w:r w:rsidRPr="00635390">
        <w:rPr>
          <w:sz w:val="22"/>
          <w:szCs w:val="22"/>
        </w:rPr>
        <w:t xml:space="preserve"> </w:t>
      </w:r>
      <w:r>
        <w:rPr>
          <w:sz w:val="22"/>
          <w:szCs w:val="22"/>
        </w:rPr>
        <w:t>prosinec 2012/leden -</w:t>
      </w:r>
      <w:r w:rsidRPr="009328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prosinec 2011) došlo k navýšení finanční hodnoty vývozu o 2,8 %, tj. cca o 419 mil. Kč, zejména v druhé polovině roku </w:t>
      </w:r>
      <w:r w:rsidRPr="00B153DF">
        <w:rPr>
          <w:b/>
          <w:sz w:val="22"/>
          <w:szCs w:val="22"/>
          <w:u w:val="single"/>
        </w:rPr>
        <w:t>do</w:t>
      </w:r>
      <w:r>
        <w:rPr>
          <w:b/>
          <w:sz w:val="22"/>
          <w:szCs w:val="22"/>
          <w:u w:val="single"/>
        </w:rPr>
        <w:t>šlo</w:t>
      </w:r>
      <w:r w:rsidRPr="00B153DF">
        <w:rPr>
          <w:b/>
          <w:sz w:val="22"/>
          <w:szCs w:val="22"/>
          <w:u w:val="single"/>
        </w:rPr>
        <w:t xml:space="preserve"> ke </w:t>
      </w:r>
      <w:r>
        <w:rPr>
          <w:b/>
          <w:sz w:val="22"/>
          <w:szCs w:val="22"/>
          <w:u w:val="single"/>
        </w:rPr>
        <w:t>zpomalení</w:t>
      </w:r>
      <w:r w:rsidRPr="00B153DF">
        <w:rPr>
          <w:b/>
          <w:sz w:val="22"/>
          <w:szCs w:val="22"/>
          <w:u w:val="single"/>
        </w:rPr>
        <w:t xml:space="preserve"> tempa vývozu</w:t>
      </w:r>
      <w:r>
        <w:rPr>
          <w:sz w:val="22"/>
          <w:szCs w:val="22"/>
        </w:rPr>
        <w:t xml:space="preserve">. </w:t>
      </w:r>
      <w:r w:rsidRPr="0072395D">
        <w:rPr>
          <w:b/>
          <w:sz w:val="22"/>
          <w:szCs w:val="22"/>
        </w:rPr>
        <w:t xml:space="preserve">Téměř tři čtvrtiny finančního objemu vývozu představuje export do </w:t>
      </w:r>
      <w:r>
        <w:rPr>
          <w:b/>
          <w:sz w:val="22"/>
          <w:szCs w:val="22"/>
        </w:rPr>
        <w:t>6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29,5 %, na Slovensko 17,6 %, do Itálie 13,7 %, Maďarska 3,8 %, Francie 4,2 %, Polska 4,0 %). Do zemí EU-27 se v daném období vyvezlo 83,6 %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16,4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Thajsko, Malajsie, Bangladéš, Čína, Spojené arabské emiráty, Saudská Arábie. Předmětem obchodu s těmito zeměmi byly zejména sušená mléka, sušená syrovátka, bílé sýry a máslo. 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43,5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29,2 %. 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 lednu až prosinci 2012 se meziročně snížil objem vývozu smetan v cisternách o 54,5 %, objem vývozu konzumního mléka se v daném období snížil o 13,3 %. Ke zvýšení objemu vývozu v daném období došlo u vývozu mléka v cisternách (o 20,1 %) a vývozu konzumních smetan (o 27,7 %).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Významným vývozním artiklem mlékárenského zboží jsou sýry a tvarohy (podíl na celkové finanční hodnotě vývozu představují 22,6 %). Celkové meziroční zvýšení objemu vývozu sýrů a tvarohů v daném období představovalo 4,8 %.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 vývozu sušeného plnotučného mléka a smetany se v meziročním porovnání leden –</w:t>
      </w:r>
      <w:r w:rsidRPr="00E30E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prosinec 2012/leden - prosinec 2011 snížil o 12,3 % a vývoz sušeného odtučněného mléka se zvýšil o 18,1 %. Vývoz kondenzovaných mlék byl meziročně vyšší o 41,9 %. 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 vývozu jogurtů se meziročně propadl o 30,5 %, snížil se i vývoz ostatních zakysaných mléčných výrobků o 1,5 %. </w:t>
      </w:r>
    </w:p>
    <w:p w:rsidR="001B6EB9" w:rsidRDefault="001B6EB9" w:rsidP="001B6EB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Vývoz čerstvého másla ve spotřebitelském balení se meziročně snížil o 41,1 %, vývoz másla v blocích byl meziročně nižší o 60,1 %.</w:t>
      </w:r>
    </w:p>
    <w:p w:rsidR="001B6EB9" w:rsidRDefault="001B6EB9" w:rsidP="001B6EB9">
      <w:pPr>
        <w:ind w:left="284"/>
        <w:outlineLvl w:val="0"/>
        <w:rPr>
          <w:b/>
        </w:rPr>
      </w:pPr>
    </w:p>
    <w:p w:rsidR="001B6EB9" w:rsidRPr="007B426C" w:rsidRDefault="001B6EB9" w:rsidP="001B6EB9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1B6EB9" w:rsidRDefault="001B6EB9" w:rsidP="001B6EB9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>
        <w:rPr>
          <w:sz w:val="22"/>
          <w:szCs w:val="22"/>
        </w:rPr>
        <w:t>42,1</w:t>
      </w:r>
      <w:r w:rsidRPr="001C27A9">
        <w:rPr>
          <w:sz w:val="22"/>
          <w:szCs w:val="22"/>
        </w:rPr>
        <w:t xml:space="preserve"> %), Polska (</w:t>
      </w:r>
      <w:r>
        <w:rPr>
          <w:sz w:val="22"/>
          <w:szCs w:val="22"/>
        </w:rPr>
        <w:t xml:space="preserve">26,6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13,3</w:t>
      </w:r>
      <w:r w:rsidRPr="001C27A9">
        <w:rPr>
          <w:sz w:val="22"/>
          <w:szCs w:val="22"/>
        </w:rPr>
        <w:t xml:space="preserve"> %) představují celkem 8</w:t>
      </w:r>
      <w:r>
        <w:rPr>
          <w:sz w:val="22"/>
          <w:szCs w:val="22"/>
        </w:rPr>
        <w:t>2</w:t>
      </w:r>
      <w:r w:rsidRPr="001C27A9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 až prosinec 2012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37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, ze zemí EU-27 celkem 99,4 %. V meziročním porovnání dochází ke </w:t>
      </w:r>
      <w:r w:rsidRPr="003E3ABB">
        <w:rPr>
          <w:b/>
          <w:sz w:val="22"/>
          <w:szCs w:val="22"/>
        </w:rPr>
        <w:t>zvýšení finanční hodnoty dovozu</w:t>
      </w:r>
      <w:r>
        <w:rPr>
          <w:sz w:val="22"/>
          <w:szCs w:val="22"/>
        </w:rPr>
        <w:t xml:space="preserve"> o 719,8 mil. Kč, tj. o 6,9 %. </w:t>
      </w:r>
    </w:p>
    <w:p w:rsidR="001B6EB9" w:rsidRDefault="001B6EB9" w:rsidP="001B6EB9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Vysoké objemy dovozu sýrů (včetně tvarohů) se v meziročním porovnání leden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>prosinec 2012/leden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prosinec 2011 dále zvýšily, a to o 3 926 t na celkových 82 273 t. </w:t>
      </w:r>
      <w:r w:rsidRPr="008D5306">
        <w:rPr>
          <w:b/>
          <w:sz w:val="22"/>
          <w:szCs w:val="22"/>
          <w:u w:val="single"/>
        </w:rPr>
        <w:t xml:space="preserve">Toto </w:t>
      </w:r>
      <w:r>
        <w:rPr>
          <w:b/>
          <w:sz w:val="22"/>
          <w:szCs w:val="22"/>
          <w:u w:val="single"/>
        </w:rPr>
        <w:t xml:space="preserve">dovážené </w:t>
      </w:r>
      <w:r w:rsidRPr="008D5306">
        <w:rPr>
          <w:b/>
          <w:sz w:val="22"/>
          <w:szCs w:val="22"/>
          <w:u w:val="single"/>
        </w:rPr>
        <w:t xml:space="preserve">množství představuje cca </w:t>
      </w:r>
      <w:r>
        <w:rPr>
          <w:b/>
          <w:sz w:val="22"/>
          <w:szCs w:val="22"/>
          <w:u w:val="single"/>
        </w:rPr>
        <w:t>65,2</w:t>
      </w:r>
      <w:r w:rsidRPr="008D5306">
        <w:rPr>
          <w:b/>
          <w:sz w:val="22"/>
          <w:szCs w:val="22"/>
          <w:u w:val="single"/>
        </w:rPr>
        <w:t xml:space="preserve"> % objemu domácí výroby sýrů 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 lednu -</w:t>
      </w:r>
      <w:r w:rsidRPr="001C27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prosinec 2012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celkových 37 444 t </w:t>
      </w:r>
      <w:r w:rsidRPr="002D63FB">
        <w:rPr>
          <w:i/>
          <w:sz w:val="22"/>
          <w:szCs w:val="22"/>
        </w:rPr>
        <w:t xml:space="preserve">např. </w:t>
      </w:r>
      <w:r>
        <w:rPr>
          <w:i/>
          <w:sz w:val="22"/>
          <w:szCs w:val="22"/>
        </w:rPr>
        <w:t>12 928</w:t>
      </w:r>
      <w:r w:rsidRPr="002D63FB">
        <w:rPr>
          <w:i/>
          <w:sz w:val="22"/>
          <w:szCs w:val="22"/>
        </w:rPr>
        <w:t xml:space="preserve"> t Eidamu za průměrnou dovozní cenu </w:t>
      </w:r>
      <w:r>
        <w:rPr>
          <w:i/>
          <w:sz w:val="22"/>
          <w:szCs w:val="22"/>
        </w:rPr>
        <w:t>73,25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 xml:space="preserve">měsíci </w:t>
      </w:r>
      <w:r>
        <w:rPr>
          <w:i/>
          <w:sz w:val="22"/>
          <w:szCs w:val="22"/>
          <w:u w:val="single"/>
        </w:rPr>
        <w:t>prosinci</w:t>
      </w:r>
      <w:r w:rsidRPr="000A0A13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>
        <w:rPr>
          <w:i/>
          <w:sz w:val="22"/>
          <w:szCs w:val="22"/>
          <w:u w:val="single"/>
        </w:rPr>
        <w:t>130,57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14 203</w:t>
      </w:r>
      <w:r w:rsidRPr="002D63FB">
        <w:rPr>
          <w:i/>
          <w:sz w:val="22"/>
          <w:szCs w:val="22"/>
        </w:rPr>
        <w:t xml:space="preserve"> t čerstvých sýrů a tvarohů za průměrnou dovozní cenu </w:t>
      </w:r>
      <w:r>
        <w:rPr>
          <w:i/>
          <w:sz w:val="22"/>
          <w:szCs w:val="22"/>
        </w:rPr>
        <w:t>47,72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3 508 t Goudy za 76,06 Kč/kg – spotřebitelská cena na českém trhu v prosinci 2012 byla 186,75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27 958 t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>
        <w:rPr>
          <w:i/>
          <w:sz w:val="22"/>
          <w:szCs w:val="22"/>
          <w:u w:val="single"/>
        </w:rPr>
        <w:t>5 876</w:t>
      </w:r>
      <w:r w:rsidRPr="002D63FB">
        <w:rPr>
          <w:i/>
          <w:sz w:val="22"/>
          <w:szCs w:val="22"/>
          <w:u w:val="single"/>
        </w:rPr>
        <w:t xml:space="preserve"> t za </w:t>
      </w:r>
      <w:r>
        <w:rPr>
          <w:i/>
          <w:sz w:val="22"/>
          <w:szCs w:val="22"/>
          <w:u w:val="single"/>
        </w:rPr>
        <w:t>70,34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>
        <w:rPr>
          <w:i/>
          <w:sz w:val="22"/>
          <w:szCs w:val="22"/>
          <w:u w:val="single"/>
        </w:rPr>
        <w:t>196,50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>
        <w:rPr>
          <w:i/>
          <w:sz w:val="22"/>
          <w:szCs w:val="22"/>
        </w:rPr>
        <w:t>5 959</w:t>
      </w:r>
      <w:r w:rsidRPr="002D63FB">
        <w:rPr>
          <w:i/>
          <w:sz w:val="22"/>
          <w:szCs w:val="22"/>
        </w:rPr>
        <w:t xml:space="preserve"> t za </w:t>
      </w:r>
      <w:r>
        <w:rPr>
          <w:i/>
          <w:sz w:val="22"/>
          <w:szCs w:val="22"/>
        </w:rPr>
        <w:t>75,72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vyšší jsou i objemy dovozu jogurtů a ostatních zakysaných mléčných výrobků </w:t>
      </w:r>
      <w:r>
        <w:rPr>
          <w:sz w:val="22"/>
          <w:szCs w:val="22"/>
        </w:rPr>
        <w:br/>
        <w:t xml:space="preserve">(o 1 955 t, tj. o 4,7 %), které se v daném období dovážely do ČR především z Německa (22 849 t), Polska (12 658 t), Slovenska (3 683 t). </w:t>
      </w:r>
      <w:r w:rsidRPr="008D5306">
        <w:rPr>
          <w:b/>
          <w:sz w:val="22"/>
          <w:szCs w:val="22"/>
          <w:u w:val="single"/>
        </w:rPr>
        <w:t xml:space="preserve">Dovozy másla </w:t>
      </w:r>
      <w:r>
        <w:rPr>
          <w:b/>
          <w:sz w:val="22"/>
          <w:szCs w:val="22"/>
          <w:u w:val="single"/>
        </w:rPr>
        <w:t xml:space="preserve">a jiných tuků z mléka </w:t>
      </w:r>
      <w:r w:rsidRPr="008D5306">
        <w:rPr>
          <w:b/>
          <w:sz w:val="22"/>
          <w:szCs w:val="22"/>
          <w:u w:val="single"/>
        </w:rPr>
        <w:t>v</w:t>
      </w:r>
      <w:r>
        <w:rPr>
          <w:b/>
          <w:sz w:val="22"/>
          <w:szCs w:val="22"/>
          <w:u w:val="single"/>
        </w:rPr>
        <w:t xml:space="preserve"> celkovém </w:t>
      </w:r>
      <w:r w:rsidRPr="008D5306">
        <w:rPr>
          <w:b/>
          <w:sz w:val="22"/>
          <w:szCs w:val="22"/>
          <w:u w:val="single"/>
        </w:rPr>
        <w:t xml:space="preserve">objemu </w:t>
      </w:r>
      <w:r>
        <w:rPr>
          <w:b/>
          <w:sz w:val="22"/>
          <w:szCs w:val="22"/>
          <w:u w:val="single"/>
        </w:rPr>
        <w:t>19 484</w:t>
      </w:r>
      <w:r w:rsidRPr="008D5306">
        <w:rPr>
          <w:b/>
          <w:sz w:val="22"/>
          <w:szCs w:val="22"/>
          <w:u w:val="single"/>
        </w:rPr>
        <w:t xml:space="preserve"> t v lednu </w:t>
      </w:r>
      <w:r w:rsidRPr="001C27A9">
        <w:rPr>
          <w:b/>
          <w:sz w:val="22"/>
          <w:szCs w:val="22"/>
          <w:u w:val="single"/>
        </w:rPr>
        <w:t>až</w:t>
      </w:r>
      <w:r w:rsidRPr="006A0586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prosinci</w:t>
      </w:r>
      <w:r w:rsidRPr="00E6206B">
        <w:rPr>
          <w:b/>
          <w:sz w:val="22"/>
          <w:szCs w:val="22"/>
          <w:u w:val="single"/>
        </w:rPr>
        <w:t xml:space="preserve"> </w:t>
      </w:r>
      <w:r w:rsidRPr="001C27A9">
        <w:rPr>
          <w:b/>
          <w:sz w:val="22"/>
          <w:szCs w:val="22"/>
          <w:u w:val="single"/>
        </w:rPr>
        <w:t>2012</w:t>
      </w:r>
      <w:r w:rsidRPr="008D5306">
        <w:rPr>
          <w:b/>
          <w:sz w:val="22"/>
          <w:szCs w:val="22"/>
          <w:u w:val="single"/>
        </w:rPr>
        <w:t xml:space="preserve"> představují </w:t>
      </w:r>
      <w:r>
        <w:rPr>
          <w:b/>
          <w:sz w:val="22"/>
          <w:szCs w:val="22"/>
          <w:u w:val="single"/>
        </w:rPr>
        <w:t>50,1</w:t>
      </w:r>
      <w:r w:rsidRPr="008D5306">
        <w:rPr>
          <w:b/>
          <w:sz w:val="22"/>
          <w:szCs w:val="22"/>
          <w:u w:val="single"/>
        </w:rPr>
        <w:t xml:space="preserve"> % podílu z domácí výroby másla</w:t>
      </w:r>
      <w:r w:rsidRPr="008D5306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V lednu až prosinci 2012 se přírodní </w:t>
      </w:r>
      <w:r w:rsidRPr="00457C56">
        <w:rPr>
          <w:sz w:val="22"/>
          <w:szCs w:val="22"/>
          <w:u w:val="single"/>
        </w:rPr>
        <w:t>máslo ve spotřebitelském balení</w:t>
      </w:r>
      <w:r>
        <w:rPr>
          <w:sz w:val="22"/>
          <w:szCs w:val="22"/>
        </w:rPr>
        <w:t xml:space="preserve"> dováželo do ČR zejména z Německa (7 860 t za 93,40 Kč/kg), Polska (3 315 t za </w:t>
      </w:r>
      <w:r>
        <w:rPr>
          <w:sz w:val="22"/>
          <w:szCs w:val="22"/>
        </w:rPr>
        <w:br/>
        <w:t>75,80 Kč/kg), ze Slovenska (834 t za 80,50 Kč/kg), spotřebitelská cena másla v ČR v prosinci 2012 byla 142,75 Kč/kg.</w:t>
      </w:r>
    </w:p>
    <w:p w:rsidR="001B6EB9" w:rsidRDefault="001B6EB9" w:rsidP="001B6EB9">
      <w:pPr>
        <w:ind w:left="426"/>
        <w:rPr>
          <w:b/>
          <w:sz w:val="22"/>
          <w:szCs w:val="22"/>
        </w:rPr>
      </w:pPr>
    </w:p>
    <w:p w:rsidR="001B6EB9" w:rsidRPr="00E167C9" w:rsidRDefault="001B6EB9" w:rsidP="001B6EB9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1B6EB9" w:rsidRPr="009A018E" w:rsidTr="0005022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1B6EB9" w:rsidRPr="009A018E" w:rsidTr="0005022A">
        <w:trPr>
          <w:trHeight w:val="167"/>
        </w:trPr>
        <w:tc>
          <w:tcPr>
            <w:tcW w:w="91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1B6EB9" w:rsidRPr="00D66B6A" w:rsidTr="0005022A">
        <w:trPr>
          <w:trHeight w:val="201"/>
        </w:trPr>
        <w:tc>
          <w:tcPr>
            <w:tcW w:w="91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1B6EB9" w:rsidRPr="009A018E" w:rsidTr="0005022A">
        <w:trPr>
          <w:trHeight w:val="167"/>
        </w:trPr>
        <w:tc>
          <w:tcPr>
            <w:tcW w:w="91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1B6EB9" w:rsidRPr="00D66B6A" w:rsidTr="0005022A">
        <w:trPr>
          <w:trHeight w:val="193"/>
        </w:trPr>
        <w:tc>
          <w:tcPr>
            <w:tcW w:w="91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1B6EB9" w:rsidRPr="009A018E" w:rsidTr="0005022A">
        <w:trPr>
          <w:trHeight w:val="167"/>
        </w:trPr>
        <w:tc>
          <w:tcPr>
            <w:tcW w:w="91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1B6EB9" w:rsidRPr="00D66B6A" w:rsidTr="0005022A">
        <w:trPr>
          <w:trHeight w:val="185"/>
        </w:trPr>
        <w:tc>
          <w:tcPr>
            <w:tcW w:w="91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1B6EB9" w:rsidRPr="009A018E" w:rsidTr="0005022A">
        <w:trPr>
          <w:trHeight w:val="167"/>
        </w:trPr>
        <w:tc>
          <w:tcPr>
            <w:tcW w:w="91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1B6EB9" w:rsidRPr="00D66B6A" w:rsidTr="0005022A">
        <w:trPr>
          <w:trHeight w:val="177"/>
        </w:trPr>
        <w:tc>
          <w:tcPr>
            <w:tcW w:w="913" w:type="dxa"/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1B6EB9" w:rsidRPr="009A018E" w:rsidTr="0005022A">
        <w:trPr>
          <w:trHeight w:val="223"/>
        </w:trPr>
        <w:tc>
          <w:tcPr>
            <w:tcW w:w="913" w:type="dxa"/>
            <w:vAlign w:val="center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1B6EB9" w:rsidRPr="00D66B6A" w:rsidTr="0005022A">
        <w:trPr>
          <w:trHeight w:val="155"/>
        </w:trPr>
        <w:tc>
          <w:tcPr>
            <w:tcW w:w="913" w:type="dxa"/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1B6EB9" w:rsidRPr="009A018E" w:rsidTr="0005022A">
        <w:trPr>
          <w:trHeight w:val="223"/>
        </w:trPr>
        <w:tc>
          <w:tcPr>
            <w:tcW w:w="913" w:type="dxa"/>
            <w:vAlign w:val="center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1B6EB9" w:rsidRPr="00D66B6A" w:rsidTr="0005022A">
        <w:trPr>
          <w:trHeight w:val="133"/>
        </w:trPr>
        <w:tc>
          <w:tcPr>
            <w:tcW w:w="913" w:type="dxa"/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1B6EB9" w:rsidRPr="009A018E" w:rsidTr="0005022A">
        <w:trPr>
          <w:trHeight w:val="223"/>
        </w:trPr>
        <w:tc>
          <w:tcPr>
            <w:tcW w:w="913" w:type="dxa"/>
            <w:vAlign w:val="center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1B6EB9" w:rsidRPr="00CA462A" w:rsidRDefault="001B6EB9" w:rsidP="0005022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1B6EB9" w:rsidRPr="00D66B6A" w:rsidTr="0005022A">
        <w:trPr>
          <w:trHeight w:val="98"/>
        </w:trPr>
        <w:tc>
          <w:tcPr>
            <w:tcW w:w="913" w:type="dxa"/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1B6EB9" w:rsidRPr="009A018E" w:rsidTr="0005022A">
        <w:trPr>
          <w:trHeight w:val="241"/>
        </w:trPr>
        <w:tc>
          <w:tcPr>
            <w:tcW w:w="913" w:type="dxa"/>
            <w:vAlign w:val="center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1B6EB9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1B6EB9" w:rsidRPr="007A5D6A" w:rsidRDefault="001B6EB9" w:rsidP="00050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1B6EB9" w:rsidRPr="00D66B6A" w:rsidTr="0005022A">
        <w:trPr>
          <w:trHeight w:val="203"/>
        </w:trPr>
        <w:tc>
          <w:tcPr>
            <w:tcW w:w="913" w:type="dxa"/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1B6EB9" w:rsidRPr="006440F7" w:rsidTr="0005022A">
        <w:trPr>
          <w:trHeight w:val="203"/>
        </w:trPr>
        <w:tc>
          <w:tcPr>
            <w:tcW w:w="913" w:type="dxa"/>
            <w:vAlign w:val="center"/>
          </w:tcPr>
          <w:p w:rsidR="001B6EB9" w:rsidRPr="002C1156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1B6EB9" w:rsidRPr="006440F7" w:rsidRDefault="001B6EB9" w:rsidP="000502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1B6EB9" w:rsidRPr="00CF1A4D" w:rsidRDefault="001B6EB9" w:rsidP="00050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1B6EB9" w:rsidRPr="00D66B6A" w:rsidTr="0005022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Pr="00D66B6A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1B6EB9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1B6EB9" w:rsidRDefault="001B6EB9" w:rsidP="0005022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</w:tbl>
    <w:p w:rsidR="001B6EB9" w:rsidRDefault="001B6EB9" w:rsidP="001B6EB9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1B6EB9" w:rsidRDefault="001B6EB9" w:rsidP="001B6EB9">
      <w:pPr>
        <w:ind w:left="426"/>
        <w:rPr>
          <w:i/>
          <w:sz w:val="18"/>
          <w:szCs w:val="18"/>
        </w:rPr>
      </w:pPr>
    </w:p>
    <w:p w:rsidR="001B6EB9" w:rsidRDefault="001B6EB9" w:rsidP="001B6EB9">
      <w:pPr>
        <w:ind w:left="426"/>
        <w:rPr>
          <w:i/>
          <w:sz w:val="18"/>
          <w:szCs w:val="18"/>
        </w:rPr>
      </w:pPr>
      <w:r w:rsidRPr="00D43590">
        <w:rPr>
          <w:i/>
          <w:noProof/>
          <w:sz w:val="18"/>
          <w:szCs w:val="18"/>
        </w:rPr>
        <w:drawing>
          <wp:inline distT="0" distB="0" distL="0" distR="0">
            <wp:extent cx="5971038" cy="4114800"/>
            <wp:effectExtent l="19050" t="0" r="10662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6EB9" w:rsidRPr="002C1156" w:rsidRDefault="001B6EB9" w:rsidP="001B6EB9">
      <w:pPr>
        <w:ind w:left="426"/>
        <w:rPr>
          <w:i/>
          <w:sz w:val="18"/>
          <w:szCs w:val="18"/>
        </w:rPr>
      </w:pPr>
    </w:p>
    <w:p w:rsidR="0087163F" w:rsidRDefault="0087163F"/>
    <w:sectPr w:rsidR="0087163F" w:rsidSect="007B426C">
      <w:type w:val="continuous"/>
      <w:pgSz w:w="11906" w:h="16838"/>
      <w:pgMar w:top="1418" w:right="849" w:bottom="1418" w:left="68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CF3" w:rsidRDefault="00C04CF3" w:rsidP="00C400BA">
      <w:r>
        <w:separator/>
      </w:r>
    </w:p>
  </w:endnote>
  <w:endnote w:type="continuationSeparator" w:id="0">
    <w:p w:rsidR="00C04CF3" w:rsidRDefault="00C04CF3" w:rsidP="00C4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B3" w:rsidRDefault="00C400BA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EB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61B3" w:rsidRDefault="00C04C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B3" w:rsidRDefault="001B6EB9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C400BA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C400BA" w:rsidRPr="00697EEE">
      <w:rPr>
        <w:sz w:val="20"/>
      </w:rPr>
      <w:fldChar w:fldCharType="separate"/>
    </w:r>
    <w:r w:rsidR="00692190">
      <w:rPr>
        <w:noProof/>
        <w:sz w:val="20"/>
      </w:rPr>
      <w:t>1</w:t>
    </w:r>
    <w:r w:rsidR="00C400BA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CF3" w:rsidRDefault="00C04CF3" w:rsidP="00C400BA">
      <w:r>
        <w:separator/>
      </w:r>
    </w:p>
  </w:footnote>
  <w:footnote w:type="continuationSeparator" w:id="0">
    <w:p w:rsidR="00C04CF3" w:rsidRDefault="00C04CF3" w:rsidP="00C40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EB9"/>
    <w:rsid w:val="001B6EB9"/>
    <w:rsid w:val="00692190"/>
    <w:rsid w:val="0087163F"/>
    <w:rsid w:val="00C04CF3"/>
    <w:rsid w:val="00C4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olorful 1" w:uiPriority="0"/>
    <w:lsdException w:name="Table Colorful 2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E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6EB9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1B6E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B6EB9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1B6EB9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1B6EB9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1B6EB9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6E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B6EB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B6EB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B6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B6E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B6EB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Normln0">
    <w:name w:val="Norm‡ln’"/>
    <w:rsid w:val="001B6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ZNMKA">
    <w:name w:val="POZNÁMKA"/>
    <w:basedOn w:val="Normln"/>
    <w:rsid w:val="001B6EB9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1B6EB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VSpramen">
    <w:name w:val="SVS pramen"/>
    <w:autoRedefine/>
    <w:rsid w:val="001B6EB9"/>
    <w:pPr>
      <w:spacing w:after="0" w:line="240" w:lineRule="auto"/>
      <w:jc w:val="both"/>
    </w:pPr>
    <w:rPr>
      <w:rFonts w:ascii="Times New Roman" w:eastAsia="Times New Roman" w:hAnsi="Times New Roman" w:cs="Times New Roman"/>
      <w:bCs/>
      <w:i/>
      <w:noProof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B6EB9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1B6EB9"/>
    <w:rPr>
      <w:i/>
      <w:sz w:val="18"/>
    </w:rPr>
  </w:style>
  <w:style w:type="paragraph" w:customStyle="1" w:styleId="NADTABULKOU">
    <w:name w:val="NAD TABULKOU"/>
    <w:basedOn w:val="Normln"/>
    <w:rsid w:val="001B6EB9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1B6EB9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1B6EB9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1B6EB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B6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1B6EB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customStyle="1" w:styleId="Styl7">
    <w:name w:val="Styl7"/>
    <w:basedOn w:val="Normln"/>
    <w:autoRedefine/>
    <w:rsid w:val="001B6EB9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B6EB9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1B6E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B6EB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B6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6E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B6EB9"/>
    <w:rPr>
      <w:rFonts w:cs="Times New Roman"/>
    </w:rPr>
  </w:style>
  <w:style w:type="paragraph" w:styleId="Rozvrendokumentu">
    <w:name w:val="Document Map"/>
    <w:basedOn w:val="Normln"/>
    <w:link w:val="RozvrendokumentuChar"/>
    <w:rsid w:val="001B6EB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1B6EB9"/>
    <w:rPr>
      <w:rFonts w:ascii="Tahoma" w:eastAsia="Times New Roman" w:hAnsi="Tahoma" w:cs="Tahoma"/>
      <w:sz w:val="16"/>
      <w:szCs w:val="16"/>
      <w:lang w:eastAsia="cs-CZ"/>
    </w:rPr>
  </w:style>
  <w:style w:type="table" w:styleId="Elegantntabulka">
    <w:name w:val="Table Elegant"/>
    <w:basedOn w:val="Normlntabulka"/>
    <w:rsid w:val="001B6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1B6EB9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1B6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1B6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6E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6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2E-2"/>
                </c:manualLayout>
              </c:layout>
              <c:showVal val="1"/>
            </c:dLbl>
            <c:dLbl>
              <c:idx val="5"/>
              <c:layout>
                <c:manualLayout>
                  <c:x val="1.8893209036845069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24667008"/>
        <c:axId val="124668544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171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0692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242E-2"/>
                  <c:y val="2.0673341489936797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4658E-3"/>
                  <c:y val="3.2641246661532036E-2"/>
                </c:manualLayout>
              </c:layout>
              <c:showVal val="1"/>
            </c:dLbl>
            <c:dLbl>
              <c:idx val="6"/>
              <c:layout>
                <c:manualLayout>
                  <c:x val="-1.1240269253518939E-2"/>
                  <c:y val="3.0530602656389651E-2"/>
                </c:manualLayout>
              </c:layout>
              <c:showVal val="1"/>
            </c:dLbl>
            <c:dLbl>
              <c:idx val="7"/>
              <c:layout>
                <c:manualLayout>
                  <c:x val="-2.5520262446013107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812E-2"/>
                  <c:y val="3.5926741662917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24680832"/>
        <c:axId val="124678912"/>
      </c:lineChart>
      <c:catAx>
        <c:axId val="124667008"/>
        <c:scaling>
          <c:orientation val="minMax"/>
        </c:scaling>
        <c:axPos val="b"/>
        <c:numFmt formatCode="General" sourceLinked="1"/>
        <c:tickLblPos val="nextTo"/>
        <c:crossAx val="124668544"/>
        <c:crosses val="autoZero"/>
        <c:auto val="1"/>
        <c:lblAlgn val="ctr"/>
        <c:lblOffset val="100"/>
      </c:catAx>
      <c:valAx>
        <c:axId val="1246685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4667008"/>
        <c:crosses val="autoZero"/>
        <c:crossBetween val="between"/>
      </c:valAx>
      <c:valAx>
        <c:axId val="124678912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4680832"/>
        <c:crosses val="max"/>
        <c:crossBetween val="between"/>
      </c:valAx>
      <c:catAx>
        <c:axId val="124680832"/>
        <c:scaling>
          <c:orientation val="minMax"/>
        </c:scaling>
        <c:delete val="1"/>
        <c:axPos val="b"/>
        <c:numFmt formatCode="General" sourceLinked="1"/>
        <c:tickLblPos val="none"/>
        <c:crossAx val="124678912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3178233209787282"/>
          <c:w val="0.86105462714287528"/>
          <c:h val="0.76414738691769868"/>
        </c:manualLayout>
      </c:layout>
      <c:lineChart>
        <c:grouping val="standard"/>
        <c:ser>
          <c:idx val="0"/>
          <c:order val="0"/>
          <c:tx>
            <c:strRef>
              <c:f>List1!$H$148</c:f>
              <c:strCache>
                <c:ptCount val="1"/>
                <c:pt idx="0">
                  <c:v>CZV</c:v>
                </c:pt>
              </c:strCache>
            </c:strRef>
          </c:tx>
          <c:cat>
            <c:strRef>
              <c:f>List1!$G$149:$G$280</c:f>
              <c:strCache>
                <c:ptCount val="13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</c:strCache>
            </c:strRef>
          </c:cat>
          <c:val>
            <c:numRef>
              <c:f>List1!$H$149:$H$280</c:f>
              <c:numCache>
                <c:formatCode>General</c:formatCode>
                <c:ptCount val="132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  <c:pt idx="130">
                  <c:v>7.68</c:v>
                </c:pt>
                <c:pt idx="131">
                  <c:v>7.8199999999999985</c:v>
                </c:pt>
              </c:numCache>
            </c:numRef>
          </c:val>
        </c:ser>
        <c:ser>
          <c:idx val="1"/>
          <c:order val="1"/>
          <c:tx>
            <c:strRef>
              <c:f>List1!$I$148</c:f>
              <c:strCache>
                <c:ptCount val="1"/>
                <c:pt idx="0">
                  <c:v>CPV</c:v>
                </c:pt>
              </c:strCache>
            </c:strRef>
          </c:tx>
          <c:cat>
            <c:strRef>
              <c:f>List1!$G$149:$G$280</c:f>
              <c:strCache>
                <c:ptCount val="13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</c:strCache>
            </c:strRef>
          </c:cat>
          <c:val>
            <c:numRef>
              <c:f>List1!$I$149:$I$280</c:f>
              <c:numCache>
                <c:formatCode>General</c:formatCode>
                <c:ptCount val="132"/>
                <c:pt idx="0">
                  <c:v>11.9</c:v>
                </c:pt>
                <c:pt idx="1">
                  <c:v>11.9</c:v>
                </c:pt>
                <c:pt idx="2">
                  <c:v>11.860000000000019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10.350000000000019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10.860000000000019</c:v>
                </c:pt>
                <c:pt idx="31">
                  <c:v>10.860000000000019</c:v>
                </c:pt>
                <c:pt idx="32">
                  <c:v>10.860000000000019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10.350000000000019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  <c:pt idx="130">
                  <c:v>10.52</c:v>
                </c:pt>
                <c:pt idx="131">
                  <c:v>10.639999999999999</c:v>
                </c:pt>
              </c:numCache>
            </c:numRef>
          </c:val>
        </c:ser>
        <c:ser>
          <c:idx val="2"/>
          <c:order val="2"/>
          <c:tx>
            <c:strRef>
              <c:f>List1!$J$148</c:f>
              <c:strCache>
                <c:ptCount val="1"/>
                <c:pt idx="0">
                  <c:v>SC</c:v>
                </c:pt>
              </c:strCache>
            </c:strRef>
          </c:tx>
          <c:cat>
            <c:strRef>
              <c:f>List1!$G$149:$G$280</c:f>
              <c:strCache>
                <c:ptCount val="132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</c:strCache>
            </c:strRef>
          </c:cat>
          <c:val>
            <c:numRef>
              <c:f>List1!$J$149:$J$280</c:f>
              <c:numCache>
                <c:formatCode>General</c:formatCode>
                <c:ptCount val="132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17.110000000000031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  <c:pt idx="130">
                  <c:v>16.54</c:v>
                </c:pt>
                <c:pt idx="131">
                  <c:v>16.95</c:v>
                </c:pt>
              </c:numCache>
            </c:numRef>
          </c:val>
        </c:ser>
        <c:marker val="1"/>
        <c:axId val="124689792"/>
        <c:axId val="124699776"/>
      </c:lineChart>
      <c:catAx>
        <c:axId val="124689792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24699776"/>
        <c:crosses val="autoZero"/>
        <c:auto val="1"/>
        <c:lblAlgn val="ctr"/>
        <c:lblOffset val="100"/>
      </c:catAx>
      <c:valAx>
        <c:axId val="124699776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24689792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79"/>
          <c:y val="0.95423949254437723"/>
          <c:w val="0.51678217131677007"/>
          <c:h val="3.3088750689504891E-2"/>
        </c:manualLayout>
      </c:layout>
    </c:legend>
    <c:plotVisOnly val="1"/>
  </c:chart>
  <c:spPr>
    <a:solidFill>
      <a:schemeClr val="accent6">
        <a:lumMod val="20000"/>
        <a:lumOff val="80000"/>
      </a:schemeClr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150902070963206"/>
          <c:y val="0.13347720423835913"/>
          <c:w val="0.78465502982898461"/>
          <c:h val="0.71779503256537791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List1!$G$41:$G$144</c:f>
              <c:numCache>
                <c:formatCode>mmm/yy</c:formatCode>
                <c:ptCount val="104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</c:numCache>
            </c:numRef>
          </c:cat>
          <c:val>
            <c:numRef>
              <c:f>List1!$H$41:$H$144</c:f>
              <c:numCache>
                <c:formatCode>General</c:formatCode>
                <c:ptCount val="104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</c:numCache>
            </c:numRef>
          </c:val>
        </c:ser>
        <c:axId val="124742656"/>
        <c:axId val="124752640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marker>
            <c:symbol val="square"/>
            <c:size val="5"/>
          </c:marker>
          <c:cat>
            <c:numRef>
              <c:f>List1!$G$41:$G$144</c:f>
              <c:numCache>
                <c:formatCode>mmm/yy</c:formatCode>
                <c:ptCount val="104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</c:numCache>
            </c:numRef>
          </c:cat>
          <c:val>
            <c:numRef>
              <c:f>List1!$I$41:$I$144</c:f>
              <c:numCache>
                <c:formatCode>General</c:formatCode>
                <c:ptCount val="104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</c:numCache>
            </c:numRef>
          </c:val>
        </c:ser>
        <c:marker val="1"/>
        <c:axId val="124797696"/>
        <c:axId val="124754560"/>
      </c:lineChart>
      <c:dateAx>
        <c:axId val="124742656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24752640"/>
        <c:crosses val="autoZero"/>
        <c:auto val="1"/>
        <c:lblOffset val="100"/>
      </c:dateAx>
      <c:valAx>
        <c:axId val="1247526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4742656"/>
        <c:crosses val="autoZero"/>
        <c:crossBetween val="between"/>
      </c:valAx>
      <c:valAx>
        <c:axId val="124754560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4797696"/>
        <c:crosses val="max"/>
        <c:crossBetween val="between"/>
      </c:valAx>
      <c:dateAx>
        <c:axId val="124797696"/>
        <c:scaling>
          <c:orientation val="minMax"/>
        </c:scaling>
        <c:delete val="1"/>
        <c:axPos val="b"/>
        <c:numFmt formatCode="mmm/yy" sourceLinked="1"/>
        <c:tickLblPos val="none"/>
        <c:crossAx val="124754560"/>
        <c:crosses val="autoZero"/>
        <c:auto val="1"/>
        <c:lblOffset val="100"/>
      </c:dateAx>
    </c:plotArea>
    <c:legend>
      <c:legendPos val="b"/>
    </c:legend>
    <c:plotVisOnly val="1"/>
    <c:dispBlanksAs val="gap"/>
  </c:chart>
  <c:spPr>
    <a:solidFill>
      <a:schemeClr val="accent6">
        <a:lumMod val="40000"/>
        <a:lumOff val="60000"/>
      </a:schemeClr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2694</Words>
  <Characters>15901</Characters>
  <Application>Microsoft Office Word</Application>
  <DocSecurity>0</DocSecurity>
  <Lines>132</Lines>
  <Paragraphs>37</Paragraphs>
  <ScaleCrop>false</ScaleCrop>
  <Company>MZe</Company>
  <LinksUpToDate>false</LinksUpToDate>
  <CharactersWithSpaces>18558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2</cp:revision>
  <dcterms:created xsi:type="dcterms:W3CDTF">2013-02-19T12:53:00Z</dcterms:created>
  <dcterms:modified xsi:type="dcterms:W3CDTF">2013-02-19T12:53:00Z</dcterms:modified>
</cp:coreProperties>
</file>