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64"/>
        <w:gridCol w:w="892"/>
        <w:gridCol w:w="1020"/>
        <w:gridCol w:w="893"/>
        <w:gridCol w:w="1020"/>
        <w:gridCol w:w="892"/>
        <w:gridCol w:w="899"/>
        <w:gridCol w:w="899"/>
      </w:tblGrid>
      <w:tr w:rsidR="00120728" w:rsidTr="002C0FB7">
        <w:trPr>
          <w:trHeight w:val="354"/>
        </w:trPr>
        <w:tc>
          <w:tcPr>
            <w:tcW w:w="10279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:rsidR="00120728" w:rsidRDefault="00120728" w:rsidP="00CE46B3">
            <w:pPr>
              <w:pStyle w:val="Normln0"/>
              <w:shd w:val="clear" w:color="auto" w:fill="FFFFFF"/>
              <w:rPr>
                <w:b/>
              </w:rPr>
            </w:pPr>
            <w:r>
              <w:rPr>
                <w:b/>
                <w:sz w:val="28"/>
              </w:rPr>
              <w:t>Komodit</w:t>
            </w:r>
            <w:r w:rsidR="0013178A">
              <w:rPr>
                <w:b/>
                <w:sz w:val="28"/>
              </w:rPr>
              <w:t xml:space="preserve">ní karta          </w:t>
            </w:r>
            <w:r>
              <w:rPr>
                <w:b/>
                <w:sz w:val="28"/>
              </w:rPr>
              <w:t xml:space="preserve"> </w:t>
            </w:r>
            <w:r w:rsidR="00DC6137">
              <w:rPr>
                <w:b/>
                <w:sz w:val="28"/>
              </w:rPr>
              <w:t xml:space="preserve">   </w:t>
            </w:r>
            <w:r w:rsidR="00CE46B3">
              <w:rPr>
                <w:b/>
                <w:sz w:val="28"/>
              </w:rPr>
              <w:t xml:space="preserve">  </w:t>
            </w:r>
            <w:r w:rsidR="00DC6137">
              <w:rPr>
                <w:b/>
                <w:sz w:val="28"/>
              </w:rPr>
              <w:t xml:space="preserve">   </w:t>
            </w:r>
            <w:r>
              <w:rPr>
                <w:b/>
                <w:sz w:val="28"/>
              </w:rPr>
              <w:t xml:space="preserve"> </w:t>
            </w:r>
            <w:r w:rsidR="00CE46B3">
              <w:rPr>
                <w:b/>
                <w:sz w:val="28"/>
              </w:rPr>
              <w:t>LEDEN</w:t>
            </w:r>
            <w:r w:rsidR="00DC6137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 201</w:t>
            </w:r>
            <w:r w:rsidR="00CE46B3">
              <w:rPr>
                <w:b/>
                <w:sz w:val="28"/>
              </w:rPr>
              <w:t>2</w:t>
            </w:r>
            <w:r>
              <w:rPr>
                <w:b/>
                <w:sz w:val="28"/>
              </w:rPr>
              <w:t xml:space="preserve">       </w:t>
            </w:r>
            <w:r w:rsidR="00CE46B3">
              <w:rPr>
                <w:b/>
                <w:sz w:val="28"/>
              </w:rPr>
              <w:t xml:space="preserve">   </w:t>
            </w:r>
            <w:r>
              <w:rPr>
                <w:b/>
                <w:sz w:val="28"/>
              </w:rPr>
              <w:t xml:space="preserve">    MLÉKO a mlékárenské výrobky</w:t>
            </w:r>
          </w:p>
        </w:tc>
      </w:tr>
      <w:tr w:rsidR="00120728" w:rsidTr="002C0F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10279" w:type="dxa"/>
            <w:gridSpan w:val="8"/>
            <w:shd w:val="clear" w:color="auto" w:fill="B8CCE4"/>
          </w:tcPr>
          <w:p w:rsidR="00120728" w:rsidRDefault="00120728" w:rsidP="00D65B00">
            <w:pPr>
              <w:pStyle w:val="Nadpis1"/>
              <w:jc w:val="center"/>
              <w:rPr>
                <w:b/>
              </w:rPr>
            </w:pPr>
            <w:r>
              <w:rPr>
                <w:b/>
              </w:rPr>
              <w:t>Vývoj v zemědělství, bilance mléka</w:t>
            </w:r>
          </w:p>
        </w:tc>
      </w:tr>
      <w:tr w:rsidR="007952AF" w:rsidRPr="009A018E" w:rsidTr="004151D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"/>
        </w:trPr>
        <w:tc>
          <w:tcPr>
            <w:tcW w:w="3764" w:type="dxa"/>
            <w:tcBorders>
              <w:top w:val="double" w:sz="4" w:space="0" w:color="auto"/>
              <w:bottom w:val="double" w:sz="4" w:space="0" w:color="auto"/>
            </w:tcBorders>
          </w:tcPr>
          <w:p w:rsidR="007952AF" w:rsidRPr="009A018E" w:rsidRDefault="007952AF" w:rsidP="009A018E">
            <w:r w:rsidRPr="009A018E">
              <w:t>Ukazatel/rok</w:t>
            </w:r>
          </w:p>
        </w:tc>
        <w:tc>
          <w:tcPr>
            <w:tcW w:w="892" w:type="dxa"/>
            <w:tcBorders>
              <w:top w:val="double" w:sz="4" w:space="0" w:color="auto"/>
              <w:bottom w:val="double" w:sz="4" w:space="0" w:color="auto"/>
            </w:tcBorders>
          </w:tcPr>
          <w:p w:rsidR="007952AF" w:rsidRPr="00007195" w:rsidRDefault="007952AF" w:rsidP="009A018E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2003</w:t>
            </w:r>
          </w:p>
        </w:tc>
        <w:tc>
          <w:tcPr>
            <w:tcW w:w="1020" w:type="dxa"/>
            <w:tcBorders>
              <w:top w:val="double" w:sz="4" w:space="0" w:color="auto"/>
              <w:bottom w:val="double" w:sz="4" w:space="0" w:color="auto"/>
            </w:tcBorders>
          </w:tcPr>
          <w:p w:rsidR="007952AF" w:rsidRPr="00007195" w:rsidRDefault="007952AF" w:rsidP="009A018E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2006</w:t>
            </w:r>
          </w:p>
        </w:tc>
        <w:tc>
          <w:tcPr>
            <w:tcW w:w="893" w:type="dxa"/>
            <w:tcBorders>
              <w:top w:val="double" w:sz="4" w:space="0" w:color="auto"/>
              <w:bottom w:val="double" w:sz="4" w:space="0" w:color="auto"/>
            </w:tcBorders>
          </w:tcPr>
          <w:p w:rsidR="007952AF" w:rsidRPr="00007195" w:rsidRDefault="007952AF" w:rsidP="009A018E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2007</w:t>
            </w:r>
          </w:p>
        </w:tc>
        <w:tc>
          <w:tcPr>
            <w:tcW w:w="1020" w:type="dxa"/>
            <w:tcBorders>
              <w:top w:val="double" w:sz="4" w:space="0" w:color="auto"/>
              <w:bottom w:val="double" w:sz="4" w:space="0" w:color="auto"/>
            </w:tcBorders>
          </w:tcPr>
          <w:p w:rsidR="007952AF" w:rsidRPr="00007195" w:rsidRDefault="007952AF" w:rsidP="009A018E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2008</w:t>
            </w:r>
          </w:p>
        </w:tc>
        <w:tc>
          <w:tcPr>
            <w:tcW w:w="892" w:type="dxa"/>
            <w:tcBorders>
              <w:top w:val="double" w:sz="4" w:space="0" w:color="auto"/>
              <w:bottom w:val="double" w:sz="4" w:space="0" w:color="auto"/>
            </w:tcBorders>
          </w:tcPr>
          <w:p w:rsidR="007952AF" w:rsidRPr="00007195" w:rsidRDefault="007952AF" w:rsidP="007952AF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2009</w:t>
            </w: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:rsidR="007952AF" w:rsidRPr="00007195" w:rsidRDefault="007952AF" w:rsidP="000071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2010</w:t>
            </w: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:rsidR="007952AF" w:rsidRPr="00007195" w:rsidRDefault="00120728" w:rsidP="007952AF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r w:rsidR="007952AF">
              <w:rPr>
                <w:sz w:val="20"/>
              </w:rPr>
              <w:t>index</w:t>
            </w:r>
            <w:proofErr w:type="spellEnd"/>
            <w:r w:rsidR="007952AF">
              <w:rPr>
                <w:sz w:val="20"/>
              </w:rPr>
              <w:t xml:space="preserve"> 2010</w:t>
            </w:r>
            <w:r w:rsidR="007952AF" w:rsidRPr="00007195">
              <w:rPr>
                <w:sz w:val="20"/>
              </w:rPr>
              <w:t>/0</w:t>
            </w:r>
            <w:r w:rsidR="007952AF">
              <w:rPr>
                <w:sz w:val="20"/>
              </w:rPr>
              <w:t>9</w:t>
            </w:r>
          </w:p>
        </w:tc>
      </w:tr>
      <w:tr w:rsidR="007952AF" w:rsidRPr="007952AF" w:rsidTr="004151D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"/>
        </w:trPr>
        <w:tc>
          <w:tcPr>
            <w:tcW w:w="3764" w:type="dxa"/>
            <w:tcBorders>
              <w:top w:val="nil"/>
            </w:tcBorders>
            <w:shd w:val="clear" w:color="auto" w:fill="FBD4B4"/>
          </w:tcPr>
          <w:p w:rsidR="007952AF" w:rsidRPr="007952AF" w:rsidRDefault="007952AF" w:rsidP="009A018E">
            <w:pPr>
              <w:rPr>
                <w:sz w:val="20"/>
              </w:rPr>
            </w:pPr>
            <w:proofErr w:type="spellStart"/>
            <w:r w:rsidRPr="007952AF">
              <w:rPr>
                <w:sz w:val="20"/>
              </w:rPr>
              <w:t>Prům</w:t>
            </w:r>
            <w:proofErr w:type="spellEnd"/>
            <w:r w:rsidRPr="007952AF">
              <w:rPr>
                <w:sz w:val="20"/>
              </w:rPr>
              <w:t>. stav dojnic v tis. ks</w:t>
            </w:r>
          </w:p>
        </w:tc>
        <w:tc>
          <w:tcPr>
            <w:tcW w:w="892" w:type="dxa"/>
            <w:tcBorders>
              <w:top w:val="nil"/>
            </w:tcBorders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 459,6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 422,9</w:t>
            </w:r>
          </w:p>
        </w:tc>
        <w:tc>
          <w:tcPr>
            <w:tcW w:w="893" w:type="dxa"/>
            <w:tcBorders>
              <w:top w:val="nil"/>
            </w:tcBorders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 409,8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 402,5</w:t>
            </w:r>
          </w:p>
        </w:tc>
        <w:tc>
          <w:tcPr>
            <w:tcW w:w="892" w:type="dxa"/>
            <w:tcBorders>
              <w:top w:val="nil"/>
            </w:tcBorders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 394,1</w:t>
            </w:r>
          </w:p>
        </w:tc>
        <w:tc>
          <w:tcPr>
            <w:tcW w:w="899" w:type="dxa"/>
            <w:tcBorders>
              <w:top w:val="nil"/>
            </w:tcBorders>
            <w:shd w:val="clear" w:color="auto" w:fill="FBD4B4"/>
          </w:tcPr>
          <w:p w:rsidR="007952AF" w:rsidRPr="007952AF" w:rsidRDefault="00B9795B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378,4</w:t>
            </w:r>
          </w:p>
        </w:tc>
        <w:tc>
          <w:tcPr>
            <w:tcW w:w="899" w:type="dxa"/>
            <w:tcBorders>
              <w:top w:val="nil"/>
            </w:tcBorders>
            <w:shd w:val="clear" w:color="auto" w:fill="FBD4B4"/>
          </w:tcPr>
          <w:p w:rsidR="007952AF" w:rsidRPr="007952AF" w:rsidRDefault="00C15A28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96,0</w:t>
            </w:r>
          </w:p>
        </w:tc>
      </w:tr>
      <w:tr w:rsidR="007952AF" w:rsidRPr="007952AF" w:rsidTr="004151D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"/>
        </w:trPr>
        <w:tc>
          <w:tcPr>
            <w:tcW w:w="3764" w:type="dxa"/>
            <w:shd w:val="clear" w:color="auto" w:fill="FBD4B4"/>
          </w:tcPr>
          <w:p w:rsidR="007952AF" w:rsidRPr="007952AF" w:rsidRDefault="007952AF" w:rsidP="009A018E">
            <w:pPr>
              <w:rPr>
                <w:sz w:val="20"/>
              </w:rPr>
            </w:pPr>
            <w:proofErr w:type="spellStart"/>
            <w:r w:rsidRPr="007952AF">
              <w:rPr>
                <w:sz w:val="20"/>
              </w:rPr>
              <w:t>Prům</w:t>
            </w:r>
            <w:proofErr w:type="spellEnd"/>
            <w:r w:rsidRPr="007952AF">
              <w:rPr>
                <w:sz w:val="20"/>
              </w:rPr>
              <w:t>. roční dojivost v    l/ks</w:t>
            </w:r>
          </w:p>
        </w:tc>
        <w:tc>
          <w:tcPr>
            <w:tcW w:w="892" w:type="dxa"/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5 756,2</w:t>
            </w:r>
          </w:p>
        </w:tc>
        <w:tc>
          <w:tcPr>
            <w:tcW w:w="1020" w:type="dxa"/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6 370,4</w:t>
            </w:r>
          </w:p>
        </w:tc>
        <w:tc>
          <w:tcPr>
            <w:tcW w:w="893" w:type="dxa"/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6 548,3</w:t>
            </w:r>
          </w:p>
        </w:tc>
        <w:tc>
          <w:tcPr>
            <w:tcW w:w="1020" w:type="dxa"/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6 776,2</w:t>
            </w:r>
          </w:p>
        </w:tc>
        <w:tc>
          <w:tcPr>
            <w:tcW w:w="892" w:type="dxa"/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6 869,9</w:t>
            </w:r>
          </w:p>
        </w:tc>
        <w:tc>
          <w:tcPr>
            <w:tcW w:w="899" w:type="dxa"/>
            <w:shd w:val="clear" w:color="auto" w:fill="FBD4B4"/>
          </w:tcPr>
          <w:p w:rsidR="007952AF" w:rsidRPr="007952AF" w:rsidRDefault="00B9795B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6 903,8</w:t>
            </w:r>
          </w:p>
        </w:tc>
        <w:tc>
          <w:tcPr>
            <w:tcW w:w="899" w:type="dxa"/>
            <w:shd w:val="clear" w:color="auto" w:fill="FBD4B4"/>
          </w:tcPr>
          <w:p w:rsidR="007952AF" w:rsidRPr="007952AF" w:rsidRDefault="00C15A28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100,5</w:t>
            </w:r>
          </w:p>
        </w:tc>
      </w:tr>
      <w:tr w:rsidR="007952AF" w:rsidRPr="007952AF" w:rsidTr="004151D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"/>
        </w:trPr>
        <w:tc>
          <w:tcPr>
            <w:tcW w:w="3764" w:type="dxa"/>
            <w:shd w:val="clear" w:color="auto" w:fill="FBD4B4"/>
          </w:tcPr>
          <w:p w:rsidR="007952AF" w:rsidRPr="007952AF" w:rsidRDefault="007952AF" w:rsidP="009A018E">
            <w:pPr>
              <w:rPr>
                <w:sz w:val="20"/>
              </w:rPr>
            </w:pPr>
            <w:r w:rsidRPr="007952AF">
              <w:rPr>
                <w:sz w:val="20"/>
              </w:rPr>
              <w:t>Výroba mléka v mil. l</w:t>
            </w:r>
          </w:p>
        </w:tc>
        <w:tc>
          <w:tcPr>
            <w:tcW w:w="892" w:type="dxa"/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2 645,7</w:t>
            </w:r>
          </w:p>
        </w:tc>
        <w:tc>
          <w:tcPr>
            <w:tcW w:w="1020" w:type="dxa"/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2 694,4</w:t>
            </w:r>
          </w:p>
        </w:tc>
        <w:tc>
          <w:tcPr>
            <w:tcW w:w="893" w:type="dxa"/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2 683,5</w:t>
            </w:r>
          </w:p>
        </w:tc>
        <w:tc>
          <w:tcPr>
            <w:tcW w:w="1020" w:type="dxa"/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2 727,7</w:t>
            </w:r>
          </w:p>
        </w:tc>
        <w:tc>
          <w:tcPr>
            <w:tcW w:w="892" w:type="dxa"/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2 707,6</w:t>
            </w:r>
          </w:p>
        </w:tc>
        <w:tc>
          <w:tcPr>
            <w:tcW w:w="899" w:type="dxa"/>
            <w:shd w:val="clear" w:color="auto" w:fill="FBD4B4"/>
          </w:tcPr>
          <w:p w:rsidR="007952AF" w:rsidRPr="007952AF" w:rsidRDefault="00B9795B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2 612,5</w:t>
            </w:r>
          </w:p>
        </w:tc>
        <w:tc>
          <w:tcPr>
            <w:tcW w:w="899" w:type="dxa"/>
            <w:shd w:val="clear" w:color="auto" w:fill="FBD4B4"/>
          </w:tcPr>
          <w:p w:rsidR="007952AF" w:rsidRPr="007952AF" w:rsidRDefault="00C15A28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96,5</w:t>
            </w:r>
          </w:p>
        </w:tc>
      </w:tr>
      <w:tr w:rsidR="007952AF" w:rsidRPr="007952AF" w:rsidTr="004151D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"/>
        </w:trPr>
        <w:tc>
          <w:tcPr>
            <w:tcW w:w="3764" w:type="dxa"/>
            <w:shd w:val="clear" w:color="auto" w:fill="FBD4B4"/>
          </w:tcPr>
          <w:p w:rsidR="007952AF" w:rsidRPr="007952AF" w:rsidRDefault="007952AF" w:rsidP="009A018E">
            <w:pPr>
              <w:rPr>
                <w:sz w:val="20"/>
              </w:rPr>
            </w:pPr>
            <w:r w:rsidRPr="007952AF">
              <w:rPr>
                <w:sz w:val="20"/>
              </w:rPr>
              <w:t>Tržní produkce. v mil. l</w:t>
            </w:r>
          </w:p>
        </w:tc>
        <w:tc>
          <w:tcPr>
            <w:tcW w:w="892" w:type="dxa"/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2 530,9</w:t>
            </w:r>
          </w:p>
        </w:tc>
        <w:tc>
          <w:tcPr>
            <w:tcW w:w="1020" w:type="dxa"/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2 612,1</w:t>
            </w:r>
          </w:p>
        </w:tc>
        <w:tc>
          <w:tcPr>
            <w:tcW w:w="893" w:type="dxa"/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2 618,5</w:t>
            </w:r>
          </w:p>
        </w:tc>
        <w:tc>
          <w:tcPr>
            <w:tcW w:w="1020" w:type="dxa"/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2 638,7</w:t>
            </w:r>
          </w:p>
        </w:tc>
        <w:tc>
          <w:tcPr>
            <w:tcW w:w="892" w:type="dxa"/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2 588,4</w:t>
            </w:r>
          </w:p>
        </w:tc>
        <w:tc>
          <w:tcPr>
            <w:tcW w:w="899" w:type="dxa"/>
            <w:shd w:val="clear" w:color="auto" w:fill="FBD4B4"/>
          </w:tcPr>
          <w:p w:rsidR="007952AF" w:rsidRPr="007952AF" w:rsidRDefault="00B9795B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2 508,4</w:t>
            </w:r>
          </w:p>
        </w:tc>
        <w:tc>
          <w:tcPr>
            <w:tcW w:w="899" w:type="dxa"/>
            <w:shd w:val="clear" w:color="auto" w:fill="FBD4B4"/>
          </w:tcPr>
          <w:p w:rsidR="007952AF" w:rsidRPr="007952AF" w:rsidRDefault="00C15A28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96,9</w:t>
            </w:r>
          </w:p>
        </w:tc>
      </w:tr>
      <w:tr w:rsidR="007952AF" w:rsidRPr="007952AF" w:rsidTr="004151D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"/>
        </w:trPr>
        <w:tc>
          <w:tcPr>
            <w:tcW w:w="3764" w:type="dxa"/>
            <w:shd w:val="clear" w:color="auto" w:fill="FBD4B4"/>
          </w:tcPr>
          <w:p w:rsidR="007952AF" w:rsidRPr="007952AF" w:rsidRDefault="007952AF" w:rsidP="009A018E">
            <w:pPr>
              <w:rPr>
                <w:sz w:val="20"/>
              </w:rPr>
            </w:pPr>
            <w:r w:rsidRPr="007952AF">
              <w:rPr>
                <w:sz w:val="20"/>
              </w:rPr>
              <w:t>Tržnost v %</w:t>
            </w:r>
          </w:p>
        </w:tc>
        <w:tc>
          <w:tcPr>
            <w:tcW w:w="892" w:type="dxa"/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95,7</w:t>
            </w:r>
          </w:p>
        </w:tc>
        <w:tc>
          <w:tcPr>
            <w:tcW w:w="1020" w:type="dxa"/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96,9</w:t>
            </w:r>
          </w:p>
        </w:tc>
        <w:tc>
          <w:tcPr>
            <w:tcW w:w="893" w:type="dxa"/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97,6</w:t>
            </w:r>
          </w:p>
        </w:tc>
        <w:tc>
          <w:tcPr>
            <w:tcW w:w="1020" w:type="dxa"/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96,7</w:t>
            </w:r>
          </w:p>
        </w:tc>
        <w:tc>
          <w:tcPr>
            <w:tcW w:w="892" w:type="dxa"/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95,6</w:t>
            </w:r>
          </w:p>
        </w:tc>
        <w:tc>
          <w:tcPr>
            <w:tcW w:w="899" w:type="dxa"/>
            <w:shd w:val="clear" w:color="auto" w:fill="FBD4B4"/>
          </w:tcPr>
          <w:p w:rsidR="007952AF" w:rsidRPr="007952AF" w:rsidRDefault="00B9795B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96,0</w:t>
            </w:r>
          </w:p>
        </w:tc>
        <w:tc>
          <w:tcPr>
            <w:tcW w:w="899" w:type="dxa"/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</w:p>
        </w:tc>
      </w:tr>
      <w:tr w:rsidR="007952AF" w:rsidRPr="007952AF" w:rsidTr="004151D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8"/>
        </w:trPr>
        <w:tc>
          <w:tcPr>
            <w:tcW w:w="3764" w:type="dxa"/>
          </w:tcPr>
          <w:p w:rsidR="007952AF" w:rsidRPr="007952AF" w:rsidRDefault="007952AF" w:rsidP="009A018E">
            <w:pPr>
              <w:rPr>
                <w:b/>
                <w:sz w:val="20"/>
              </w:rPr>
            </w:pPr>
            <w:r w:rsidRPr="007952AF">
              <w:rPr>
                <w:b/>
                <w:sz w:val="20"/>
              </w:rPr>
              <w:t>Bilance</w:t>
            </w:r>
          </w:p>
        </w:tc>
        <w:tc>
          <w:tcPr>
            <w:tcW w:w="892" w:type="dxa"/>
          </w:tcPr>
          <w:p w:rsidR="007952AF" w:rsidRPr="007952AF" w:rsidRDefault="007952AF" w:rsidP="009A018E">
            <w:pPr>
              <w:jc w:val="right"/>
              <w:rPr>
                <w:b/>
                <w:sz w:val="20"/>
              </w:rPr>
            </w:pPr>
          </w:p>
        </w:tc>
        <w:tc>
          <w:tcPr>
            <w:tcW w:w="1020" w:type="dxa"/>
          </w:tcPr>
          <w:p w:rsidR="007952AF" w:rsidRPr="007952AF" w:rsidRDefault="007952AF" w:rsidP="009A018E">
            <w:pPr>
              <w:jc w:val="right"/>
              <w:rPr>
                <w:b/>
                <w:sz w:val="20"/>
              </w:rPr>
            </w:pPr>
          </w:p>
        </w:tc>
        <w:tc>
          <w:tcPr>
            <w:tcW w:w="893" w:type="dxa"/>
          </w:tcPr>
          <w:p w:rsidR="007952AF" w:rsidRPr="007952AF" w:rsidRDefault="007952AF" w:rsidP="009A018E">
            <w:pPr>
              <w:jc w:val="right"/>
              <w:rPr>
                <w:b/>
                <w:sz w:val="20"/>
              </w:rPr>
            </w:pPr>
          </w:p>
        </w:tc>
        <w:tc>
          <w:tcPr>
            <w:tcW w:w="1020" w:type="dxa"/>
          </w:tcPr>
          <w:p w:rsidR="007952AF" w:rsidRPr="007952AF" w:rsidRDefault="007952AF" w:rsidP="009A018E">
            <w:pPr>
              <w:jc w:val="right"/>
              <w:rPr>
                <w:b/>
                <w:sz w:val="20"/>
              </w:rPr>
            </w:pPr>
          </w:p>
        </w:tc>
        <w:tc>
          <w:tcPr>
            <w:tcW w:w="892" w:type="dxa"/>
          </w:tcPr>
          <w:p w:rsidR="007952AF" w:rsidRPr="007952AF" w:rsidRDefault="007952AF" w:rsidP="009A018E">
            <w:pPr>
              <w:jc w:val="right"/>
              <w:rPr>
                <w:b/>
                <w:sz w:val="20"/>
              </w:rPr>
            </w:pPr>
          </w:p>
        </w:tc>
        <w:tc>
          <w:tcPr>
            <w:tcW w:w="899" w:type="dxa"/>
          </w:tcPr>
          <w:p w:rsidR="007952AF" w:rsidRPr="007952AF" w:rsidRDefault="007952AF" w:rsidP="009A018E">
            <w:pPr>
              <w:jc w:val="right"/>
              <w:rPr>
                <w:b/>
                <w:sz w:val="20"/>
              </w:rPr>
            </w:pPr>
          </w:p>
        </w:tc>
        <w:tc>
          <w:tcPr>
            <w:tcW w:w="899" w:type="dxa"/>
          </w:tcPr>
          <w:p w:rsidR="007952AF" w:rsidRPr="007952AF" w:rsidRDefault="007952AF" w:rsidP="009A018E">
            <w:pPr>
              <w:jc w:val="right"/>
              <w:rPr>
                <w:b/>
                <w:sz w:val="20"/>
              </w:rPr>
            </w:pPr>
          </w:p>
        </w:tc>
      </w:tr>
      <w:tr w:rsidR="007952AF" w:rsidRPr="007952AF" w:rsidTr="004151D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"/>
        </w:trPr>
        <w:tc>
          <w:tcPr>
            <w:tcW w:w="3764" w:type="dxa"/>
            <w:shd w:val="clear" w:color="auto" w:fill="D6E3BC"/>
          </w:tcPr>
          <w:p w:rsidR="007952AF" w:rsidRPr="007952AF" w:rsidRDefault="007952AF" w:rsidP="00A00766">
            <w:pPr>
              <w:rPr>
                <w:sz w:val="20"/>
              </w:rPr>
            </w:pPr>
            <w:r w:rsidRPr="007952AF">
              <w:rPr>
                <w:sz w:val="20"/>
              </w:rPr>
              <w:t xml:space="preserve">Počáteční zásoby </w:t>
            </w:r>
            <w:r w:rsidRPr="007952AF">
              <w:rPr>
                <w:sz w:val="20"/>
                <w:vertAlign w:val="superscript"/>
              </w:rPr>
              <w:t>1)</w:t>
            </w:r>
            <w:r w:rsidRPr="007952AF">
              <w:rPr>
                <w:sz w:val="20"/>
              </w:rPr>
              <w:t xml:space="preserve"> v mil. l</w:t>
            </w:r>
          </w:p>
        </w:tc>
        <w:tc>
          <w:tcPr>
            <w:tcW w:w="892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 132,6</w:t>
            </w:r>
          </w:p>
        </w:tc>
        <w:tc>
          <w:tcPr>
            <w:tcW w:w="1020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  66,3</w:t>
            </w:r>
          </w:p>
        </w:tc>
        <w:tc>
          <w:tcPr>
            <w:tcW w:w="893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   55,7</w:t>
            </w:r>
          </w:p>
        </w:tc>
        <w:tc>
          <w:tcPr>
            <w:tcW w:w="1020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   71,1</w:t>
            </w:r>
          </w:p>
        </w:tc>
        <w:tc>
          <w:tcPr>
            <w:tcW w:w="892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  97,7</w:t>
            </w:r>
          </w:p>
        </w:tc>
        <w:tc>
          <w:tcPr>
            <w:tcW w:w="899" w:type="dxa"/>
            <w:shd w:val="clear" w:color="auto" w:fill="D6E3BC"/>
          </w:tcPr>
          <w:p w:rsidR="007952AF" w:rsidRPr="007952AF" w:rsidRDefault="00B9795B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59,9</w:t>
            </w:r>
          </w:p>
        </w:tc>
        <w:tc>
          <w:tcPr>
            <w:tcW w:w="899" w:type="dxa"/>
            <w:shd w:val="clear" w:color="auto" w:fill="D6E3BC"/>
          </w:tcPr>
          <w:p w:rsidR="007952AF" w:rsidRPr="007952AF" w:rsidRDefault="00C15A28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61,3</w:t>
            </w:r>
          </w:p>
        </w:tc>
      </w:tr>
      <w:tr w:rsidR="007952AF" w:rsidRPr="007952AF" w:rsidTr="004151D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"/>
        </w:trPr>
        <w:tc>
          <w:tcPr>
            <w:tcW w:w="3764" w:type="dxa"/>
            <w:shd w:val="clear" w:color="auto" w:fill="D6E3BC"/>
          </w:tcPr>
          <w:p w:rsidR="007952AF" w:rsidRPr="007952AF" w:rsidRDefault="007952AF" w:rsidP="00A00766">
            <w:pPr>
              <w:rPr>
                <w:sz w:val="20"/>
              </w:rPr>
            </w:pPr>
            <w:r w:rsidRPr="007952AF">
              <w:rPr>
                <w:sz w:val="20"/>
              </w:rPr>
              <w:t>Nákup do mlékáren v mil. l</w:t>
            </w:r>
          </w:p>
        </w:tc>
        <w:tc>
          <w:tcPr>
            <w:tcW w:w="892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2 530,9</w:t>
            </w:r>
          </w:p>
        </w:tc>
        <w:tc>
          <w:tcPr>
            <w:tcW w:w="1020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2 329,7</w:t>
            </w:r>
          </w:p>
        </w:tc>
        <w:tc>
          <w:tcPr>
            <w:tcW w:w="893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2 381,2</w:t>
            </w:r>
          </w:p>
        </w:tc>
        <w:tc>
          <w:tcPr>
            <w:tcW w:w="1020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2 368,6</w:t>
            </w:r>
          </w:p>
        </w:tc>
        <w:tc>
          <w:tcPr>
            <w:tcW w:w="892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2 291,7</w:t>
            </w:r>
          </w:p>
        </w:tc>
        <w:tc>
          <w:tcPr>
            <w:tcW w:w="899" w:type="dxa"/>
            <w:shd w:val="clear" w:color="auto" w:fill="D6E3BC"/>
          </w:tcPr>
          <w:p w:rsidR="007952AF" w:rsidRPr="007952AF" w:rsidRDefault="00B9795B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2 251,4</w:t>
            </w:r>
          </w:p>
        </w:tc>
        <w:tc>
          <w:tcPr>
            <w:tcW w:w="899" w:type="dxa"/>
            <w:shd w:val="clear" w:color="auto" w:fill="D6E3BC"/>
          </w:tcPr>
          <w:p w:rsidR="007952AF" w:rsidRPr="007952AF" w:rsidRDefault="00C15A28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98,2</w:t>
            </w:r>
          </w:p>
        </w:tc>
      </w:tr>
      <w:tr w:rsidR="007952AF" w:rsidRPr="007952AF" w:rsidTr="004151D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"/>
        </w:trPr>
        <w:tc>
          <w:tcPr>
            <w:tcW w:w="3764" w:type="dxa"/>
            <w:shd w:val="clear" w:color="auto" w:fill="D6E3BC"/>
          </w:tcPr>
          <w:p w:rsidR="007952AF" w:rsidRPr="007952AF" w:rsidRDefault="007952AF" w:rsidP="00A00766">
            <w:pPr>
              <w:rPr>
                <w:sz w:val="20"/>
              </w:rPr>
            </w:pPr>
            <w:r w:rsidRPr="007952AF">
              <w:rPr>
                <w:sz w:val="20"/>
              </w:rPr>
              <w:t xml:space="preserve">Dovoz </w:t>
            </w:r>
            <w:r w:rsidRPr="007952AF">
              <w:rPr>
                <w:sz w:val="20"/>
                <w:vertAlign w:val="superscript"/>
              </w:rPr>
              <w:t>1)</w:t>
            </w:r>
            <w:r w:rsidRPr="007952AF">
              <w:rPr>
                <w:sz w:val="20"/>
              </w:rPr>
              <w:t xml:space="preserve"> v mil. l </w:t>
            </w:r>
          </w:p>
        </w:tc>
        <w:tc>
          <w:tcPr>
            <w:tcW w:w="892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281,4</w:t>
            </w:r>
          </w:p>
        </w:tc>
        <w:tc>
          <w:tcPr>
            <w:tcW w:w="1020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701,3</w:t>
            </w:r>
          </w:p>
        </w:tc>
        <w:tc>
          <w:tcPr>
            <w:tcW w:w="893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 836,0</w:t>
            </w:r>
          </w:p>
        </w:tc>
        <w:tc>
          <w:tcPr>
            <w:tcW w:w="1020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810,2</w:t>
            </w:r>
          </w:p>
        </w:tc>
        <w:tc>
          <w:tcPr>
            <w:tcW w:w="892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853,7</w:t>
            </w:r>
          </w:p>
        </w:tc>
        <w:tc>
          <w:tcPr>
            <w:tcW w:w="899" w:type="dxa"/>
            <w:shd w:val="clear" w:color="auto" w:fill="D6E3BC"/>
          </w:tcPr>
          <w:p w:rsidR="007952AF" w:rsidRPr="007952AF" w:rsidRDefault="00B9795B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848,8</w:t>
            </w:r>
          </w:p>
        </w:tc>
        <w:tc>
          <w:tcPr>
            <w:tcW w:w="899" w:type="dxa"/>
            <w:shd w:val="clear" w:color="auto" w:fill="D6E3BC"/>
          </w:tcPr>
          <w:p w:rsidR="007952AF" w:rsidRPr="007952AF" w:rsidRDefault="00C15A28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99,4</w:t>
            </w:r>
          </w:p>
        </w:tc>
      </w:tr>
      <w:tr w:rsidR="007952AF" w:rsidRPr="007952AF" w:rsidTr="004151D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"/>
        </w:trPr>
        <w:tc>
          <w:tcPr>
            <w:tcW w:w="3764" w:type="dxa"/>
            <w:shd w:val="clear" w:color="auto" w:fill="D6E3BC"/>
          </w:tcPr>
          <w:p w:rsidR="007952AF" w:rsidRPr="007952AF" w:rsidRDefault="007952AF" w:rsidP="00A00766">
            <w:pPr>
              <w:rPr>
                <w:sz w:val="20"/>
              </w:rPr>
            </w:pPr>
            <w:r w:rsidRPr="007952AF">
              <w:rPr>
                <w:sz w:val="20"/>
              </w:rPr>
              <w:t>Celková nabídka v mil. l</w:t>
            </w:r>
          </w:p>
        </w:tc>
        <w:tc>
          <w:tcPr>
            <w:tcW w:w="892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2 944,9</w:t>
            </w:r>
          </w:p>
        </w:tc>
        <w:tc>
          <w:tcPr>
            <w:tcW w:w="1020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3 097,3</w:t>
            </w:r>
          </w:p>
        </w:tc>
        <w:tc>
          <w:tcPr>
            <w:tcW w:w="893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3 272,9</w:t>
            </w:r>
          </w:p>
        </w:tc>
        <w:tc>
          <w:tcPr>
            <w:tcW w:w="1020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3 249,9</w:t>
            </w:r>
          </w:p>
        </w:tc>
        <w:tc>
          <w:tcPr>
            <w:tcW w:w="892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3 243,1</w:t>
            </w:r>
          </w:p>
        </w:tc>
        <w:tc>
          <w:tcPr>
            <w:tcW w:w="899" w:type="dxa"/>
            <w:shd w:val="clear" w:color="auto" w:fill="D6E3BC"/>
          </w:tcPr>
          <w:p w:rsidR="007952AF" w:rsidRPr="007952AF" w:rsidRDefault="00B9795B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3 160,1</w:t>
            </w:r>
          </w:p>
        </w:tc>
        <w:tc>
          <w:tcPr>
            <w:tcW w:w="899" w:type="dxa"/>
            <w:shd w:val="clear" w:color="auto" w:fill="D6E3BC"/>
          </w:tcPr>
          <w:p w:rsidR="007952AF" w:rsidRPr="007952AF" w:rsidRDefault="00C15A28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97,4</w:t>
            </w:r>
          </w:p>
        </w:tc>
      </w:tr>
      <w:tr w:rsidR="007952AF" w:rsidRPr="007952AF" w:rsidTr="004151D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"/>
        </w:trPr>
        <w:tc>
          <w:tcPr>
            <w:tcW w:w="3764" w:type="dxa"/>
            <w:shd w:val="clear" w:color="auto" w:fill="D6E3BC"/>
          </w:tcPr>
          <w:p w:rsidR="007952AF" w:rsidRPr="007952AF" w:rsidRDefault="007952AF" w:rsidP="00A00766">
            <w:pPr>
              <w:rPr>
                <w:sz w:val="20"/>
              </w:rPr>
            </w:pPr>
            <w:r w:rsidRPr="007952AF">
              <w:rPr>
                <w:sz w:val="20"/>
              </w:rPr>
              <w:t>Domácí tržní spotřeba v mil. l</w:t>
            </w:r>
          </w:p>
        </w:tc>
        <w:tc>
          <w:tcPr>
            <w:tcW w:w="892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2 080,5</w:t>
            </w:r>
          </w:p>
        </w:tc>
        <w:tc>
          <w:tcPr>
            <w:tcW w:w="1020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2 190,7</w:t>
            </w:r>
          </w:p>
        </w:tc>
        <w:tc>
          <w:tcPr>
            <w:tcW w:w="893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2 244,0</w:t>
            </w:r>
          </w:p>
        </w:tc>
        <w:tc>
          <w:tcPr>
            <w:tcW w:w="1020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2 214,6</w:t>
            </w:r>
          </w:p>
        </w:tc>
        <w:tc>
          <w:tcPr>
            <w:tcW w:w="892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2 233,2</w:t>
            </w:r>
          </w:p>
        </w:tc>
        <w:tc>
          <w:tcPr>
            <w:tcW w:w="899" w:type="dxa"/>
            <w:shd w:val="clear" w:color="auto" w:fill="D6E3BC"/>
          </w:tcPr>
          <w:p w:rsidR="007952AF" w:rsidRPr="007952AF" w:rsidRDefault="00B9795B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2 197,0</w:t>
            </w:r>
          </w:p>
        </w:tc>
        <w:tc>
          <w:tcPr>
            <w:tcW w:w="899" w:type="dxa"/>
            <w:shd w:val="clear" w:color="auto" w:fill="D6E3BC"/>
          </w:tcPr>
          <w:p w:rsidR="007952AF" w:rsidRPr="007952AF" w:rsidRDefault="00C15A28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98,4</w:t>
            </w:r>
          </w:p>
        </w:tc>
      </w:tr>
      <w:tr w:rsidR="007952AF" w:rsidRPr="007952AF" w:rsidTr="004151D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"/>
        </w:trPr>
        <w:tc>
          <w:tcPr>
            <w:tcW w:w="3764" w:type="dxa"/>
            <w:shd w:val="clear" w:color="auto" w:fill="D6E3BC"/>
          </w:tcPr>
          <w:p w:rsidR="007952AF" w:rsidRPr="007952AF" w:rsidRDefault="007952AF" w:rsidP="00A00766">
            <w:pPr>
              <w:rPr>
                <w:sz w:val="20"/>
              </w:rPr>
            </w:pPr>
            <w:r w:rsidRPr="007952AF">
              <w:rPr>
                <w:sz w:val="20"/>
              </w:rPr>
              <w:t xml:space="preserve">Vývoz </w:t>
            </w:r>
            <w:r w:rsidRPr="007952AF">
              <w:rPr>
                <w:sz w:val="20"/>
                <w:vertAlign w:val="superscript"/>
              </w:rPr>
              <w:t>1)</w:t>
            </w:r>
            <w:r w:rsidRPr="007952AF">
              <w:rPr>
                <w:sz w:val="20"/>
              </w:rPr>
              <w:t xml:space="preserve"> v  mil. l </w:t>
            </w:r>
          </w:p>
        </w:tc>
        <w:tc>
          <w:tcPr>
            <w:tcW w:w="892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772,3</w:t>
            </w:r>
          </w:p>
        </w:tc>
        <w:tc>
          <w:tcPr>
            <w:tcW w:w="1020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850,9</w:t>
            </w:r>
          </w:p>
        </w:tc>
        <w:tc>
          <w:tcPr>
            <w:tcW w:w="893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 957,8</w:t>
            </w:r>
          </w:p>
        </w:tc>
        <w:tc>
          <w:tcPr>
            <w:tcW w:w="1020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937,6</w:t>
            </w:r>
          </w:p>
        </w:tc>
        <w:tc>
          <w:tcPr>
            <w:tcW w:w="892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909,7</w:t>
            </w:r>
          </w:p>
        </w:tc>
        <w:tc>
          <w:tcPr>
            <w:tcW w:w="899" w:type="dxa"/>
            <w:shd w:val="clear" w:color="auto" w:fill="D6E3BC"/>
          </w:tcPr>
          <w:p w:rsidR="007952AF" w:rsidRPr="007952AF" w:rsidRDefault="00B9795B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902,4</w:t>
            </w:r>
          </w:p>
        </w:tc>
        <w:tc>
          <w:tcPr>
            <w:tcW w:w="899" w:type="dxa"/>
            <w:shd w:val="clear" w:color="auto" w:fill="D6E3BC"/>
          </w:tcPr>
          <w:p w:rsidR="007952AF" w:rsidRPr="007952AF" w:rsidRDefault="00C15A28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99,2</w:t>
            </w:r>
          </w:p>
        </w:tc>
      </w:tr>
      <w:tr w:rsidR="007952AF" w:rsidRPr="007952AF" w:rsidTr="004151D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"/>
        </w:trPr>
        <w:tc>
          <w:tcPr>
            <w:tcW w:w="3764" w:type="dxa"/>
            <w:shd w:val="clear" w:color="auto" w:fill="D6E3BC"/>
          </w:tcPr>
          <w:p w:rsidR="007952AF" w:rsidRPr="007952AF" w:rsidRDefault="007952AF" w:rsidP="00A00766">
            <w:pPr>
              <w:rPr>
                <w:sz w:val="20"/>
              </w:rPr>
            </w:pPr>
            <w:r w:rsidRPr="007952AF">
              <w:rPr>
                <w:sz w:val="20"/>
              </w:rPr>
              <w:t xml:space="preserve">Konečné zásoby </w:t>
            </w:r>
            <w:r w:rsidRPr="007952AF">
              <w:rPr>
                <w:sz w:val="20"/>
                <w:vertAlign w:val="superscript"/>
              </w:rPr>
              <w:t>1)</w:t>
            </w:r>
            <w:r w:rsidRPr="007952AF">
              <w:rPr>
                <w:sz w:val="20"/>
              </w:rPr>
              <w:t xml:space="preserve"> v mil. l</w:t>
            </w:r>
          </w:p>
        </w:tc>
        <w:tc>
          <w:tcPr>
            <w:tcW w:w="892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  92,1</w:t>
            </w:r>
          </w:p>
        </w:tc>
        <w:tc>
          <w:tcPr>
            <w:tcW w:w="1020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 55,7</w:t>
            </w:r>
          </w:p>
        </w:tc>
        <w:tc>
          <w:tcPr>
            <w:tcW w:w="893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   71,1</w:t>
            </w:r>
          </w:p>
        </w:tc>
        <w:tc>
          <w:tcPr>
            <w:tcW w:w="1020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 97,7</w:t>
            </w:r>
          </w:p>
        </w:tc>
        <w:tc>
          <w:tcPr>
            <w:tcW w:w="892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  59,9</w:t>
            </w:r>
          </w:p>
        </w:tc>
        <w:tc>
          <w:tcPr>
            <w:tcW w:w="899" w:type="dxa"/>
            <w:shd w:val="clear" w:color="auto" w:fill="D6E3BC"/>
          </w:tcPr>
          <w:p w:rsidR="007952AF" w:rsidRPr="007952AF" w:rsidRDefault="00B9795B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60,7</w:t>
            </w:r>
          </w:p>
        </w:tc>
        <w:tc>
          <w:tcPr>
            <w:tcW w:w="899" w:type="dxa"/>
            <w:shd w:val="clear" w:color="auto" w:fill="D6E3BC"/>
          </w:tcPr>
          <w:p w:rsidR="007952AF" w:rsidRPr="007952AF" w:rsidRDefault="00C15A28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101,3</w:t>
            </w:r>
          </w:p>
        </w:tc>
      </w:tr>
      <w:tr w:rsidR="007952AF" w:rsidRPr="007952AF" w:rsidTr="004151D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"/>
        </w:trPr>
        <w:tc>
          <w:tcPr>
            <w:tcW w:w="3764" w:type="dxa"/>
            <w:shd w:val="clear" w:color="auto" w:fill="D6E3BC"/>
          </w:tcPr>
          <w:p w:rsidR="007952AF" w:rsidRPr="007952AF" w:rsidRDefault="007952AF" w:rsidP="00A00766">
            <w:pPr>
              <w:rPr>
                <w:sz w:val="20"/>
              </w:rPr>
            </w:pPr>
            <w:r w:rsidRPr="007952AF">
              <w:rPr>
                <w:sz w:val="20"/>
              </w:rPr>
              <w:t>Intervenční nákup SOM, másla</w:t>
            </w:r>
            <w:r w:rsidRPr="007952AF">
              <w:rPr>
                <w:sz w:val="20"/>
                <w:vertAlign w:val="superscript"/>
              </w:rPr>
              <w:t>1)</w:t>
            </w:r>
            <w:r w:rsidRPr="007952AF">
              <w:rPr>
                <w:sz w:val="20"/>
              </w:rPr>
              <w:t xml:space="preserve"> v mil. l</w:t>
            </w:r>
          </w:p>
        </w:tc>
        <w:tc>
          <w:tcPr>
            <w:tcW w:w="892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</w:p>
        </w:tc>
        <w:tc>
          <w:tcPr>
            <w:tcW w:w="1020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</w:p>
        </w:tc>
        <w:tc>
          <w:tcPr>
            <w:tcW w:w="893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</w:p>
        </w:tc>
        <w:tc>
          <w:tcPr>
            <w:tcW w:w="1020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</w:p>
        </w:tc>
        <w:tc>
          <w:tcPr>
            <w:tcW w:w="892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40,3</w:t>
            </w:r>
          </w:p>
        </w:tc>
        <w:tc>
          <w:tcPr>
            <w:tcW w:w="899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</w:p>
        </w:tc>
      </w:tr>
      <w:tr w:rsidR="007952AF" w:rsidRPr="007952AF" w:rsidTr="004151D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"/>
        </w:trPr>
        <w:tc>
          <w:tcPr>
            <w:tcW w:w="3764" w:type="dxa"/>
            <w:shd w:val="clear" w:color="auto" w:fill="D6E3BC"/>
          </w:tcPr>
          <w:p w:rsidR="007952AF" w:rsidRPr="007952AF" w:rsidRDefault="007952AF" w:rsidP="009A018E">
            <w:pPr>
              <w:rPr>
                <w:sz w:val="20"/>
              </w:rPr>
            </w:pPr>
            <w:r w:rsidRPr="007952AF">
              <w:rPr>
                <w:sz w:val="20"/>
              </w:rPr>
              <w:t>Podíl dovozu na spotřebě            v %</w:t>
            </w:r>
          </w:p>
        </w:tc>
        <w:tc>
          <w:tcPr>
            <w:tcW w:w="892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13,5</w:t>
            </w:r>
          </w:p>
        </w:tc>
        <w:tc>
          <w:tcPr>
            <w:tcW w:w="1020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32,0</w:t>
            </w:r>
          </w:p>
        </w:tc>
        <w:tc>
          <w:tcPr>
            <w:tcW w:w="893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37,3</w:t>
            </w:r>
          </w:p>
        </w:tc>
        <w:tc>
          <w:tcPr>
            <w:tcW w:w="1020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36,6</w:t>
            </w:r>
          </w:p>
        </w:tc>
        <w:tc>
          <w:tcPr>
            <w:tcW w:w="892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38,2</w:t>
            </w:r>
          </w:p>
        </w:tc>
        <w:tc>
          <w:tcPr>
            <w:tcW w:w="899" w:type="dxa"/>
            <w:shd w:val="clear" w:color="auto" w:fill="D6E3BC"/>
          </w:tcPr>
          <w:p w:rsidR="007952AF" w:rsidRPr="007952AF" w:rsidRDefault="00C15A28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38,6</w:t>
            </w:r>
          </w:p>
        </w:tc>
        <w:tc>
          <w:tcPr>
            <w:tcW w:w="899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</w:p>
        </w:tc>
      </w:tr>
      <w:tr w:rsidR="007952AF" w:rsidRPr="007952AF" w:rsidTr="004151D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"/>
        </w:trPr>
        <w:tc>
          <w:tcPr>
            <w:tcW w:w="3764" w:type="dxa"/>
            <w:tcBorders>
              <w:bottom w:val="double" w:sz="4" w:space="0" w:color="auto"/>
            </w:tcBorders>
            <w:shd w:val="clear" w:color="auto" w:fill="D6E3BC"/>
          </w:tcPr>
          <w:p w:rsidR="007952AF" w:rsidRPr="007952AF" w:rsidRDefault="007952AF" w:rsidP="009A018E">
            <w:pPr>
              <w:rPr>
                <w:sz w:val="20"/>
              </w:rPr>
            </w:pPr>
            <w:r w:rsidRPr="007952AF">
              <w:rPr>
                <w:sz w:val="20"/>
              </w:rPr>
              <w:t>Podíl vývozu na nákupu              v %</w:t>
            </w:r>
          </w:p>
        </w:tc>
        <w:tc>
          <w:tcPr>
            <w:tcW w:w="892" w:type="dxa"/>
            <w:tcBorders>
              <w:bottom w:val="double" w:sz="4" w:space="0" w:color="auto"/>
            </w:tcBorders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30,5</w:t>
            </w:r>
          </w:p>
        </w:tc>
        <w:tc>
          <w:tcPr>
            <w:tcW w:w="1020" w:type="dxa"/>
            <w:tcBorders>
              <w:bottom w:val="double" w:sz="4" w:space="0" w:color="auto"/>
            </w:tcBorders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36,5</w:t>
            </w:r>
          </w:p>
        </w:tc>
        <w:tc>
          <w:tcPr>
            <w:tcW w:w="893" w:type="dxa"/>
            <w:tcBorders>
              <w:bottom w:val="double" w:sz="4" w:space="0" w:color="auto"/>
            </w:tcBorders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40,2</w:t>
            </w:r>
          </w:p>
        </w:tc>
        <w:tc>
          <w:tcPr>
            <w:tcW w:w="1020" w:type="dxa"/>
            <w:tcBorders>
              <w:bottom w:val="double" w:sz="4" w:space="0" w:color="auto"/>
            </w:tcBorders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39,6</w:t>
            </w:r>
          </w:p>
        </w:tc>
        <w:tc>
          <w:tcPr>
            <w:tcW w:w="892" w:type="dxa"/>
            <w:tcBorders>
              <w:bottom w:val="double" w:sz="4" w:space="0" w:color="auto"/>
            </w:tcBorders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39,7</w:t>
            </w:r>
          </w:p>
        </w:tc>
        <w:tc>
          <w:tcPr>
            <w:tcW w:w="899" w:type="dxa"/>
            <w:tcBorders>
              <w:bottom w:val="double" w:sz="4" w:space="0" w:color="auto"/>
            </w:tcBorders>
            <w:shd w:val="clear" w:color="auto" w:fill="D6E3BC"/>
          </w:tcPr>
          <w:p w:rsidR="007952AF" w:rsidRPr="007952AF" w:rsidRDefault="00C15A28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40,1</w:t>
            </w:r>
          </w:p>
        </w:tc>
        <w:tc>
          <w:tcPr>
            <w:tcW w:w="899" w:type="dxa"/>
            <w:tcBorders>
              <w:bottom w:val="double" w:sz="4" w:space="0" w:color="auto"/>
            </w:tcBorders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</w:p>
        </w:tc>
      </w:tr>
    </w:tbl>
    <w:p w:rsidR="00CD7824" w:rsidRPr="009E7303" w:rsidRDefault="00CD7824" w:rsidP="009A01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Pramen: ČSÚ, celní statistika, rezortní statistika </w:t>
      </w:r>
      <w:proofErr w:type="spellStart"/>
      <w:r w:rsidRPr="009E7303">
        <w:rPr>
          <w:i/>
          <w:sz w:val="16"/>
          <w:szCs w:val="16"/>
        </w:rPr>
        <w:t>MZe</w:t>
      </w:r>
      <w:proofErr w:type="spellEnd"/>
      <w:r w:rsidRPr="009E7303">
        <w:rPr>
          <w:i/>
          <w:sz w:val="16"/>
          <w:szCs w:val="16"/>
        </w:rPr>
        <w:t xml:space="preserve"> </w:t>
      </w:r>
      <w:r w:rsidR="000D5752" w:rsidRPr="009E7303">
        <w:rPr>
          <w:i/>
          <w:sz w:val="16"/>
          <w:szCs w:val="16"/>
        </w:rPr>
        <w:t>(6-12),  SZIF (tržní produkce),</w:t>
      </w:r>
      <w:r w:rsidRPr="009E7303">
        <w:rPr>
          <w:i/>
          <w:sz w:val="16"/>
          <w:szCs w:val="16"/>
        </w:rPr>
        <w:t xml:space="preserve"> propočty </w:t>
      </w:r>
      <w:proofErr w:type="spellStart"/>
      <w:r w:rsidRPr="009E7303">
        <w:rPr>
          <w:i/>
          <w:sz w:val="16"/>
          <w:szCs w:val="16"/>
        </w:rPr>
        <w:t>MZe</w:t>
      </w:r>
      <w:proofErr w:type="spellEnd"/>
      <w:r w:rsidRPr="009E7303">
        <w:rPr>
          <w:i/>
          <w:sz w:val="16"/>
          <w:szCs w:val="16"/>
        </w:rPr>
        <w:t xml:space="preserve"> ČR</w:t>
      </w:r>
    </w:p>
    <w:p w:rsidR="00CD7824" w:rsidRPr="009E7303" w:rsidRDefault="00CD7824" w:rsidP="009A01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Pozn.:    1) přepočet na ekvivalent mlék, 2) předběžný údaj, </w:t>
      </w:r>
    </w:p>
    <w:p w:rsidR="00CD7824" w:rsidRPr="009E7303" w:rsidRDefault="00CD7824" w:rsidP="00A00766">
      <w:pPr>
        <w:ind w:left="705"/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údaje o dovozu a vývozu jsou předběžné, rovněž navazující výpočty nabídky a spotřeby. Ve vývozu jsou zahrnuty výrobky a </w:t>
      </w:r>
      <w:r w:rsidR="00A00766" w:rsidRPr="009E7303">
        <w:rPr>
          <w:i/>
          <w:sz w:val="16"/>
          <w:szCs w:val="16"/>
        </w:rPr>
        <w:t xml:space="preserve">syrové mléko </w:t>
      </w:r>
      <w:r w:rsidR="00007195" w:rsidRPr="009E7303">
        <w:rPr>
          <w:i/>
          <w:sz w:val="16"/>
          <w:szCs w:val="16"/>
        </w:rPr>
        <w:t>vyvážené mlékárnami</w:t>
      </w:r>
      <w:r w:rsidRPr="009E7303">
        <w:rPr>
          <w:i/>
          <w:sz w:val="16"/>
          <w:szCs w:val="16"/>
        </w:rPr>
        <w:t xml:space="preserve"> z nákupu mléka,</w:t>
      </w: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91"/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  <w:gridCol w:w="693"/>
      </w:tblGrid>
      <w:tr w:rsidR="000B309D" w:rsidRPr="00B43AF0" w:rsidTr="0088599E">
        <w:trPr>
          <w:trHeight w:val="361"/>
        </w:trPr>
        <w:tc>
          <w:tcPr>
            <w:tcW w:w="10423" w:type="dxa"/>
            <w:gridSpan w:val="13"/>
            <w:shd w:val="clear" w:color="auto" w:fill="B8CCE4"/>
          </w:tcPr>
          <w:p w:rsidR="000B309D" w:rsidRPr="00B43AF0" w:rsidRDefault="000B309D" w:rsidP="00CF7A31">
            <w:pPr>
              <w:jc w:val="center"/>
              <w:rPr>
                <w:b/>
              </w:rPr>
            </w:pPr>
            <w:r w:rsidRPr="00B43AF0">
              <w:rPr>
                <w:b/>
              </w:rPr>
              <w:t>Domácí spotřeba v kg</w:t>
            </w:r>
          </w:p>
        </w:tc>
      </w:tr>
      <w:tr w:rsidR="000B309D" w:rsidRPr="009A018E" w:rsidTr="000B309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20"/>
        </w:trPr>
        <w:tc>
          <w:tcPr>
            <w:tcW w:w="2591" w:type="dxa"/>
            <w:tcBorders>
              <w:top w:val="double" w:sz="4" w:space="0" w:color="auto"/>
              <w:right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Druh/rok</w:t>
            </w:r>
          </w:p>
        </w:tc>
        <w:tc>
          <w:tcPr>
            <w:tcW w:w="649" w:type="dxa"/>
            <w:tcBorders>
              <w:top w:val="double" w:sz="4" w:space="0" w:color="auto"/>
              <w:left w:val="nil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1989</w:t>
            </w:r>
          </w:p>
        </w:tc>
        <w:tc>
          <w:tcPr>
            <w:tcW w:w="649" w:type="dxa"/>
            <w:tcBorders>
              <w:top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1998</w:t>
            </w:r>
          </w:p>
        </w:tc>
        <w:tc>
          <w:tcPr>
            <w:tcW w:w="649" w:type="dxa"/>
            <w:tcBorders>
              <w:top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 xml:space="preserve">2001 </w:t>
            </w:r>
          </w:p>
        </w:tc>
        <w:tc>
          <w:tcPr>
            <w:tcW w:w="649" w:type="dxa"/>
            <w:tcBorders>
              <w:top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2002</w:t>
            </w:r>
          </w:p>
        </w:tc>
        <w:tc>
          <w:tcPr>
            <w:tcW w:w="649" w:type="dxa"/>
            <w:tcBorders>
              <w:top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2003</w:t>
            </w:r>
          </w:p>
        </w:tc>
        <w:tc>
          <w:tcPr>
            <w:tcW w:w="649" w:type="dxa"/>
            <w:tcBorders>
              <w:top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2004</w:t>
            </w:r>
          </w:p>
        </w:tc>
        <w:tc>
          <w:tcPr>
            <w:tcW w:w="649" w:type="dxa"/>
            <w:tcBorders>
              <w:top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2005</w:t>
            </w:r>
          </w:p>
        </w:tc>
        <w:tc>
          <w:tcPr>
            <w:tcW w:w="649" w:type="dxa"/>
            <w:tcBorders>
              <w:top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2006</w:t>
            </w:r>
          </w:p>
        </w:tc>
        <w:tc>
          <w:tcPr>
            <w:tcW w:w="649" w:type="dxa"/>
            <w:tcBorders>
              <w:top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2007</w:t>
            </w:r>
          </w:p>
        </w:tc>
        <w:tc>
          <w:tcPr>
            <w:tcW w:w="649" w:type="dxa"/>
            <w:tcBorders>
              <w:top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2008</w:t>
            </w:r>
          </w:p>
        </w:tc>
        <w:tc>
          <w:tcPr>
            <w:tcW w:w="649" w:type="dxa"/>
            <w:tcBorders>
              <w:top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2009</w:t>
            </w:r>
          </w:p>
        </w:tc>
        <w:tc>
          <w:tcPr>
            <w:tcW w:w="693" w:type="dxa"/>
            <w:tcBorders>
              <w:top w:val="double" w:sz="4" w:space="0" w:color="auto"/>
            </w:tcBorders>
          </w:tcPr>
          <w:p w:rsidR="000B309D" w:rsidRPr="00120728" w:rsidRDefault="000B309D" w:rsidP="00D70536">
            <w:pPr>
              <w:rPr>
                <w:sz w:val="18"/>
                <w:szCs w:val="18"/>
              </w:rPr>
            </w:pPr>
            <w:r w:rsidRPr="00120728">
              <w:rPr>
                <w:sz w:val="18"/>
                <w:szCs w:val="18"/>
              </w:rPr>
              <w:t>2010</w:t>
            </w:r>
          </w:p>
        </w:tc>
      </w:tr>
      <w:tr w:rsidR="000B309D" w:rsidRPr="009A018E" w:rsidTr="0088599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440"/>
        </w:trPr>
        <w:tc>
          <w:tcPr>
            <w:tcW w:w="2591" w:type="dxa"/>
            <w:tcBorders>
              <w:top w:val="nil"/>
              <w:right w:val="double" w:sz="4" w:space="0" w:color="auto"/>
            </w:tcBorders>
            <w:shd w:val="clear" w:color="auto" w:fill="C4BC96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1. Mléko a mléčné výrobky v hodnotě mléka (bez másla)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 w:color="auto" w:fill="C4BC96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259,6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C4BC96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197,1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C4BC96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215,1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C4BC96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220,6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C4BC96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223,4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C4BC96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230,0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C4BC96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238,3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C4BC96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239,4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C4BC96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244,5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C4BC96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242,7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C4BC96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249,7</w:t>
            </w:r>
          </w:p>
        </w:tc>
        <w:tc>
          <w:tcPr>
            <w:tcW w:w="693" w:type="dxa"/>
            <w:tcBorders>
              <w:top w:val="nil"/>
            </w:tcBorders>
            <w:shd w:val="clear" w:color="auto" w:fill="C4BC96"/>
          </w:tcPr>
          <w:p w:rsidR="000B309D" w:rsidRPr="00B43AF0" w:rsidRDefault="000B309D" w:rsidP="00CF7A31">
            <w:pPr>
              <w:rPr>
                <w:sz w:val="20"/>
              </w:rPr>
            </w:pPr>
            <w:r>
              <w:rPr>
                <w:sz w:val="20"/>
              </w:rPr>
              <w:t>243,9</w:t>
            </w:r>
          </w:p>
        </w:tc>
      </w:tr>
      <w:tr w:rsidR="000B309D" w:rsidRPr="009A018E" w:rsidTr="000B309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20"/>
        </w:trPr>
        <w:tc>
          <w:tcPr>
            <w:tcW w:w="2591" w:type="dxa"/>
            <w:tcBorders>
              <w:right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Z toho naturální spotřeba</w:t>
            </w:r>
          </w:p>
        </w:tc>
        <w:tc>
          <w:tcPr>
            <w:tcW w:w="649" w:type="dxa"/>
            <w:tcBorders>
              <w:left w:val="nil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 xml:space="preserve">   5,3</w:t>
            </w:r>
          </w:p>
        </w:tc>
        <w:tc>
          <w:tcPr>
            <w:tcW w:w="649" w:type="dxa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 xml:space="preserve">  12,0</w:t>
            </w:r>
          </w:p>
        </w:tc>
        <w:tc>
          <w:tcPr>
            <w:tcW w:w="649" w:type="dxa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12,0</w:t>
            </w:r>
          </w:p>
        </w:tc>
        <w:tc>
          <w:tcPr>
            <w:tcW w:w="649" w:type="dxa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12,0</w:t>
            </w:r>
          </w:p>
        </w:tc>
        <w:tc>
          <w:tcPr>
            <w:tcW w:w="649" w:type="dxa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7</w:t>
            </w:r>
          </w:p>
        </w:tc>
        <w:tc>
          <w:tcPr>
            <w:tcW w:w="649" w:type="dxa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4</w:t>
            </w:r>
          </w:p>
        </w:tc>
        <w:tc>
          <w:tcPr>
            <w:tcW w:w="649" w:type="dxa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3</w:t>
            </w:r>
          </w:p>
        </w:tc>
        <w:tc>
          <w:tcPr>
            <w:tcW w:w="649" w:type="dxa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3</w:t>
            </w:r>
          </w:p>
        </w:tc>
        <w:tc>
          <w:tcPr>
            <w:tcW w:w="649" w:type="dxa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5</w:t>
            </w:r>
          </w:p>
        </w:tc>
        <w:tc>
          <w:tcPr>
            <w:tcW w:w="649" w:type="dxa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5</w:t>
            </w:r>
          </w:p>
        </w:tc>
        <w:tc>
          <w:tcPr>
            <w:tcW w:w="649" w:type="dxa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7</w:t>
            </w:r>
          </w:p>
        </w:tc>
        <w:tc>
          <w:tcPr>
            <w:tcW w:w="693" w:type="dxa"/>
          </w:tcPr>
          <w:p w:rsidR="000B309D" w:rsidRPr="00B43AF0" w:rsidRDefault="000B309D" w:rsidP="00CF7A31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0B309D" w:rsidRPr="009A018E" w:rsidTr="0088599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37"/>
        </w:trPr>
        <w:tc>
          <w:tcPr>
            <w:tcW w:w="259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6E3BC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2. Máslo</w:t>
            </w:r>
          </w:p>
        </w:tc>
        <w:tc>
          <w:tcPr>
            <w:tcW w:w="649" w:type="dxa"/>
            <w:tcBorders>
              <w:left w:val="nil"/>
            </w:tcBorders>
            <w:shd w:val="clear" w:color="auto" w:fill="D6E3BC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 xml:space="preserve">   9,4</w:t>
            </w:r>
          </w:p>
        </w:tc>
        <w:tc>
          <w:tcPr>
            <w:tcW w:w="649" w:type="dxa"/>
            <w:shd w:val="clear" w:color="auto" w:fill="D6E3BC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 xml:space="preserve">    4,0</w:t>
            </w:r>
          </w:p>
        </w:tc>
        <w:tc>
          <w:tcPr>
            <w:tcW w:w="649" w:type="dxa"/>
            <w:shd w:val="clear" w:color="auto" w:fill="D6E3BC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4,2</w:t>
            </w:r>
          </w:p>
        </w:tc>
        <w:tc>
          <w:tcPr>
            <w:tcW w:w="649" w:type="dxa"/>
            <w:shd w:val="clear" w:color="auto" w:fill="D6E3BC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4,5</w:t>
            </w:r>
          </w:p>
        </w:tc>
        <w:tc>
          <w:tcPr>
            <w:tcW w:w="649" w:type="dxa"/>
            <w:shd w:val="clear" w:color="auto" w:fill="D6E3BC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4,5</w:t>
            </w:r>
          </w:p>
        </w:tc>
        <w:tc>
          <w:tcPr>
            <w:tcW w:w="649" w:type="dxa"/>
            <w:shd w:val="clear" w:color="auto" w:fill="D6E3BC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4,6</w:t>
            </w:r>
          </w:p>
        </w:tc>
        <w:tc>
          <w:tcPr>
            <w:tcW w:w="649" w:type="dxa"/>
            <w:shd w:val="clear" w:color="auto" w:fill="D6E3BC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4,8</w:t>
            </w:r>
          </w:p>
        </w:tc>
        <w:tc>
          <w:tcPr>
            <w:tcW w:w="649" w:type="dxa"/>
            <w:shd w:val="clear" w:color="auto" w:fill="D6E3BC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4,4</w:t>
            </w:r>
          </w:p>
        </w:tc>
        <w:tc>
          <w:tcPr>
            <w:tcW w:w="649" w:type="dxa"/>
            <w:shd w:val="clear" w:color="auto" w:fill="D6E3BC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4,2</w:t>
            </w:r>
          </w:p>
        </w:tc>
        <w:tc>
          <w:tcPr>
            <w:tcW w:w="649" w:type="dxa"/>
            <w:shd w:val="clear" w:color="auto" w:fill="D6E3BC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4,7</w:t>
            </w:r>
          </w:p>
        </w:tc>
        <w:tc>
          <w:tcPr>
            <w:tcW w:w="649" w:type="dxa"/>
            <w:shd w:val="clear" w:color="auto" w:fill="D6E3BC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5</w:t>
            </w:r>
          </w:p>
        </w:tc>
        <w:tc>
          <w:tcPr>
            <w:tcW w:w="693" w:type="dxa"/>
            <w:shd w:val="clear" w:color="auto" w:fill="D6E3BC"/>
          </w:tcPr>
          <w:p w:rsidR="000B309D" w:rsidRPr="00B43AF0" w:rsidRDefault="000B309D" w:rsidP="00CF7A31">
            <w:pPr>
              <w:rPr>
                <w:sz w:val="20"/>
              </w:rPr>
            </w:pPr>
            <w:r>
              <w:rPr>
                <w:sz w:val="20"/>
              </w:rPr>
              <w:t>4,9</w:t>
            </w:r>
          </w:p>
        </w:tc>
      </w:tr>
      <w:tr w:rsidR="000B309D" w:rsidRPr="009A018E" w:rsidTr="000B309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20"/>
        </w:trPr>
        <w:tc>
          <w:tcPr>
            <w:tcW w:w="2591" w:type="dxa"/>
            <w:tcBorders>
              <w:top w:val="double" w:sz="4" w:space="0" w:color="auto"/>
              <w:bottom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z toho podle výrobků:</w:t>
            </w:r>
          </w:p>
        </w:tc>
        <w:tc>
          <w:tcPr>
            <w:tcW w:w="649" w:type="dxa"/>
            <w:tcBorders>
              <w:top w:val="double" w:sz="4" w:space="0" w:color="auto"/>
              <w:bottom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</w:p>
        </w:tc>
        <w:tc>
          <w:tcPr>
            <w:tcW w:w="649" w:type="dxa"/>
            <w:tcBorders>
              <w:top w:val="double" w:sz="4" w:space="0" w:color="auto"/>
              <w:bottom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</w:p>
        </w:tc>
        <w:tc>
          <w:tcPr>
            <w:tcW w:w="649" w:type="dxa"/>
            <w:tcBorders>
              <w:top w:val="double" w:sz="4" w:space="0" w:color="auto"/>
              <w:bottom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</w:p>
        </w:tc>
        <w:tc>
          <w:tcPr>
            <w:tcW w:w="649" w:type="dxa"/>
            <w:tcBorders>
              <w:top w:val="double" w:sz="4" w:space="0" w:color="auto"/>
              <w:bottom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</w:p>
        </w:tc>
        <w:tc>
          <w:tcPr>
            <w:tcW w:w="649" w:type="dxa"/>
            <w:tcBorders>
              <w:top w:val="double" w:sz="4" w:space="0" w:color="auto"/>
              <w:bottom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</w:p>
        </w:tc>
        <w:tc>
          <w:tcPr>
            <w:tcW w:w="649" w:type="dxa"/>
            <w:tcBorders>
              <w:top w:val="double" w:sz="4" w:space="0" w:color="auto"/>
              <w:bottom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</w:p>
        </w:tc>
        <w:tc>
          <w:tcPr>
            <w:tcW w:w="649" w:type="dxa"/>
            <w:tcBorders>
              <w:top w:val="double" w:sz="4" w:space="0" w:color="auto"/>
              <w:bottom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</w:p>
        </w:tc>
        <w:tc>
          <w:tcPr>
            <w:tcW w:w="649" w:type="dxa"/>
            <w:tcBorders>
              <w:top w:val="double" w:sz="4" w:space="0" w:color="auto"/>
              <w:bottom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</w:p>
        </w:tc>
        <w:tc>
          <w:tcPr>
            <w:tcW w:w="649" w:type="dxa"/>
            <w:tcBorders>
              <w:top w:val="double" w:sz="4" w:space="0" w:color="auto"/>
              <w:bottom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</w:p>
        </w:tc>
        <w:tc>
          <w:tcPr>
            <w:tcW w:w="649" w:type="dxa"/>
            <w:tcBorders>
              <w:top w:val="double" w:sz="4" w:space="0" w:color="auto"/>
              <w:bottom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</w:p>
        </w:tc>
        <w:tc>
          <w:tcPr>
            <w:tcW w:w="649" w:type="dxa"/>
            <w:tcBorders>
              <w:top w:val="double" w:sz="4" w:space="0" w:color="auto"/>
              <w:bottom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</w:p>
        </w:tc>
        <w:tc>
          <w:tcPr>
            <w:tcW w:w="693" w:type="dxa"/>
            <w:tcBorders>
              <w:top w:val="double" w:sz="4" w:space="0" w:color="auto"/>
              <w:bottom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</w:p>
        </w:tc>
      </w:tr>
      <w:tr w:rsidR="000B309D" w:rsidRPr="009A018E" w:rsidTr="0088599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03"/>
        </w:trPr>
        <w:tc>
          <w:tcPr>
            <w:tcW w:w="2591" w:type="dxa"/>
            <w:tcBorders>
              <w:top w:val="nil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Konzumní mléko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91,4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59,9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60,7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62,0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58,5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61,6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55,4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53,6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52,0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57,0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59,8</w:t>
            </w:r>
          </w:p>
        </w:tc>
        <w:tc>
          <w:tcPr>
            <w:tcW w:w="693" w:type="dxa"/>
            <w:tcBorders>
              <w:top w:val="nil"/>
            </w:tcBorders>
            <w:shd w:val="clear" w:color="auto" w:fill="FBD4B4"/>
          </w:tcPr>
          <w:p w:rsidR="000B309D" w:rsidRPr="00B43AF0" w:rsidRDefault="000B309D" w:rsidP="00843E2A">
            <w:pPr>
              <w:rPr>
                <w:sz w:val="20"/>
              </w:rPr>
            </w:pPr>
            <w:r>
              <w:rPr>
                <w:sz w:val="20"/>
              </w:rPr>
              <w:t>57,</w:t>
            </w:r>
            <w:r w:rsidR="00843E2A">
              <w:rPr>
                <w:sz w:val="20"/>
              </w:rPr>
              <w:t>7</w:t>
            </w:r>
          </w:p>
        </w:tc>
      </w:tr>
      <w:tr w:rsidR="000B309D" w:rsidRPr="009A018E" w:rsidTr="0088599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37"/>
        </w:trPr>
        <w:tc>
          <w:tcPr>
            <w:tcW w:w="2591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Sýry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7,8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8,8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10,2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10,6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11,3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12,0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12,5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13,4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13,7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12,9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13,3</w:t>
            </w:r>
          </w:p>
        </w:tc>
        <w:tc>
          <w:tcPr>
            <w:tcW w:w="693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>
              <w:rPr>
                <w:sz w:val="20"/>
              </w:rPr>
              <w:t>13,2</w:t>
            </w:r>
          </w:p>
        </w:tc>
      </w:tr>
      <w:tr w:rsidR="000B309D" w:rsidRPr="009A018E" w:rsidTr="0088599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20"/>
        </w:trPr>
        <w:tc>
          <w:tcPr>
            <w:tcW w:w="2591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Tvarohy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5,1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3,2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3,6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3,6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3,6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3,2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3,3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693" w:type="dxa"/>
            <w:shd w:val="clear" w:color="auto" w:fill="FBD4B4"/>
          </w:tcPr>
          <w:p w:rsidR="000B309D" w:rsidRPr="00B43AF0" w:rsidRDefault="000B309D" w:rsidP="00843E2A">
            <w:pPr>
              <w:rPr>
                <w:sz w:val="20"/>
              </w:rPr>
            </w:pPr>
            <w:r>
              <w:rPr>
                <w:sz w:val="20"/>
              </w:rPr>
              <w:t>3,</w:t>
            </w:r>
            <w:r w:rsidR="00843E2A">
              <w:rPr>
                <w:sz w:val="20"/>
              </w:rPr>
              <w:t>4</w:t>
            </w:r>
          </w:p>
        </w:tc>
      </w:tr>
      <w:tr w:rsidR="000B309D" w:rsidRPr="009A018E" w:rsidTr="0088599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37"/>
        </w:trPr>
        <w:tc>
          <w:tcPr>
            <w:tcW w:w="2591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Mléčné konzervy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6,0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2,5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2,3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2,2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2,2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2,5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1,8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2,0</w:t>
            </w:r>
          </w:p>
        </w:tc>
        <w:tc>
          <w:tcPr>
            <w:tcW w:w="693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>
              <w:rPr>
                <w:sz w:val="20"/>
              </w:rPr>
              <w:t>1,8</w:t>
            </w:r>
          </w:p>
        </w:tc>
      </w:tr>
      <w:tr w:rsidR="000B309D" w:rsidRPr="009A018E" w:rsidTr="0088599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20"/>
        </w:trPr>
        <w:tc>
          <w:tcPr>
            <w:tcW w:w="2591" w:type="dxa"/>
            <w:tcBorders>
              <w:bottom w:val="double" w:sz="4" w:space="0" w:color="auto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Ostatní mléčné výrobky</w:t>
            </w:r>
          </w:p>
        </w:tc>
        <w:tc>
          <w:tcPr>
            <w:tcW w:w="649" w:type="dxa"/>
            <w:tcBorders>
              <w:bottom w:val="double" w:sz="4" w:space="0" w:color="auto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27,5</w:t>
            </w:r>
          </w:p>
        </w:tc>
        <w:tc>
          <w:tcPr>
            <w:tcW w:w="649" w:type="dxa"/>
            <w:tcBorders>
              <w:bottom w:val="double" w:sz="4" w:space="0" w:color="auto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21,6</w:t>
            </w:r>
          </w:p>
        </w:tc>
        <w:tc>
          <w:tcPr>
            <w:tcW w:w="649" w:type="dxa"/>
            <w:tcBorders>
              <w:bottom w:val="double" w:sz="4" w:space="0" w:color="auto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26,2</w:t>
            </w:r>
          </w:p>
        </w:tc>
        <w:tc>
          <w:tcPr>
            <w:tcW w:w="649" w:type="dxa"/>
            <w:tcBorders>
              <w:bottom w:val="double" w:sz="4" w:space="0" w:color="auto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28,6</w:t>
            </w:r>
          </w:p>
        </w:tc>
        <w:tc>
          <w:tcPr>
            <w:tcW w:w="649" w:type="dxa"/>
            <w:tcBorders>
              <w:bottom w:val="double" w:sz="4" w:space="0" w:color="auto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29,4</w:t>
            </w:r>
          </w:p>
        </w:tc>
        <w:tc>
          <w:tcPr>
            <w:tcW w:w="649" w:type="dxa"/>
            <w:tcBorders>
              <w:bottom w:val="double" w:sz="4" w:space="0" w:color="auto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29,8</w:t>
            </w:r>
          </w:p>
        </w:tc>
        <w:tc>
          <w:tcPr>
            <w:tcW w:w="649" w:type="dxa"/>
            <w:tcBorders>
              <w:bottom w:val="double" w:sz="4" w:space="0" w:color="auto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30,0</w:t>
            </w:r>
          </w:p>
        </w:tc>
        <w:tc>
          <w:tcPr>
            <w:tcW w:w="649" w:type="dxa"/>
            <w:tcBorders>
              <w:bottom w:val="double" w:sz="4" w:space="0" w:color="auto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31,7</w:t>
            </w:r>
          </w:p>
        </w:tc>
        <w:tc>
          <w:tcPr>
            <w:tcW w:w="649" w:type="dxa"/>
            <w:tcBorders>
              <w:bottom w:val="double" w:sz="4" w:space="0" w:color="auto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32,3</w:t>
            </w:r>
          </w:p>
        </w:tc>
        <w:tc>
          <w:tcPr>
            <w:tcW w:w="649" w:type="dxa"/>
            <w:tcBorders>
              <w:bottom w:val="double" w:sz="4" w:space="0" w:color="auto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32,2</w:t>
            </w:r>
          </w:p>
        </w:tc>
        <w:tc>
          <w:tcPr>
            <w:tcW w:w="649" w:type="dxa"/>
            <w:tcBorders>
              <w:bottom w:val="double" w:sz="4" w:space="0" w:color="auto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32,7</w:t>
            </w:r>
          </w:p>
        </w:tc>
        <w:tc>
          <w:tcPr>
            <w:tcW w:w="693" w:type="dxa"/>
            <w:tcBorders>
              <w:bottom w:val="double" w:sz="4" w:space="0" w:color="auto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>
              <w:rPr>
                <w:sz w:val="20"/>
              </w:rPr>
              <w:t>32,5</w:t>
            </w:r>
          </w:p>
        </w:tc>
      </w:tr>
    </w:tbl>
    <w:p w:rsidR="000B309D" w:rsidRDefault="000B309D" w:rsidP="000B309D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>Pramen:  ČSÚ – Spotřeba potravin,</w:t>
      </w:r>
    </w:p>
    <w:p w:rsidR="00D70536" w:rsidRPr="009E7303" w:rsidRDefault="00D70536" w:rsidP="000B309D">
      <w:pPr>
        <w:rPr>
          <w:i/>
          <w:sz w:val="16"/>
          <w:szCs w:val="16"/>
        </w:rPr>
      </w:pPr>
    </w:p>
    <w:p w:rsidR="000C0488" w:rsidRDefault="00103784" w:rsidP="000B309D">
      <w:pPr>
        <w:rPr>
          <w:b/>
          <w:noProof/>
        </w:rPr>
      </w:pPr>
      <w:r>
        <w:rPr>
          <w:b/>
          <w:noProof/>
        </w:rPr>
        <w:drawing>
          <wp:inline distT="0" distB="0" distL="0" distR="0">
            <wp:extent cx="6433090" cy="3131959"/>
            <wp:effectExtent l="13122" t="4941" r="7928" b="0"/>
            <wp:docPr id="1" name="Graf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E7303" w:rsidRDefault="009E7303" w:rsidP="000B309D">
      <w:pPr>
        <w:rPr>
          <w:i/>
          <w:sz w:val="18"/>
          <w:szCs w:val="18"/>
        </w:rPr>
      </w:pPr>
    </w:p>
    <w:p w:rsidR="000B309D" w:rsidRPr="00B85074" w:rsidRDefault="00704398" w:rsidP="000C0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Dodávky mléka a přímý prodej v průběhu kalendářního roku 2010 a </w:t>
      </w:r>
      <w:r w:rsidR="000B309D">
        <w:rPr>
          <w:b/>
          <w:szCs w:val="24"/>
        </w:rPr>
        <w:t>2011</w:t>
      </w:r>
      <w:r>
        <w:rPr>
          <w:b/>
          <w:szCs w:val="24"/>
        </w:rPr>
        <w:t xml:space="preserve"> v kg</w:t>
      </w:r>
    </w:p>
    <w:tbl>
      <w:tblPr>
        <w:tblW w:w="1063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018"/>
        <w:gridCol w:w="1182"/>
        <w:gridCol w:w="977"/>
        <w:gridCol w:w="1256"/>
        <w:gridCol w:w="1116"/>
        <w:gridCol w:w="837"/>
        <w:gridCol w:w="1257"/>
        <w:gridCol w:w="896"/>
        <w:gridCol w:w="837"/>
        <w:gridCol w:w="1256"/>
      </w:tblGrid>
      <w:tr w:rsidR="000B309D" w:rsidRPr="005A0163" w:rsidTr="009574AB">
        <w:trPr>
          <w:trHeight w:val="234"/>
        </w:trPr>
        <w:tc>
          <w:tcPr>
            <w:tcW w:w="1018" w:type="dxa"/>
            <w:vMerge w:val="restart"/>
            <w:shd w:val="clear" w:color="auto" w:fill="auto"/>
          </w:tcPr>
          <w:p w:rsidR="000B309D" w:rsidRPr="005A0163" w:rsidRDefault="000B309D" w:rsidP="00CF7A31">
            <w:pPr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3415" w:type="dxa"/>
            <w:gridSpan w:val="3"/>
            <w:shd w:val="clear" w:color="auto" w:fill="auto"/>
          </w:tcPr>
          <w:p w:rsidR="000B309D" w:rsidRPr="005A0163" w:rsidRDefault="000B309D" w:rsidP="00CF7A31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2010</w:t>
            </w:r>
          </w:p>
        </w:tc>
        <w:tc>
          <w:tcPr>
            <w:tcW w:w="3210" w:type="dxa"/>
            <w:gridSpan w:val="3"/>
            <w:shd w:val="clear" w:color="auto" w:fill="auto"/>
          </w:tcPr>
          <w:p w:rsidR="000B309D" w:rsidRPr="005A0163" w:rsidRDefault="000B309D" w:rsidP="00CF7A31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2011</w:t>
            </w:r>
          </w:p>
        </w:tc>
        <w:tc>
          <w:tcPr>
            <w:tcW w:w="2989" w:type="dxa"/>
            <w:gridSpan w:val="3"/>
            <w:shd w:val="clear" w:color="auto" w:fill="auto"/>
          </w:tcPr>
          <w:p w:rsidR="000B309D" w:rsidRPr="005A0163" w:rsidRDefault="000B309D" w:rsidP="00CF7A31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Změna 201</w:t>
            </w:r>
            <w:r>
              <w:rPr>
                <w:b/>
                <w:caps/>
                <w:sz w:val="16"/>
                <w:szCs w:val="16"/>
              </w:rPr>
              <w:t>1</w:t>
            </w:r>
            <w:r w:rsidRPr="005A0163">
              <w:rPr>
                <w:b/>
                <w:caps/>
                <w:sz w:val="16"/>
                <w:szCs w:val="16"/>
              </w:rPr>
              <w:t>/20</w:t>
            </w:r>
            <w:r>
              <w:rPr>
                <w:b/>
                <w:caps/>
                <w:sz w:val="16"/>
                <w:szCs w:val="16"/>
              </w:rPr>
              <w:t>10</w:t>
            </w:r>
            <w:r w:rsidRPr="005A0163">
              <w:rPr>
                <w:b/>
                <w:caps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</w:t>
            </w:r>
            <w:r w:rsidRPr="005A0163">
              <w:rPr>
                <w:b/>
                <w:caps/>
                <w:sz w:val="16"/>
                <w:szCs w:val="16"/>
              </w:rPr>
              <w:t xml:space="preserve"> %</w:t>
            </w:r>
          </w:p>
        </w:tc>
      </w:tr>
      <w:tr w:rsidR="009574AB" w:rsidRPr="005A0163" w:rsidTr="009574AB">
        <w:trPr>
          <w:trHeight w:val="260"/>
        </w:trPr>
        <w:tc>
          <w:tcPr>
            <w:tcW w:w="1018" w:type="dxa"/>
            <w:vMerge/>
            <w:shd w:val="clear" w:color="auto" w:fill="auto"/>
          </w:tcPr>
          <w:p w:rsidR="000B309D" w:rsidRPr="005A0163" w:rsidRDefault="000B309D" w:rsidP="00CF7A31">
            <w:pPr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977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256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1116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837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257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896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837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256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</w:tr>
      <w:tr w:rsidR="009574AB" w:rsidRPr="00B85074" w:rsidTr="009574AB">
        <w:trPr>
          <w:trHeight w:val="256"/>
        </w:trPr>
        <w:tc>
          <w:tcPr>
            <w:tcW w:w="1018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Leden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214 001 291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443 542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214 444 833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212 946 191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542 2</w:t>
            </w:r>
            <w:r>
              <w:rPr>
                <w:sz w:val="16"/>
                <w:szCs w:val="16"/>
              </w:rPr>
              <w:t>89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9574AB" w:rsidRPr="00B85074" w:rsidRDefault="009574AB" w:rsidP="0096712F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213 488 48</w:t>
            </w:r>
            <w:r w:rsidR="0096712F">
              <w:rPr>
                <w:sz w:val="16"/>
                <w:szCs w:val="16"/>
              </w:rPr>
              <w:t>0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- 0,5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+ 22,3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B85074">
              <w:rPr>
                <w:b/>
                <w:sz w:val="16"/>
                <w:szCs w:val="16"/>
              </w:rPr>
              <w:t>- 0,4</w:t>
            </w:r>
          </w:p>
        </w:tc>
      </w:tr>
      <w:tr w:rsidR="009574AB" w:rsidRPr="00B85074" w:rsidTr="009574AB">
        <w:trPr>
          <w:trHeight w:val="256"/>
        </w:trPr>
        <w:tc>
          <w:tcPr>
            <w:tcW w:w="1018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Únor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195 822 795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557 376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196 380 171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196 768 232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553 486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197 321 718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+ 0,5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- 0,7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B85074">
              <w:rPr>
                <w:b/>
                <w:sz w:val="16"/>
                <w:szCs w:val="16"/>
              </w:rPr>
              <w:t>+ 0,5</w:t>
            </w:r>
          </w:p>
        </w:tc>
      </w:tr>
      <w:tr w:rsidR="009574AB" w:rsidRPr="00B85074" w:rsidTr="009574AB">
        <w:trPr>
          <w:trHeight w:val="234"/>
        </w:trPr>
        <w:tc>
          <w:tcPr>
            <w:tcW w:w="1018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Březen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221 653 604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689 307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222 342 911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222 859 103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635 628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223 494 731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+ 0,5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- 7,8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B85074">
              <w:rPr>
                <w:b/>
                <w:sz w:val="16"/>
                <w:szCs w:val="16"/>
              </w:rPr>
              <w:t>+0,5</w:t>
            </w:r>
          </w:p>
        </w:tc>
      </w:tr>
      <w:tr w:rsidR="009574AB" w:rsidRPr="00B85074" w:rsidTr="002D4C36">
        <w:trPr>
          <w:trHeight w:val="256"/>
        </w:trPr>
        <w:tc>
          <w:tcPr>
            <w:tcW w:w="1018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Duben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220 007 000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630 733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220 637 733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9574AB" w:rsidRPr="00672F03" w:rsidRDefault="00672F03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220 259 308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672F03" w:rsidRDefault="00672F03" w:rsidP="0006023F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632 </w:t>
            </w:r>
            <w:r w:rsidR="0006023F">
              <w:rPr>
                <w:sz w:val="16"/>
                <w:szCs w:val="16"/>
              </w:rPr>
              <w:t>576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9574AB" w:rsidRPr="00672F03" w:rsidRDefault="00672F03" w:rsidP="0006023F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220 891 </w:t>
            </w:r>
            <w:r w:rsidR="0006023F">
              <w:rPr>
                <w:sz w:val="16"/>
                <w:szCs w:val="16"/>
              </w:rPr>
              <w:t>884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574AB" w:rsidRPr="00672F03" w:rsidRDefault="00672F03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+ 0,1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672F03" w:rsidRDefault="00672F03" w:rsidP="0006023F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+ 0,</w:t>
            </w:r>
            <w:r w:rsidR="0006023F">
              <w:rPr>
                <w:sz w:val="16"/>
                <w:szCs w:val="16"/>
              </w:rPr>
              <w:t>3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672F03" w:rsidRDefault="00672F03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+ 0,1</w:t>
            </w:r>
          </w:p>
        </w:tc>
      </w:tr>
      <w:tr w:rsidR="009574AB" w:rsidRPr="00B85074" w:rsidTr="009574AB">
        <w:trPr>
          <w:trHeight w:val="234"/>
        </w:trPr>
        <w:tc>
          <w:tcPr>
            <w:tcW w:w="1018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Květen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229 803 134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606 844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230 409 978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9574AB" w:rsidRPr="00B85074" w:rsidRDefault="00672F03" w:rsidP="0096712F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229 597 4</w:t>
            </w:r>
            <w:r w:rsidR="0096712F">
              <w:rPr>
                <w:sz w:val="16"/>
                <w:szCs w:val="16"/>
              </w:rPr>
              <w:t>45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B85074" w:rsidRDefault="00672F03" w:rsidP="0096712F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623 </w:t>
            </w:r>
            <w:r w:rsidR="0096712F">
              <w:rPr>
                <w:sz w:val="16"/>
                <w:szCs w:val="16"/>
              </w:rPr>
              <w:t>947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9574AB" w:rsidRPr="00B85074" w:rsidRDefault="00672F03" w:rsidP="0096712F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230 221 </w:t>
            </w:r>
            <w:r w:rsidR="0096712F">
              <w:rPr>
                <w:sz w:val="16"/>
                <w:szCs w:val="16"/>
              </w:rPr>
              <w:t>392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574AB" w:rsidRPr="00B85074" w:rsidRDefault="00672F03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- 0,1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B85074" w:rsidRDefault="00672F03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+ 2,8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B85074" w:rsidRDefault="00672F03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- 0,1</w:t>
            </w:r>
          </w:p>
        </w:tc>
      </w:tr>
      <w:tr w:rsidR="009574AB" w:rsidRPr="00B85074" w:rsidTr="009574AB">
        <w:trPr>
          <w:trHeight w:val="256"/>
        </w:trPr>
        <w:tc>
          <w:tcPr>
            <w:tcW w:w="1018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Červen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220 855 296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580 574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221 435 870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9574AB" w:rsidRPr="00B85074" w:rsidRDefault="0096712F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222 556 641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B85074" w:rsidRDefault="0096712F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592 631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9574AB" w:rsidRPr="00B85074" w:rsidRDefault="0096712F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223 149 272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574AB" w:rsidRPr="00B85074" w:rsidRDefault="0096712F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+ 0,8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B85074" w:rsidRDefault="0096712F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+ 2,1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B85074" w:rsidRDefault="0096712F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+ 0,8</w:t>
            </w:r>
          </w:p>
        </w:tc>
      </w:tr>
      <w:tr w:rsidR="009574AB" w:rsidRPr="00B85074" w:rsidTr="009574AB">
        <w:trPr>
          <w:trHeight w:val="234"/>
        </w:trPr>
        <w:tc>
          <w:tcPr>
            <w:tcW w:w="1018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Červenec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223 388 384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570 506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223 958 890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9574AB" w:rsidRPr="00B85074" w:rsidRDefault="0075281D" w:rsidP="0006023F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230 954 39</w:t>
            </w:r>
            <w:r w:rsidR="0006023F">
              <w:rPr>
                <w:sz w:val="16"/>
                <w:szCs w:val="16"/>
              </w:rPr>
              <w:t>3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B85074" w:rsidRDefault="0075281D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546 464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9574AB" w:rsidRPr="00B85074" w:rsidRDefault="0075281D" w:rsidP="0006023F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231 500 85</w:t>
            </w:r>
            <w:r w:rsidR="0006023F">
              <w:rPr>
                <w:sz w:val="16"/>
                <w:szCs w:val="16"/>
              </w:rPr>
              <w:t>7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574AB" w:rsidRPr="00B85074" w:rsidRDefault="0075281D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+ 3,4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B85074" w:rsidRDefault="0075281D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- 4,2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B85074" w:rsidRDefault="0075281D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+ 3,4</w:t>
            </w:r>
          </w:p>
        </w:tc>
      </w:tr>
      <w:tr w:rsidR="009574AB" w:rsidRPr="00B85074" w:rsidTr="009574AB">
        <w:trPr>
          <w:trHeight w:val="234"/>
        </w:trPr>
        <w:tc>
          <w:tcPr>
            <w:tcW w:w="1018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Srpen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220 385 829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579 269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220 965 098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9574AB" w:rsidRPr="00B85074" w:rsidRDefault="0006023F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224 279 064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B85074" w:rsidRDefault="0006023F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567 405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9574AB" w:rsidRPr="00B85074" w:rsidRDefault="0006023F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224 846 469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574AB" w:rsidRPr="00B85074" w:rsidRDefault="0006023F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+ 1,8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B85074" w:rsidRDefault="0006023F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- 2,0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B85074" w:rsidRDefault="0006023F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+ 1,8</w:t>
            </w:r>
          </w:p>
        </w:tc>
      </w:tr>
      <w:tr w:rsidR="009574AB" w:rsidRPr="00B85074" w:rsidTr="009574AB">
        <w:trPr>
          <w:trHeight w:val="256"/>
        </w:trPr>
        <w:tc>
          <w:tcPr>
            <w:tcW w:w="1018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Září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208 070 917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569 756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208 640 673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9574AB" w:rsidRPr="00B85074" w:rsidRDefault="00301D61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213 821 231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B85074" w:rsidRDefault="00301D61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567 817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9574AB" w:rsidRPr="00B85074" w:rsidRDefault="00301D61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214 389 048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574AB" w:rsidRPr="00B85074" w:rsidRDefault="00301D61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+ 2,8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B85074" w:rsidRDefault="00301D61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- 0,3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B85074" w:rsidRDefault="00301D61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+ 2,8</w:t>
            </w:r>
          </w:p>
        </w:tc>
      </w:tr>
      <w:tr w:rsidR="009574AB" w:rsidRPr="00B85074" w:rsidTr="009574AB">
        <w:trPr>
          <w:trHeight w:val="234"/>
        </w:trPr>
        <w:tc>
          <w:tcPr>
            <w:tcW w:w="1018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Říjen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574AB" w:rsidRPr="009574AB" w:rsidRDefault="009574AB" w:rsidP="00FC35E4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 xml:space="preserve">207 692 </w:t>
            </w:r>
            <w:r w:rsidR="00FC35E4">
              <w:rPr>
                <w:color w:val="000000"/>
                <w:sz w:val="16"/>
                <w:szCs w:val="16"/>
              </w:rPr>
              <w:t>636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608 800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9574AB" w:rsidRDefault="009574AB" w:rsidP="0096712F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 xml:space="preserve">208 301 </w:t>
            </w:r>
            <w:r w:rsidR="0096712F">
              <w:rPr>
                <w:color w:val="000000"/>
                <w:sz w:val="16"/>
                <w:szCs w:val="16"/>
              </w:rPr>
              <w:t>436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9574AB" w:rsidRPr="00B85074" w:rsidRDefault="00B4000A" w:rsidP="00452675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</w:t>
            </w:r>
            <w:r w:rsidR="00452675">
              <w:rPr>
                <w:sz w:val="16"/>
                <w:szCs w:val="16"/>
              </w:rPr>
              <w:t> 959 075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B85074" w:rsidRDefault="00B4000A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580 726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9574AB" w:rsidRPr="00B85074" w:rsidRDefault="00B4000A" w:rsidP="00452675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</w:t>
            </w:r>
            <w:r w:rsidR="00452675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</w:t>
            </w:r>
            <w:r w:rsidR="00452675">
              <w:rPr>
                <w:sz w:val="16"/>
                <w:szCs w:val="16"/>
              </w:rPr>
              <w:t>39 801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574AB" w:rsidRPr="00B85074" w:rsidRDefault="00B4000A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+ 3,5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B85074" w:rsidRDefault="00B4000A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- 4,6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B85074" w:rsidRDefault="00B4000A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+ 3,5</w:t>
            </w:r>
          </w:p>
        </w:tc>
      </w:tr>
      <w:tr w:rsidR="009574AB" w:rsidRPr="00B85074" w:rsidTr="009574AB">
        <w:trPr>
          <w:trHeight w:val="256"/>
        </w:trPr>
        <w:tc>
          <w:tcPr>
            <w:tcW w:w="1018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Listopad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199 759 167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571 941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200 331 108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9574AB" w:rsidRPr="00B85074" w:rsidRDefault="00452675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206 669 360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B85074" w:rsidRDefault="00452675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577 901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9574AB" w:rsidRPr="00B85074" w:rsidRDefault="00452675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207 247 261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574AB" w:rsidRPr="00B85074" w:rsidRDefault="00452675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+ 3,5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B85074" w:rsidRDefault="00452675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+ 1,0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B85074" w:rsidRDefault="00452675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+ 3,5</w:t>
            </w:r>
          </w:p>
        </w:tc>
      </w:tr>
      <w:tr w:rsidR="009574AB" w:rsidRPr="00B85074" w:rsidTr="009574AB">
        <w:trPr>
          <w:trHeight w:val="234"/>
        </w:trPr>
        <w:tc>
          <w:tcPr>
            <w:tcW w:w="1018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Prosinec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207 051 819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477 178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207 528 997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</w:p>
        </w:tc>
      </w:tr>
      <w:tr w:rsidR="009574AB" w:rsidRPr="00B85074" w:rsidTr="009574AB">
        <w:trPr>
          <w:trHeight w:val="233"/>
        </w:trPr>
        <w:tc>
          <w:tcPr>
            <w:tcW w:w="1018" w:type="dxa"/>
            <w:shd w:val="clear" w:color="auto" w:fill="B8CCE4"/>
            <w:tcFitText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104DAC">
              <w:rPr>
                <w:b/>
                <w:spacing w:val="208"/>
                <w:sz w:val="16"/>
                <w:szCs w:val="16"/>
              </w:rPr>
              <w:t>RO</w:t>
            </w:r>
            <w:r w:rsidRPr="00104DAC">
              <w:rPr>
                <w:b/>
                <w:spacing w:val="2"/>
                <w:sz w:val="16"/>
                <w:szCs w:val="16"/>
              </w:rPr>
              <w:t>K</w:t>
            </w:r>
          </w:p>
        </w:tc>
        <w:tc>
          <w:tcPr>
            <w:tcW w:w="1182" w:type="dxa"/>
            <w:shd w:val="clear" w:color="auto" w:fill="B8CCE4"/>
            <w:noWrap/>
            <w:vAlign w:val="center"/>
          </w:tcPr>
          <w:p w:rsidR="009574AB" w:rsidRPr="009574AB" w:rsidRDefault="009574AB" w:rsidP="00672F03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 xml:space="preserve">2 568 491 </w:t>
            </w:r>
            <w:r w:rsidR="00672F03">
              <w:rPr>
                <w:color w:val="000000"/>
                <w:sz w:val="16"/>
                <w:szCs w:val="16"/>
              </w:rPr>
              <w:t>872</w:t>
            </w:r>
          </w:p>
        </w:tc>
        <w:tc>
          <w:tcPr>
            <w:tcW w:w="977" w:type="dxa"/>
            <w:shd w:val="clear" w:color="auto" w:fill="B8CCE4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6 885 826</w:t>
            </w:r>
          </w:p>
        </w:tc>
        <w:tc>
          <w:tcPr>
            <w:tcW w:w="1256" w:type="dxa"/>
            <w:shd w:val="clear" w:color="auto" w:fill="B8CCE4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2 575 377 781</w:t>
            </w:r>
          </w:p>
        </w:tc>
        <w:tc>
          <w:tcPr>
            <w:tcW w:w="1116" w:type="dxa"/>
            <w:shd w:val="clear" w:color="auto" w:fill="B8CCE4"/>
            <w:tcFitText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B8CCE4"/>
            <w:tcFitText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257" w:type="dxa"/>
            <w:shd w:val="clear" w:color="auto" w:fill="B8CCE4"/>
            <w:tcFitText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896" w:type="dxa"/>
            <w:shd w:val="clear" w:color="auto" w:fill="B8CCE4"/>
            <w:tcFitText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B8CCE4"/>
            <w:tcFitText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256" w:type="dxa"/>
            <w:shd w:val="clear" w:color="auto" w:fill="B8CCE4"/>
            <w:tcFitText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</w:p>
        </w:tc>
      </w:tr>
    </w:tbl>
    <w:p w:rsidR="000B309D" w:rsidRDefault="000B309D" w:rsidP="000B309D">
      <w:pPr>
        <w:rPr>
          <w:i/>
          <w:sz w:val="16"/>
          <w:szCs w:val="16"/>
        </w:rPr>
      </w:pPr>
      <w:r w:rsidRPr="009574AB">
        <w:rPr>
          <w:i/>
          <w:sz w:val="16"/>
          <w:szCs w:val="16"/>
        </w:rPr>
        <w:t>Pramen: administrace systému mléčných kvót SZIF</w:t>
      </w:r>
      <w:r w:rsidR="009E7303" w:rsidRPr="009574AB">
        <w:rPr>
          <w:i/>
          <w:sz w:val="16"/>
          <w:szCs w:val="16"/>
        </w:rPr>
        <w:t>, duben 2001 – předběžný údaj</w:t>
      </w:r>
    </w:p>
    <w:p w:rsidR="00E32833" w:rsidRPr="0006023F" w:rsidRDefault="0006023F" w:rsidP="000B309D">
      <w:pPr>
        <w:rPr>
          <w:b/>
          <w:i/>
          <w:sz w:val="16"/>
          <w:szCs w:val="16"/>
        </w:rPr>
      </w:pPr>
      <w:r w:rsidRPr="0006023F">
        <w:rPr>
          <w:b/>
          <w:i/>
          <w:sz w:val="16"/>
          <w:szCs w:val="16"/>
        </w:rPr>
        <w:t xml:space="preserve">Za </w:t>
      </w:r>
      <w:r w:rsidR="0047597F">
        <w:rPr>
          <w:b/>
          <w:i/>
          <w:sz w:val="16"/>
          <w:szCs w:val="16"/>
        </w:rPr>
        <w:t>1</w:t>
      </w:r>
      <w:r w:rsidR="00452675">
        <w:rPr>
          <w:b/>
          <w:i/>
          <w:sz w:val="16"/>
          <w:szCs w:val="16"/>
        </w:rPr>
        <w:t xml:space="preserve">1 </w:t>
      </w:r>
      <w:r w:rsidRPr="0006023F">
        <w:rPr>
          <w:b/>
          <w:i/>
          <w:sz w:val="16"/>
          <w:szCs w:val="16"/>
        </w:rPr>
        <w:t xml:space="preserve">měsíců r. 2011 dodávky a přímý prodej mléka představovaly objem </w:t>
      </w:r>
      <w:r w:rsidR="00B4000A">
        <w:rPr>
          <w:b/>
          <w:i/>
          <w:sz w:val="16"/>
          <w:szCs w:val="16"/>
        </w:rPr>
        <w:t>2</w:t>
      </w:r>
      <w:r w:rsidR="00452675">
        <w:rPr>
          <w:b/>
          <w:i/>
          <w:sz w:val="16"/>
          <w:szCs w:val="16"/>
        </w:rPr>
        <w:t> 402 090 913</w:t>
      </w:r>
      <w:r w:rsidRPr="0006023F">
        <w:rPr>
          <w:b/>
          <w:i/>
          <w:sz w:val="16"/>
          <w:szCs w:val="16"/>
        </w:rPr>
        <w:t xml:space="preserve"> kg, tj. o </w:t>
      </w:r>
      <w:r w:rsidR="00301D61">
        <w:rPr>
          <w:b/>
          <w:i/>
          <w:sz w:val="16"/>
          <w:szCs w:val="16"/>
        </w:rPr>
        <w:t>1,</w:t>
      </w:r>
      <w:r w:rsidR="00452675">
        <w:rPr>
          <w:b/>
          <w:i/>
          <w:sz w:val="16"/>
          <w:szCs w:val="16"/>
        </w:rPr>
        <w:t>45</w:t>
      </w:r>
      <w:r w:rsidRPr="0006023F">
        <w:rPr>
          <w:b/>
          <w:i/>
          <w:sz w:val="16"/>
          <w:szCs w:val="16"/>
        </w:rPr>
        <w:t xml:space="preserve"> % více než za stejné období r. 2010</w:t>
      </w:r>
    </w:p>
    <w:p w:rsidR="000C0488" w:rsidRPr="00F017D7" w:rsidRDefault="000C0488" w:rsidP="000C0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jc w:val="center"/>
        <w:rPr>
          <w:b/>
        </w:rPr>
      </w:pPr>
      <w:r w:rsidRPr="00F017D7">
        <w:rPr>
          <w:b/>
        </w:rPr>
        <w:t>Mlékárenský průmysl</w:t>
      </w:r>
    </w:p>
    <w:tbl>
      <w:tblPr>
        <w:tblpPr w:leftFromText="141" w:rightFromText="141" w:vertAnchor="page" w:horzAnchor="margin" w:tblpY="5811"/>
        <w:tblW w:w="1057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177"/>
        <w:gridCol w:w="854"/>
        <w:gridCol w:w="1316"/>
        <w:gridCol w:w="1396"/>
        <w:gridCol w:w="1705"/>
        <w:gridCol w:w="2130"/>
      </w:tblGrid>
      <w:tr w:rsidR="00682355" w:rsidRPr="00F017D7" w:rsidTr="00682355">
        <w:trPr>
          <w:trHeight w:val="256"/>
        </w:trPr>
        <w:tc>
          <w:tcPr>
            <w:tcW w:w="3177" w:type="dxa"/>
            <w:shd w:val="clear" w:color="auto" w:fill="auto"/>
          </w:tcPr>
          <w:p w:rsidR="00682355" w:rsidRPr="00F017D7" w:rsidRDefault="00682355" w:rsidP="00682355">
            <w:pPr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Ukazatel</w:t>
            </w:r>
          </w:p>
        </w:tc>
        <w:tc>
          <w:tcPr>
            <w:tcW w:w="854" w:type="dxa"/>
            <w:shd w:val="clear" w:color="auto" w:fill="auto"/>
          </w:tcPr>
          <w:p w:rsidR="00682355" w:rsidRPr="00F017D7" w:rsidRDefault="00682355" w:rsidP="00682355">
            <w:pPr>
              <w:jc w:val="center"/>
              <w:rPr>
                <w:b/>
                <w:sz w:val="16"/>
                <w:szCs w:val="16"/>
              </w:rPr>
            </w:pPr>
            <w:r w:rsidRPr="00F017D7">
              <w:rPr>
                <w:b/>
                <w:sz w:val="16"/>
                <w:szCs w:val="16"/>
              </w:rPr>
              <w:t>Jednotka</w:t>
            </w:r>
          </w:p>
        </w:tc>
        <w:tc>
          <w:tcPr>
            <w:tcW w:w="1316" w:type="dxa"/>
            <w:shd w:val="clear" w:color="auto" w:fill="auto"/>
          </w:tcPr>
          <w:p w:rsidR="00682355" w:rsidRPr="00F017D7" w:rsidRDefault="00682355" w:rsidP="00682355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2010</w:t>
            </w:r>
          </w:p>
        </w:tc>
        <w:tc>
          <w:tcPr>
            <w:tcW w:w="1396" w:type="dxa"/>
            <w:shd w:val="clear" w:color="auto" w:fill="auto"/>
          </w:tcPr>
          <w:p w:rsidR="00682355" w:rsidRPr="00F017D7" w:rsidRDefault="00682355" w:rsidP="00682355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2011</w:t>
            </w:r>
          </w:p>
        </w:tc>
        <w:tc>
          <w:tcPr>
            <w:tcW w:w="3835" w:type="dxa"/>
            <w:gridSpan w:val="2"/>
            <w:shd w:val="clear" w:color="auto" w:fill="auto"/>
          </w:tcPr>
          <w:p w:rsidR="00682355" w:rsidRPr="00F017D7" w:rsidRDefault="00682355" w:rsidP="00682355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Změna 2011/2010</w:t>
            </w:r>
          </w:p>
        </w:tc>
      </w:tr>
      <w:tr w:rsidR="00682355" w:rsidRPr="00F017D7" w:rsidTr="00682355">
        <w:trPr>
          <w:trHeight w:val="256"/>
        </w:trPr>
        <w:tc>
          <w:tcPr>
            <w:tcW w:w="3177" w:type="dxa"/>
            <w:shd w:val="clear" w:color="auto" w:fill="auto"/>
          </w:tcPr>
          <w:p w:rsidR="00682355" w:rsidRPr="00F017D7" w:rsidRDefault="00682355" w:rsidP="00682355">
            <w:pPr>
              <w:rPr>
                <w:b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682355" w:rsidRPr="00F017D7" w:rsidRDefault="00682355" w:rsidP="00682355">
            <w:pPr>
              <w:jc w:val="center"/>
              <w:rPr>
                <w:b/>
                <w:sz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682355" w:rsidRPr="00F017D7" w:rsidRDefault="00682355" w:rsidP="00F671EF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 xml:space="preserve">01 - </w:t>
            </w:r>
            <w:r w:rsidR="00F671EF">
              <w:rPr>
                <w:b/>
                <w:sz w:val="20"/>
              </w:rPr>
              <w:t>1</w:t>
            </w:r>
            <w:r w:rsidR="00752C16">
              <w:rPr>
                <w:b/>
                <w:sz w:val="20"/>
              </w:rPr>
              <w:t>1</w:t>
            </w:r>
          </w:p>
        </w:tc>
        <w:tc>
          <w:tcPr>
            <w:tcW w:w="1396" w:type="dxa"/>
            <w:shd w:val="clear" w:color="auto" w:fill="auto"/>
          </w:tcPr>
          <w:p w:rsidR="00682355" w:rsidRPr="00F017D7" w:rsidRDefault="00682355" w:rsidP="00F671EF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 xml:space="preserve">01 - </w:t>
            </w:r>
            <w:r w:rsidR="00F671EF">
              <w:rPr>
                <w:b/>
                <w:sz w:val="20"/>
              </w:rPr>
              <w:t>1</w:t>
            </w:r>
            <w:r w:rsidR="00752C16">
              <w:rPr>
                <w:b/>
                <w:sz w:val="20"/>
              </w:rPr>
              <w:t>1</w:t>
            </w:r>
          </w:p>
        </w:tc>
        <w:tc>
          <w:tcPr>
            <w:tcW w:w="1705" w:type="dxa"/>
            <w:shd w:val="clear" w:color="auto" w:fill="auto"/>
          </w:tcPr>
          <w:p w:rsidR="00682355" w:rsidRPr="00F017D7" w:rsidRDefault="00682355" w:rsidP="00682355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v objemu (v Kč)</w:t>
            </w:r>
          </w:p>
        </w:tc>
        <w:tc>
          <w:tcPr>
            <w:tcW w:w="2130" w:type="dxa"/>
            <w:shd w:val="clear" w:color="auto" w:fill="auto"/>
          </w:tcPr>
          <w:p w:rsidR="00682355" w:rsidRPr="00F017D7" w:rsidRDefault="00682355" w:rsidP="00682355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Index (%)</w:t>
            </w:r>
          </w:p>
        </w:tc>
      </w:tr>
      <w:tr w:rsidR="00513E3A" w:rsidRPr="00F017D7" w:rsidTr="00682355">
        <w:trPr>
          <w:trHeight w:val="256"/>
        </w:trPr>
        <w:tc>
          <w:tcPr>
            <w:tcW w:w="3177" w:type="dxa"/>
            <w:shd w:val="clear" w:color="auto" w:fill="FDE9D9"/>
          </w:tcPr>
          <w:p w:rsidR="00513E3A" w:rsidRPr="00F017D7" w:rsidRDefault="00513E3A" w:rsidP="00682355">
            <w:pPr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Nákup syrového mléka</w:t>
            </w:r>
          </w:p>
        </w:tc>
        <w:tc>
          <w:tcPr>
            <w:tcW w:w="854" w:type="dxa"/>
            <w:shd w:val="clear" w:color="auto" w:fill="FDE9D9"/>
          </w:tcPr>
          <w:p w:rsidR="00513E3A" w:rsidRPr="00F017D7" w:rsidRDefault="00513E3A" w:rsidP="00682355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316" w:type="dxa"/>
            <w:shd w:val="clear" w:color="auto" w:fill="FDE9D9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2 068 805,0</w:t>
            </w:r>
          </w:p>
        </w:tc>
        <w:tc>
          <w:tcPr>
            <w:tcW w:w="1396" w:type="dxa"/>
            <w:shd w:val="clear" w:color="auto" w:fill="FDE9D9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2 108 968,0</w:t>
            </w:r>
          </w:p>
        </w:tc>
        <w:tc>
          <w:tcPr>
            <w:tcW w:w="1705" w:type="dxa"/>
            <w:shd w:val="clear" w:color="auto" w:fill="FDE9D9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40 163,0</w:t>
            </w:r>
          </w:p>
        </w:tc>
        <w:tc>
          <w:tcPr>
            <w:tcW w:w="2130" w:type="dxa"/>
            <w:shd w:val="clear" w:color="auto" w:fill="FDE9D9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101,9</w:t>
            </w:r>
          </w:p>
        </w:tc>
      </w:tr>
      <w:tr w:rsidR="00513E3A" w:rsidRPr="00F017D7" w:rsidTr="00682355">
        <w:trPr>
          <w:trHeight w:val="271"/>
        </w:trPr>
        <w:tc>
          <w:tcPr>
            <w:tcW w:w="3177" w:type="dxa"/>
            <w:shd w:val="clear" w:color="auto" w:fill="FDE9D9"/>
          </w:tcPr>
          <w:p w:rsidR="00513E3A" w:rsidRPr="00F017D7" w:rsidRDefault="00513E3A" w:rsidP="00682355">
            <w:pPr>
              <w:rPr>
                <w:sz w:val="20"/>
              </w:rPr>
            </w:pPr>
            <w:r w:rsidRPr="00F017D7">
              <w:rPr>
                <w:sz w:val="20"/>
              </w:rPr>
              <w:t>z toho:   v I. a vyšší třídě</w:t>
            </w:r>
          </w:p>
        </w:tc>
        <w:tc>
          <w:tcPr>
            <w:tcW w:w="854" w:type="dxa"/>
            <w:shd w:val="clear" w:color="auto" w:fill="FDE9D9"/>
          </w:tcPr>
          <w:p w:rsidR="00513E3A" w:rsidRPr="00F017D7" w:rsidRDefault="00513E3A" w:rsidP="00682355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316" w:type="dxa"/>
            <w:shd w:val="clear" w:color="auto" w:fill="FDE9D9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2 018 424,0</w:t>
            </w:r>
          </w:p>
        </w:tc>
        <w:tc>
          <w:tcPr>
            <w:tcW w:w="1396" w:type="dxa"/>
            <w:shd w:val="clear" w:color="auto" w:fill="FDE9D9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2 044 951,0</w:t>
            </w:r>
          </w:p>
        </w:tc>
        <w:tc>
          <w:tcPr>
            <w:tcW w:w="1705" w:type="dxa"/>
            <w:shd w:val="clear" w:color="auto" w:fill="FDE9D9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26 527,0</w:t>
            </w:r>
          </w:p>
        </w:tc>
        <w:tc>
          <w:tcPr>
            <w:tcW w:w="2130" w:type="dxa"/>
            <w:shd w:val="clear" w:color="auto" w:fill="FDE9D9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101,3</w:t>
            </w:r>
          </w:p>
        </w:tc>
      </w:tr>
      <w:tr w:rsidR="00513E3A" w:rsidRPr="00F017D7" w:rsidTr="00682355">
        <w:trPr>
          <w:trHeight w:val="212"/>
        </w:trPr>
        <w:tc>
          <w:tcPr>
            <w:tcW w:w="3177" w:type="dxa"/>
            <w:shd w:val="clear" w:color="auto" w:fill="FDE9D9"/>
          </w:tcPr>
          <w:p w:rsidR="00513E3A" w:rsidRPr="00F017D7" w:rsidRDefault="00513E3A" w:rsidP="00682355">
            <w:pPr>
              <w:rPr>
                <w:sz w:val="20"/>
              </w:rPr>
            </w:pPr>
            <w:r w:rsidRPr="00F017D7">
              <w:rPr>
                <w:sz w:val="20"/>
              </w:rPr>
              <w:t xml:space="preserve">z toho:   vývoz syrového mléka </w:t>
            </w:r>
          </w:p>
        </w:tc>
        <w:tc>
          <w:tcPr>
            <w:tcW w:w="854" w:type="dxa"/>
            <w:shd w:val="clear" w:color="auto" w:fill="FDE9D9"/>
          </w:tcPr>
          <w:p w:rsidR="00513E3A" w:rsidRPr="00F017D7" w:rsidRDefault="00513E3A" w:rsidP="00682355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316" w:type="dxa"/>
            <w:shd w:val="clear" w:color="auto" w:fill="FDE9D9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111 306,0</w:t>
            </w:r>
          </w:p>
        </w:tc>
        <w:tc>
          <w:tcPr>
            <w:tcW w:w="1396" w:type="dxa"/>
            <w:shd w:val="clear" w:color="auto" w:fill="FDE9D9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159 162,0</w:t>
            </w:r>
          </w:p>
        </w:tc>
        <w:tc>
          <w:tcPr>
            <w:tcW w:w="1705" w:type="dxa"/>
            <w:shd w:val="clear" w:color="auto" w:fill="FDE9D9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47 856,0</w:t>
            </w:r>
          </w:p>
        </w:tc>
        <w:tc>
          <w:tcPr>
            <w:tcW w:w="2130" w:type="dxa"/>
            <w:shd w:val="clear" w:color="auto" w:fill="FDE9D9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143,0</w:t>
            </w:r>
          </w:p>
        </w:tc>
      </w:tr>
      <w:tr w:rsidR="00513E3A" w:rsidRPr="00F017D7" w:rsidTr="00682355">
        <w:trPr>
          <w:trHeight w:val="271"/>
        </w:trPr>
        <w:tc>
          <w:tcPr>
            <w:tcW w:w="3177" w:type="dxa"/>
            <w:shd w:val="clear" w:color="auto" w:fill="FDE9D9"/>
          </w:tcPr>
          <w:p w:rsidR="00513E3A" w:rsidRPr="00F017D7" w:rsidRDefault="00513E3A" w:rsidP="00682355">
            <w:pPr>
              <w:rPr>
                <w:sz w:val="20"/>
              </w:rPr>
            </w:pPr>
            <w:r w:rsidRPr="00F017D7">
              <w:rPr>
                <w:sz w:val="20"/>
              </w:rPr>
              <w:t>Obsah tuku</w:t>
            </w:r>
          </w:p>
        </w:tc>
        <w:tc>
          <w:tcPr>
            <w:tcW w:w="854" w:type="dxa"/>
            <w:shd w:val="clear" w:color="auto" w:fill="FDE9D9"/>
          </w:tcPr>
          <w:p w:rsidR="00513E3A" w:rsidRPr="00F017D7" w:rsidRDefault="00513E3A" w:rsidP="00682355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316" w:type="dxa"/>
            <w:shd w:val="clear" w:color="auto" w:fill="FDE9D9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3,88</w:t>
            </w:r>
          </w:p>
        </w:tc>
        <w:tc>
          <w:tcPr>
            <w:tcW w:w="1396" w:type="dxa"/>
            <w:shd w:val="clear" w:color="auto" w:fill="FDE9D9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3,87</w:t>
            </w:r>
          </w:p>
        </w:tc>
        <w:tc>
          <w:tcPr>
            <w:tcW w:w="1705" w:type="dxa"/>
            <w:shd w:val="clear" w:color="auto" w:fill="FDE9D9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2130" w:type="dxa"/>
            <w:shd w:val="clear" w:color="auto" w:fill="FDE9D9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99,7</w:t>
            </w:r>
          </w:p>
        </w:tc>
      </w:tr>
      <w:tr w:rsidR="00513E3A" w:rsidRPr="00F017D7" w:rsidTr="00682355">
        <w:trPr>
          <w:trHeight w:val="256"/>
        </w:trPr>
        <w:tc>
          <w:tcPr>
            <w:tcW w:w="3177" w:type="dxa"/>
            <w:shd w:val="clear" w:color="auto" w:fill="FDE9D9"/>
          </w:tcPr>
          <w:p w:rsidR="00513E3A" w:rsidRPr="00F017D7" w:rsidRDefault="00513E3A" w:rsidP="00682355">
            <w:pPr>
              <w:rPr>
                <w:sz w:val="20"/>
              </w:rPr>
            </w:pPr>
            <w:r w:rsidRPr="00F017D7">
              <w:rPr>
                <w:sz w:val="20"/>
              </w:rPr>
              <w:t>Obsah bílkovin</w:t>
            </w:r>
          </w:p>
        </w:tc>
        <w:tc>
          <w:tcPr>
            <w:tcW w:w="854" w:type="dxa"/>
            <w:shd w:val="clear" w:color="auto" w:fill="FDE9D9"/>
          </w:tcPr>
          <w:p w:rsidR="00513E3A" w:rsidRPr="00F017D7" w:rsidRDefault="00513E3A" w:rsidP="00682355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316" w:type="dxa"/>
            <w:shd w:val="clear" w:color="auto" w:fill="FDE9D9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3,37</w:t>
            </w:r>
          </w:p>
        </w:tc>
        <w:tc>
          <w:tcPr>
            <w:tcW w:w="1396" w:type="dxa"/>
            <w:shd w:val="clear" w:color="auto" w:fill="FDE9D9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3,37</w:t>
            </w:r>
          </w:p>
        </w:tc>
        <w:tc>
          <w:tcPr>
            <w:tcW w:w="1705" w:type="dxa"/>
            <w:shd w:val="clear" w:color="auto" w:fill="FDE9D9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2130" w:type="dxa"/>
            <w:shd w:val="clear" w:color="auto" w:fill="FDE9D9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513E3A" w:rsidRPr="00F017D7" w:rsidTr="00682355">
        <w:trPr>
          <w:trHeight w:val="271"/>
        </w:trPr>
        <w:tc>
          <w:tcPr>
            <w:tcW w:w="3177" w:type="dxa"/>
            <w:shd w:val="clear" w:color="auto" w:fill="FDE9D9"/>
          </w:tcPr>
          <w:p w:rsidR="00513E3A" w:rsidRPr="00F017D7" w:rsidRDefault="00513E3A" w:rsidP="00682355">
            <w:pPr>
              <w:rPr>
                <w:sz w:val="20"/>
              </w:rPr>
            </w:pPr>
            <w:r w:rsidRPr="00F017D7">
              <w:rPr>
                <w:sz w:val="20"/>
              </w:rPr>
              <w:t xml:space="preserve">CZV za mléko celkem </w:t>
            </w:r>
          </w:p>
        </w:tc>
        <w:tc>
          <w:tcPr>
            <w:tcW w:w="854" w:type="dxa"/>
            <w:shd w:val="clear" w:color="auto" w:fill="FDE9D9"/>
          </w:tcPr>
          <w:p w:rsidR="00513E3A" w:rsidRPr="00F017D7" w:rsidRDefault="00513E3A" w:rsidP="00682355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Kč/l</w:t>
            </w:r>
          </w:p>
        </w:tc>
        <w:tc>
          <w:tcPr>
            <w:tcW w:w="1316" w:type="dxa"/>
            <w:shd w:val="clear" w:color="auto" w:fill="FDE9D9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7,37</w:t>
            </w:r>
          </w:p>
        </w:tc>
        <w:tc>
          <w:tcPr>
            <w:tcW w:w="1396" w:type="dxa"/>
            <w:shd w:val="clear" w:color="auto" w:fill="FDE9D9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8,25</w:t>
            </w:r>
          </w:p>
        </w:tc>
        <w:tc>
          <w:tcPr>
            <w:tcW w:w="1705" w:type="dxa"/>
            <w:shd w:val="clear" w:color="auto" w:fill="FDE9D9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0,9</w:t>
            </w:r>
          </w:p>
        </w:tc>
        <w:tc>
          <w:tcPr>
            <w:tcW w:w="2130" w:type="dxa"/>
            <w:shd w:val="clear" w:color="auto" w:fill="FDE9D9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111,9</w:t>
            </w:r>
          </w:p>
        </w:tc>
      </w:tr>
      <w:tr w:rsidR="00513E3A" w:rsidRPr="00F017D7" w:rsidTr="00682355">
        <w:trPr>
          <w:trHeight w:val="256"/>
        </w:trPr>
        <w:tc>
          <w:tcPr>
            <w:tcW w:w="3177" w:type="dxa"/>
            <w:shd w:val="clear" w:color="auto" w:fill="FDE9D9"/>
          </w:tcPr>
          <w:p w:rsidR="00513E3A" w:rsidRPr="00F017D7" w:rsidRDefault="00513E3A" w:rsidP="00682355">
            <w:pPr>
              <w:rPr>
                <w:sz w:val="20"/>
              </w:rPr>
            </w:pPr>
            <w:r w:rsidRPr="00F017D7">
              <w:rPr>
                <w:sz w:val="20"/>
              </w:rPr>
              <w:t>CZV za mléko I. a vyšší</w:t>
            </w:r>
          </w:p>
        </w:tc>
        <w:tc>
          <w:tcPr>
            <w:tcW w:w="854" w:type="dxa"/>
            <w:shd w:val="clear" w:color="auto" w:fill="FDE9D9"/>
          </w:tcPr>
          <w:p w:rsidR="00513E3A" w:rsidRPr="00F017D7" w:rsidRDefault="00513E3A" w:rsidP="00682355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Kč/l</w:t>
            </w:r>
          </w:p>
        </w:tc>
        <w:tc>
          <w:tcPr>
            <w:tcW w:w="1316" w:type="dxa"/>
            <w:shd w:val="clear" w:color="auto" w:fill="FDE9D9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7,39</w:t>
            </w:r>
          </w:p>
        </w:tc>
        <w:tc>
          <w:tcPr>
            <w:tcW w:w="1396" w:type="dxa"/>
            <w:shd w:val="clear" w:color="auto" w:fill="FDE9D9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8,28</w:t>
            </w:r>
          </w:p>
        </w:tc>
        <w:tc>
          <w:tcPr>
            <w:tcW w:w="1705" w:type="dxa"/>
            <w:shd w:val="clear" w:color="auto" w:fill="FDE9D9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0,9</w:t>
            </w:r>
          </w:p>
        </w:tc>
        <w:tc>
          <w:tcPr>
            <w:tcW w:w="2130" w:type="dxa"/>
            <w:shd w:val="clear" w:color="auto" w:fill="FDE9D9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112,0</w:t>
            </w:r>
          </w:p>
        </w:tc>
      </w:tr>
      <w:tr w:rsidR="00513E3A" w:rsidRPr="00F017D7" w:rsidTr="00682355">
        <w:trPr>
          <w:trHeight w:val="256"/>
        </w:trPr>
        <w:tc>
          <w:tcPr>
            <w:tcW w:w="10578" w:type="dxa"/>
            <w:gridSpan w:val="6"/>
            <w:shd w:val="clear" w:color="auto" w:fill="auto"/>
          </w:tcPr>
          <w:p w:rsidR="00513E3A" w:rsidRPr="00F017D7" w:rsidRDefault="00513E3A" w:rsidP="00682355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Mlékárenská výroba</w:t>
            </w:r>
          </w:p>
        </w:tc>
      </w:tr>
      <w:tr w:rsidR="00513E3A" w:rsidRPr="00F017D7" w:rsidTr="00682355">
        <w:trPr>
          <w:trHeight w:val="271"/>
        </w:trPr>
        <w:tc>
          <w:tcPr>
            <w:tcW w:w="3177" w:type="dxa"/>
            <w:shd w:val="clear" w:color="auto" w:fill="FDE9D9"/>
          </w:tcPr>
          <w:p w:rsidR="00513E3A" w:rsidRPr="00F017D7" w:rsidRDefault="00513E3A" w:rsidP="00682355">
            <w:pPr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Konzumní mléka celkem</w:t>
            </w:r>
          </w:p>
        </w:tc>
        <w:tc>
          <w:tcPr>
            <w:tcW w:w="854" w:type="dxa"/>
            <w:shd w:val="clear" w:color="auto" w:fill="FDE9D9"/>
          </w:tcPr>
          <w:p w:rsidR="00513E3A" w:rsidRPr="00F017D7" w:rsidRDefault="00513E3A" w:rsidP="00682355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tis. l</w:t>
            </w:r>
          </w:p>
        </w:tc>
        <w:tc>
          <w:tcPr>
            <w:tcW w:w="1316" w:type="dxa"/>
            <w:shd w:val="clear" w:color="auto" w:fill="FDE9D9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564 826,7</w:t>
            </w:r>
          </w:p>
        </w:tc>
        <w:tc>
          <w:tcPr>
            <w:tcW w:w="1396" w:type="dxa"/>
            <w:shd w:val="clear" w:color="auto" w:fill="FDE9D9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570 457,0</w:t>
            </w:r>
          </w:p>
        </w:tc>
        <w:tc>
          <w:tcPr>
            <w:tcW w:w="1705" w:type="dxa"/>
            <w:shd w:val="clear" w:color="auto" w:fill="FDE9D9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5 630,3</w:t>
            </w:r>
          </w:p>
        </w:tc>
        <w:tc>
          <w:tcPr>
            <w:tcW w:w="2130" w:type="dxa"/>
            <w:shd w:val="clear" w:color="auto" w:fill="FDE9D9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101,0</w:t>
            </w:r>
          </w:p>
        </w:tc>
      </w:tr>
      <w:tr w:rsidR="00513E3A" w:rsidRPr="00F017D7" w:rsidTr="00682355">
        <w:trPr>
          <w:trHeight w:val="256"/>
        </w:trPr>
        <w:tc>
          <w:tcPr>
            <w:tcW w:w="3177" w:type="dxa"/>
            <w:shd w:val="clear" w:color="auto" w:fill="auto"/>
          </w:tcPr>
          <w:p w:rsidR="00513E3A" w:rsidRPr="00F017D7" w:rsidRDefault="00513E3A" w:rsidP="00682355">
            <w:pPr>
              <w:rPr>
                <w:sz w:val="20"/>
              </w:rPr>
            </w:pPr>
            <w:r w:rsidRPr="00F017D7">
              <w:rPr>
                <w:sz w:val="20"/>
              </w:rPr>
              <w:t>- čerstvé pasterované</w:t>
            </w:r>
          </w:p>
        </w:tc>
        <w:tc>
          <w:tcPr>
            <w:tcW w:w="854" w:type="dxa"/>
            <w:shd w:val="clear" w:color="auto" w:fill="auto"/>
          </w:tcPr>
          <w:p w:rsidR="00513E3A" w:rsidRPr="00F017D7" w:rsidRDefault="00513E3A" w:rsidP="00682355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316" w:type="dxa"/>
            <w:shd w:val="clear" w:color="auto" w:fill="auto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94 513,0</w:t>
            </w:r>
          </w:p>
        </w:tc>
        <w:tc>
          <w:tcPr>
            <w:tcW w:w="1396" w:type="dxa"/>
            <w:shd w:val="clear" w:color="auto" w:fill="auto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88 810,0</w:t>
            </w:r>
          </w:p>
        </w:tc>
        <w:tc>
          <w:tcPr>
            <w:tcW w:w="1705" w:type="dxa"/>
            <w:shd w:val="clear" w:color="auto" w:fill="auto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-5 703,0</w:t>
            </w:r>
          </w:p>
        </w:tc>
        <w:tc>
          <w:tcPr>
            <w:tcW w:w="2130" w:type="dxa"/>
            <w:shd w:val="clear" w:color="auto" w:fill="auto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94,0</w:t>
            </w:r>
          </w:p>
        </w:tc>
      </w:tr>
      <w:tr w:rsidR="00513E3A" w:rsidRPr="00F017D7" w:rsidTr="00682355">
        <w:trPr>
          <w:trHeight w:val="271"/>
        </w:trPr>
        <w:tc>
          <w:tcPr>
            <w:tcW w:w="3177" w:type="dxa"/>
            <w:shd w:val="clear" w:color="auto" w:fill="auto"/>
          </w:tcPr>
          <w:p w:rsidR="00513E3A" w:rsidRPr="00F017D7" w:rsidRDefault="00513E3A" w:rsidP="00682355">
            <w:pPr>
              <w:rPr>
                <w:sz w:val="20"/>
              </w:rPr>
            </w:pPr>
            <w:r w:rsidRPr="00F017D7">
              <w:rPr>
                <w:sz w:val="20"/>
              </w:rPr>
              <w:t>- trvanlivé</w:t>
            </w:r>
          </w:p>
        </w:tc>
        <w:tc>
          <w:tcPr>
            <w:tcW w:w="854" w:type="dxa"/>
            <w:shd w:val="clear" w:color="auto" w:fill="auto"/>
          </w:tcPr>
          <w:p w:rsidR="00513E3A" w:rsidRPr="00F017D7" w:rsidRDefault="00513E3A" w:rsidP="00682355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316" w:type="dxa"/>
            <w:shd w:val="clear" w:color="auto" w:fill="auto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468 240,6</w:t>
            </w:r>
          </w:p>
        </w:tc>
        <w:tc>
          <w:tcPr>
            <w:tcW w:w="1396" w:type="dxa"/>
            <w:shd w:val="clear" w:color="auto" w:fill="auto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479 865,9</w:t>
            </w:r>
          </w:p>
        </w:tc>
        <w:tc>
          <w:tcPr>
            <w:tcW w:w="1705" w:type="dxa"/>
            <w:shd w:val="clear" w:color="auto" w:fill="auto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11 625,3</w:t>
            </w:r>
          </w:p>
        </w:tc>
        <w:tc>
          <w:tcPr>
            <w:tcW w:w="2130" w:type="dxa"/>
            <w:shd w:val="clear" w:color="auto" w:fill="auto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102,5</w:t>
            </w:r>
          </w:p>
        </w:tc>
      </w:tr>
      <w:tr w:rsidR="00513E3A" w:rsidRPr="00CF7A31" w:rsidTr="006822A0">
        <w:trPr>
          <w:trHeight w:val="256"/>
        </w:trPr>
        <w:tc>
          <w:tcPr>
            <w:tcW w:w="3177" w:type="dxa"/>
            <w:shd w:val="clear" w:color="auto" w:fill="auto"/>
          </w:tcPr>
          <w:p w:rsidR="00513E3A" w:rsidRPr="006822A0" w:rsidRDefault="00513E3A" w:rsidP="00682355">
            <w:pPr>
              <w:rPr>
                <w:i/>
                <w:sz w:val="20"/>
                <w:vertAlign w:val="superscript"/>
              </w:rPr>
            </w:pPr>
            <w:r w:rsidRPr="006822A0">
              <w:rPr>
                <w:i/>
                <w:sz w:val="20"/>
              </w:rPr>
              <w:t>- školní</w:t>
            </w:r>
            <w:r w:rsidRPr="006822A0">
              <w:rPr>
                <w:i/>
                <w:sz w:val="20"/>
                <w:vertAlign w:val="superscript"/>
              </w:rPr>
              <w:t>*)</w:t>
            </w:r>
          </w:p>
        </w:tc>
        <w:tc>
          <w:tcPr>
            <w:tcW w:w="854" w:type="dxa"/>
            <w:shd w:val="clear" w:color="auto" w:fill="auto"/>
          </w:tcPr>
          <w:p w:rsidR="00513E3A" w:rsidRPr="006822A0" w:rsidRDefault="00513E3A" w:rsidP="00682355">
            <w:pPr>
              <w:jc w:val="center"/>
              <w:rPr>
                <w:i/>
                <w:sz w:val="20"/>
              </w:rPr>
            </w:pPr>
            <w:r w:rsidRPr="006822A0">
              <w:rPr>
                <w:i/>
                <w:sz w:val="20"/>
              </w:rPr>
              <w:t>tis. l</w:t>
            </w:r>
          </w:p>
        </w:tc>
        <w:tc>
          <w:tcPr>
            <w:tcW w:w="1316" w:type="dxa"/>
            <w:shd w:val="clear" w:color="auto" w:fill="auto"/>
          </w:tcPr>
          <w:p w:rsidR="00513E3A" w:rsidRDefault="00513E3A">
            <w:pPr>
              <w:jc w:val="right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2 073,1</w:t>
            </w:r>
          </w:p>
        </w:tc>
        <w:tc>
          <w:tcPr>
            <w:tcW w:w="1396" w:type="dxa"/>
            <w:shd w:val="clear" w:color="auto" w:fill="auto"/>
          </w:tcPr>
          <w:p w:rsidR="00513E3A" w:rsidRDefault="00513E3A">
            <w:pPr>
              <w:jc w:val="right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1 780,9</w:t>
            </w:r>
          </w:p>
        </w:tc>
        <w:tc>
          <w:tcPr>
            <w:tcW w:w="1705" w:type="dxa"/>
            <w:shd w:val="clear" w:color="auto" w:fill="auto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-292,2</w:t>
            </w:r>
          </w:p>
        </w:tc>
        <w:tc>
          <w:tcPr>
            <w:tcW w:w="2130" w:type="dxa"/>
            <w:shd w:val="clear" w:color="auto" w:fill="auto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85,9</w:t>
            </w:r>
          </w:p>
        </w:tc>
      </w:tr>
      <w:tr w:rsidR="00513E3A" w:rsidRPr="00CF7A31" w:rsidTr="00682355">
        <w:trPr>
          <w:trHeight w:val="271"/>
        </w:trPr>
        <w:tc>
          <w:tcPr>
            <w:tcW w:w="3177" w:type="dxa"/>
            <w:shd w:val="clear" w:color="auto" w:fill="FDE9D9"/>
          </w:tcPr>
          <w:p w:rsidR="00513E3A" w:rsidRPr="00CF7A31" w:rsidRDefault="00513E3A" w:rsidP="00682355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Konzumní smetany</w:t>
            </w:r>
          </w:p>
        </w:tc>
        <w:tc>
          <w:tcPr>
            <w:tcW w:w="854" w:type="dxa"/>
            <w:shd w:val="clear" w:color="auto" w:fill="FDE9D9"/>
          </w:tcPr>
          <w:p w:rsidR="00513E3A" w:rsidRPr="00CF7A31" w:rsidRDefault="00513E3A" w:rsidP="00682355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316" w:type="dxa"/>
            <w:shd w:val="clear" w:color="auto" w:fill="FDE9D9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46 877,7</w:t>
            </w:r>
          </w:p>
        </w:tc>
        <w:tc>
          <w:tcPr>
            <w:tcW w:w="1396" w:type="dxa"/>
            <w:shd w:val="clear" w:color="auto" w:fill="FDE9D9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43 192,2</w:t>
            </w:r>
          </w:p>
        </w:tc>
        <w:tc>
          <w:tcPr>
            <w:tcW w:w="1705" w:type="dxa"/>
            <w:shd w:val="clear" w:color="auto" w:fill="FDE9D9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-3 685,5</w:t>
            </w:r>
          </w:p>
        </w:tc>
        <w:tc>
          <w:tcPr>
            <w:tcW w:w="2130" w:type="dxa"/>
            <w:shd w:val="clear" w:color="auto" w:fill="FDE9D9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92,1</w:t>
            </w:r>
          </w:p>
        </w:tc>
      </w:tr>
      <w:tr w:rsidR="00513E3A" w:rsidRPr="00CF7A31" w:rsidTr="00682355">
        <w:trPr>
          <w:trHeight w:val="256"/>
        </w:trPr>
        <w:tc>
          <w:tcPr>
            <w:tcW w:w="3177" w:type="dxa"/>
            <w:shd w:val="clear" w:color="auto" w:fill="auto"/>
          </w:tcPr>
          <w:p w:rsidR="00513E3A" w:rsidRPr="00CF7A31" w:rsidRDefault="00513E3A" w:rsidP="00682355">
            <w:pPr>
              <w:rPr>
                <w:sz w:val="20"/>
              </w:rPr>
            </w:pPr>
            <w:r>
              <w:rPr>
                <w:sz w:val="20"/>
              </w:rPr>
              <w:t xml:space="preserve">Z toho: </w:t>
            </w:r>
            <w:r w:rsidRPr="00CF7A31">
              <w:rPr>
                <w:sz w:val="20"/>
              </w:rPr>
              <w:t>- kysané</w:t>
            </w:r>
          </w:p>
        </w:tc>
        <w:tc>
          <w:tcPr>
            <w:tcW w:w="854" w:type="dxa"/>
            <w:shd w:val="clear" w:color="auto" w:fill="auto"/>
          </w:tcPr>
          <w:p w:rsidR="00513E3A" w:rsidRPr="00CF7A31" w:rsidRDefault="00513E3A" w:rsidP="00682355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tis. l</w:t>
            </w:r>
          </w:p>
        </w:tc>
        <w:tc>
          <w:tcPr>
            <w:tcW w:w="1316" w:type="dxa"/>
            <w:shd w:val="clear" w:color="auto" w:fill="auto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16 093,4</w:t>
            </w:r>
          </w:p>
        </w:tc>
        <w:tc>
          <w:tcPr>
            <w:tcW w:w="1396" w:type="dxa"/>
            <w:shd w:val="clear" w:color="auto" w:fill="auto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15 352,4</w:t>
            </w:r>
          </w:p>
        </w:tc>
        <w:tc>
          <w:tcPr>
            <w:tcW w:w="1705" w:type="dxa"/>
            <w:shd w:val="clear" w:color="auto" w:fill="auto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-741,0</w:t>
            </w:r>
          </w:p>
        </w:tc>
        <w:tc>
          <w:tcPr>
            <w:tcW w:w="2130" w:type="dxa"/>
            <w:shd w:val="clear" w:color="auto" w:fill="auto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95,4</w:t>
            </w:r>
          </w:p>
        </w:tc>
      </w:tr>
      <w:tr w:rsidR="00513E3A" w:rsidRPr="00CF7A31" w:rsidTr="00682355">
        <w:trPr>
          <w:trHeight w:val="271"/>
        </w:trPr>
        <w:tc>
          <w:tcPr>
            <w:tcW w:w="3177" w:type="dxa"/>
            <w:shd w:val="clear" w:color="auto" w:fill="auto"/>
          </w:tcPr>
          <w:p w:rsidR="00513E3A" w:rsidRPr="00CF7A31" w:rsidRDefault="00513E3A" w:rsidP="00682355">
            <w:pPr>
              <w:rPr>
                <w:sz w:val="20"/>
              </w:rPr>
            </w:pPr>
            <w:r w:rsidRPr="00CF7A31">
              <w:rPr>
                <w:sz w:val="20"/>
              </w:rPr>
              <w:t>-- smetany s </w:t>
            </w:r>
            <w:proofErr w:type="spellStart"/>
            <w:r w:rsidRPr="00CF7A31">
              <w:rPr>
                <w:sz w:val="20"/>
              </w:rPr>
              <w:t>obs</w:t>
            </w:r>
            <w:proofErr w:type="spellEnd"/>
            <w:r w:rsidRPr="00CF7A31">
              <w:rPr>
                <w:sz w:val="20"/>
              </w:rPr>
              <w:t xml:space="preserve">. tuku </w:t>
            </w:r>
            <w:proofErr w:type="spellStart"/>
            <w:r w:rsidRPr="00CF7A31">
              <w:rPr>
                <w:sz w:val="20"/>
              </w:rPr>
              <w:t>nejm</w:t>
            </w:r>
            <w:proofErr w:type="spellEnd"/>
            <w:r w:rsidRPr="00CF7A31">
              <w:rPr>
                <w:sz w:val="20"/>
              </w:rPr>
              <w:t>. 30 %</w:t>
            </w:r>
          </w:p>
        </w:tc>
        <w:tc>
          <w:tcPr>
            <w:tcW w:w="854" w:type="dxa"/>
            <w:shd w:val="clear" w:color="auto" w:fill="auto"/>
          </w:tcPr>
          <w:p w:rsidR="00513E3A" w:rsidRPr="00CF7A31" w:rsidRDefault="00513E3A" w:rsidP="00682355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tis. l</w:t>
            </w:r>
          </w:p>
        </w:tc>
        <w:tc>
          <w:tcPr>
            <w:tcW w:w="1316" w:type="dxa"/>
            <w:shd w:val="clear" w:color="auto" w:fill="auto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19 533,9</w:t>
            </w:r>
          </w:p>
        </w:tc>
        <w:tc>
          <w:tcPr>
            <w:tcW w:w="1396" w:type="dxa"/>
            <w:shd w:val="clear" w:color="auto" w:fill="auto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17 235,9</w:t>
            </w:r>
          </w:p>
        </w:tc>
        <w:tc>
          <w:tcPr>
            <w:tcW w:w="1705" w:type="dxa"/>
            <w:shd w:val="clear" w:color="auto" w:fill="auto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-2 298,0</w:t>
            </w:r>
          </w:p>
        </w:tc>
        <w:tc>
          <w:tcPr>
            <w:tcW w:w="2130" w:type="dxa"/>
            <w:shd w:val="clear" w:color="auto" w:fill="auto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88,2</w:t>
            </w:r>
          </w:p>
        </w:tc>
      </w:tr>
      <w:tr w:rsidR="00513E3A" w:rsidRPr="00CF7A31" w:rsidTr="00682355">
        <w:trPr>
          <w:trHeight w:val="256"/>
        </w:trPr>
        <w:tc>
          <w:tcPr>
            <w:tcW w:w="3177" w:type="dxa"/>
            <w:shd w:val="clear" w:color="auto" w:fill="FDE9D9"/>
          </w:tcPr>
          <w:p w:rsidR="00513E3A" w:rsidRPr="00CF7A31" w:rsidRDefault="00513E3A" w:rsidP="00682355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Jogurty</w:t>
            </w:r>
          </w:p>
        </w:tc>
        <w:tc>
          <w:tcPr>
            <w:tcW w:w="854" w:type="dxa"/>
            <w:shd w:val="clear" w:color="auto" w:fill="FDE9D9"/>
          </w:tcPr>
          <w:p w:rsidR="00513E3A" w:rsidRPr="00CF7A31" w:rsidRDefault="00513E3A" w:rsidP="00682355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316" w:type="dxa"/>
            <w:shd w:val="clear" w:color="auto" w:fill="FDE9D9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131 119,6</w:t>
            </w:r>
          </w:p>
        </w:tc>
        <w:tc>
          <w:tcPr>
            <w:tcW w:w="1396" w:type="dxa"/>
            <w:shd w:val="clear" w:color="auto" w:fill="FDE9D9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124 072,4</w:t>
            </w:r>
          </w:p>
        </w:tc>
        <w:tc>
          <w:tcPr>
            <w:tcW w:w="1705" w:type="dxa"/>
            <w:shd w:val="clear" w:color="auto" w:fill="FDE9D9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-7 047,2</w:t>
            </w:r>
          </w:p>
        </w:tc>
        <w:tc>
          <w:tcPr>
            <w:tcW w:w="2130" w:type="dxa"/>
            <w:shd w:val="clear" w:color="auto" w:fill="FDE9D9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94,6</w:t>
            </w:r>
          </w:p>
        </w:tc>
      </w:tr>
      <w:tr w:rsidR="00513E3A" w:rsidRPr="00CF7A31" w:rsidTr="00682355">
        <w:trPr>
          <w:trHeight w:val="271"/>
        </w:trPr>
        <w:tc>
          <w:tcPr>
            <w:tcW w:w="3177" w:type="dxa"/>
            <w:shd w:val="clear" w:color="auto" w:fill="FDE9D9"/>
          </w:tcPr>
          <w:p w:rsidR="00513E3A" w:rsidRPr="00CF7A31" w:rsidRDefault="00513E3A" w:rsidP="00682355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Kysané výrobky ostatní celkem</w:t>
            </w:r>
          </w:p>
        </w:tc>
        <w:tc>
          <w:tcPr>
            <w:tcW w:w="854" w:type="dxa"/>
            <w:shd w:val="clear" w:color="auto" w:fill="FDE9D9"/>
          </w:tcPr>
          <w:p w:rsidR="00513E3A" w:rsidRPr="00CF7A31" w:rsidRDefault="00513E3A" w:rsidP="00682355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316" w:type="dxa"/>
            <w:shd w:val="clear" w:color="auto" w:fill="FDE9D9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53 861,0</w:t>
            </w:r>
          </w:p>
        </w:tc>
        <w:tc>
          <w:tcPr>
            <w:tcW w:w="1396" w:type="dxa"/>
            <w:shd w:val="clear" w:color="auto" w:fill="FDE9D9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52 456,7</w:t>
            </w:r>
          </w:p>
        </w:tc>
        <w:tc>
          <w:tcPr>
            <w:tcW w:w="1705" w:type="dxa"/>
            <w:shd w:val="clear" w:color="auto" w:fill="FDE9D9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-1 404,3</w:t>
            </w:r>
          </w:p>
        </w:tc>
        <w:tc>
          <w:tcPr>
            <w:tcW w:w="2130" w:type="dxa"/>
            <w:shd w:val="clear" w:color="auto" w:fill="FDE9D9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97,4</w:t>
            </w:r>
          </w:p>
        </w:tc>
      </w:tr>
      <w:tr w:rsidR="00513E3A" w:rsidRPr="00CF7A31" w:rsidTr="00682355">
        <w:trPr>
          <w:trHeight w:val="256"/>
        </w:trPr>
        <w:tc>
          <w:tcPr>
            <w:tcW w:w="3177" w:type="dxa"/>
            <w:shd w:val="clear" w:color="auto" w:fill="auto"/>
          </w:tcPr>
          <w:p w:rsidR="00513E3A" w:rsidRPr="00CF7A31" w:rsidRDefault="00513E3A" w:rsidP="00682355">
            <w:pPr>
              <w:rPr>
                <w:sz w:val="20"/>
              </w:rPr>
            </w:pPr>
            <w:r w:rsidRPr="00CF7A31">
              <w:rPr>
                <w:sz w:val="20"/>
              </w:rPr>
              <w:t>- podmáslí, mléčné nápoje</w:t>
            </w:r>
          </w:p>
        </w:tc>
        <w:tc>
          <w:tcPr>
            <w:tcW w:w="854" w:type="dxa"/>
            <w:shd w:val="clear" w:color="auto" w:fill="auto"/>
          </w:tcPr>
          <w:p w:rsidR="00513E3A" w:rsidRPr="00CF7A31" w:rsidRDefault="00513E3A" w:rsidP="00682355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tis. l</w:t>
            </w:r>
          </w:p>
        </w:tc>
        <w:tc>
          <w:tcPr>
            <w:tcW w:w="1316" w:type="dxa"/>
            <w:shd w:val="clear" w:color="auto" w:fill="auto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24 148,4</w:t>
            </w:r>
          </w:p>
        </w:tc>
        <w:tc>
          <w:tcPr>
            <w:tcW w:w="1396" w:type="dxa"/>
            <w:shd w:val="clear" w:color="auto" w:fill="auto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22 834,3</w:t>
            </w:r>
          </w:p>
        </w:tc>
        <w:tc>
          <w:tcPr>
            <w:tcW w:w="1705" w:type="dxa"/>
            <w:shd w:val="clear" w:color="auto" w:fill="auto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-1 314,1</w:t>
            </w:r>
          </w:p>
        </w:tc>
        <w:tc>
          <w:tcPr>
            <w:tcW w:w="2130" w:type="dxa"/>
            <w:shd w:val="clear" w:color="auto" w:fill="auto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94,6</w:t>
            </w:r>
          </w:p>
        </w:tc>
      </w:tr>
      <w:tr w:rsidR="00513E3A" w:rsidRPr="00CF7A31" w:rsidTr="00682355">
        <w:trPr>
          <w:trHeight w:val="271"/>
        </w:trPr>
        <w:tc>
          <w:tcPr>
            <w:tcW w:w="3177" w:type="dxa"/>
            <w:shd w:val="clear" w:color="auto" w:fill="auto"/>
          </w:tcPr>
          <w:p w:rsidR="00513E3A" w:rsidRPr="00CF7A31" w:rsidRDefault="00513E3A" w:rsidP="00682355">
            <w:pPr>
              <w:rPr>
                <w:sz w:val="20"/>
              </w:rPr>
            </w:pPr>
            <w:r w:rsidRPr="00CF7A31">
              <w:rPr>
                <w:sz w:val="20"/>
              </w:rPr>
              <w:t xml:space="preserve">- ostatní </w:t>
            </w:r>
          </w:p>
        </w:tc>
        <w:tc>
          <w:tcPr>
            <w:tcW w:w="854" w:type="dxa"/>
            <w:shd w:val="clear" w:color="auto" w:fill="auto"/>
          </w:tcPr>
          <w:p w:rsidR="00513E3A" w:rsidRPr="00CF7A31" w:rsidRDefault="00513E3A" w:rsidP="00682355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tis. l</w:t>
            </w:r>
          </w:p>
        </w:tc>
        <w:tc>
          <w:tcPr>
            <w:tcW w:w="1316" w:type="dxa"/>
            <w:shd w:val="clear" w:color="auto" w:fill="auto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29 712,6</w:t>
            </w:r>
          </w:p>
        </w:tc>
        <w:tc>
          <w:tcPr>
            <w:tcW w:w="1396" w:type="dxa"/>
            <w:shd w:val="clear" w:color="auto" w:fill="auto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29 622,4</w:t>
            </w:r>
          </w:p>
        </w:tc>
        <w:tc>
          <w:tcPr>
            <w:tcW w:w="1705" w:type="dxa"/>
            <w:shd w:val="clear" w:color="auto" w:fill="auto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-90,2</w:t>
            </w:r>
          </w:p>
        </w:tc>
        <w:tc>
          <w:tcPr>
            <w:tcW w:w="2130" w:type="dxa"/>
            <w:shd w:val="clear" w:color="auto" w:fill="auto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99,7</w:t>
            </w:r>
          </w:p>
        </w:tc>
      </w:tr>
      <w:tr w:rsidR="00513E3A" w:rsidRPr="00CF7A31" w:rsidTr="00682355">
        <w:trPr>
          <w:trHeight w:val="256"/>
        </w:trPr>
        <w:tc>
          <w:tcPr>
            <w:tcW w:w="3177" w:type="dxa"/>
            <w:shd w:val="clear" w:color="auto" w:fill="FDE9D9"/>
          </w:tcPr>
          <w:p w:rsidR="00513E3A" w:rsidRPr="00CF7A31" w:rsidRDefault="00513E3A" w:rsidP="00682355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Máslo celkem</w:t>
            </w:r>
          </w:p>
        </w:tc>
        <w:tc>
          <w:tcPr>
            <w:tcW w:w="854" w:type="dxa"/>
            <w:shd w:val="clear" w:color="auto" w:fill="FDE9D9"/>
          </w:tcPr>
          <w:p w:rsidR="00513E3A" w:rsidRPr="00CF7A31" w:rsidRDefault="00513E3A" w:rsidP="00682355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316" w:type="dxa"/>
            <w:shd w:val="clear" w:color="auto" w:fill="FDE9D9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37 024,3</w:t>
            </w:r>
          </w:p>
        </w:tc>
        <w:tc>
          <w:tcPr>
            <w:tcW w:w="1396" w:type="dxa"/>
            <w:shd w:val="clear" w:color="auto" w:fill="FDE9D9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35 578,4</w:t>
            </w:r>
          </w:p>
        </w:tc>
        <w:tc>
          <w:tcPr>
            <w:tcW w:w="1705" w:type="dxa"/>
            <w:shd w:val="clear" w:color="auto" w:fill="FDE9D9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-1 445,9</w:t>
            </w:r>
          </w:p>
        </w:tc>
        <w:tc>
          <w:tcPr>
            <w:tcW w:w="2130" w:type="dxa"/>
            <w:shd w:val="clear" w:color="auto" w:fill="FDE9D9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96,1</w:t>
            </w:r>
          </w:p>
        </w:tc>
      </w:tr>
      <w:tr w:rsidR="00513E3A" w:rsidRPr="00CF7A31" w:rsidTr="00682355">
        <w:trPr>
          <w:trHeight w:val="271"/>
        </w:trPr>
        <w:tc>
          <w:tcPr>
            <w:tcW w:w="3177" w:type="dxa"/>
            <w:shd w:val="clear" w:color="auto" w:fill="FDE9D9"/>
          </w:tcPr>
          <w:p w:rsidR="00513E3A" w:rsidRPr="00CF7A31" w:rsidRDefault="00513E3A" w:rsidP="00682355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Tvarohy</w:t>
            </w:r>
          </w:p>
        </w:tc>
        <w:tc>
          <w:tcPr>
            <w:tcW w:w="854" w:type="dxa"/>
            <w:shd w:val="clear" w:color="auto" w:fill="FDE9D9"/>
          </w:tcPr>
          <w:p w:rsidR="00513E3A" w:rsidRPr="00CF7A31" w:rsidRDefault="00513E3A" w:rsidP="00682355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316" w:type="dxa"/>
            <w:shd w:val="clear" w:color="auto" w:fill="FDE9D9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27 772,2</w:t>
            </w:r>
          </w:p>
        </w:tc>
        <w:tc>
          <w:tcPr>
            <w:tcW w:w="1396" w:type="dxa"/>
            <w:shd w:val="clear" w:color="auto" w:fill="FDE9D9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28 587,1</w:t>
            </w:r>
          </w:p>
        </w:tc>
        <w:tc>
          <w:tcPr>
            <w:tcW w:w="1705" w:type="dxa"/>
            <w:shd w:val="clear" w:color="auto" w:fill="FDE9D9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814,9</w:t>
            </w:r>
          </w:p>
        </w:tc>
        <w:tc>
          <w:tcPr>
            <w:tcW w:w="2130" w:type="dxa"/>
            <w:shd w:val="clear" w:color="auto" w:fill="FDE9D9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102,9</w:t>
            </w:r>
          </w:p>
        </w:tc>
      </w:tr>
      <w:tr w:rsidR="00513E3A" w:rsidRPr="00CF7A31" w:rsidTr="00682355">
        <w:trPr>
          <w:trHeight w:val="256"/>
        </w:trPr>
        <w:tc>
          <w:tcPr>
            <w:tcW w:w="3177" w:type="dxa"/>
            <w:shd w:val="clear" w:color="auto" w:fill="FDE9D9"/>
          </w:tcPr>
          <w:p w:rsidR="00513E3A" w:rsidRPr="00CF7A31" w:rsidRDefault="00513E3A" w:rsidP="00682355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Sýry celkem</w:t>
            </w:r>
          </w:p>
        </w:tc>
        <w:tc>
          <w:tcPr>
            <w:tcW w:w="854" w:type="dxa"/>
            <w:shd w:val="clear" w:color="auto" w:fill="FDE9D9"/>
          </w:tcPr>
          <w:p w:rsidR="00513E3A" w:rsidRPr="00CF7A31" w:rsidRDefault="00513E3A" w:rsidP="00682355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316" w:type="dxa"/>
            <w:shd w:val="clear" w:color="auto" w:fill="FDE9D9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88 173,6</w:t>
            </w:r>
          </w:p>
        </w:tc>
        <w:tc>
          <w:tcPr>
            <w:tcW w:w="1396" w:type="dxa"/>
            <w:shd w:val="clear" w:color="auto" w:fill="FDE9D9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85 991,0</w:t>
            </w:r>
          </w:p>
        </w:tc>
        <w:tc>
          <w:tcPr>
            <w:tcW w:w="1705" w:type="dxa"/>
            <w:shd w:val="clear" w:color="auto" w:fill="FDE9D9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-2 182,6</w:t>
            </w:r>
          </w:p>
        </w:tc>
        <w:tc>
          <w:tcPr>
            <w:tcW w:w="2130" w:type="dxa"/>
            <w:shd w:val="clear" w:color="auto" w:fill="FDE9D9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97,5</w:t>
            </w:r>
          </w:p>
        </w:tc>
      </w:tr>
      <w:tr w:rsidR="00513E3A" w:rsidRPr="00CF7A31" w:rsidTr="00682355">
        <w:trPr>
          <w:trHeight w:val="256"/>
        </w:trPr>
        <w:tc>
          <w:tcPr>
            <w:tcW w:w="3177" w:type="dxa"/>
            <w:shd w:val="clear" w:color="auto" w:fill="auto"/>
          </w:tcPr>
          <w:p w:rsidR="00513E3A" w:rsidRPr="00CF7A31" w:rsidRDefault="00513E3A" w:rsidP="00682355">
            <w:pPr>
              <w:rPr>
                <w:sz w:val="20"/>
              </w:rPr>
            </w:pPr>
            <w:r w:rsidRPr="00CF7A31">
              <w:rPr>
                <w:sz w:val="20"/>
              </w:rPr>
              <w:t>- přírodní</w:t>
            </w:r>
          </w:p>
        </w:tc>
        <w:tc>
          <w:tcPr>
            <w:tcW w:w="854" w:type="dxa"/>
            <w:shd w:val="clear" w:color="auto" w:fill="auto"/>
          </w:tcPr>
          <w:p w:rsidR="00513E3A" w:rsidRPr="00CF7A31" w:rsidRDefault="00513E3A" w:rsidP="00682355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316" w:type="dxa"/>
            <w:shd w:val="clear" w:color="auto" w:fill="auto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74 119,2</w:t>
            </w:r>
          </w:p>
        </w:tc>
        <w:tc>
          <w:tcPr>
            <w:tcW w:w="1396" w:type="dxa"/>
            <w:shd w:val="clear" w:color="auto" w:fill="auto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73 058,8</w:t>
            </w:r>
          </w:p>
        </w:tc>
        <w:tc>
          <w:tcPr>
            <w:tcW w:w="1705" w:type="dxa"/>
            <w:shd w:val="clear" w:color="auto" w:fill="auto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-1 060,4</w:t>
            </w:r>
          </w:p>
        </w:tc>
        <w:tc>
          <w:tcPr>
            <w:tcW w:w="2130" w:type="dxa"/>
            <w:shd w:val="clear" w:color="auto" w:fill="auto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98,6</w:t>
            </w:r>
          </w:p>
        </w:tc>
      </w:tr>
      <w:tr w:rsidR="00513E3A" w:rsidRPr="00CF7A31" w:rsidTr="00682355">
        <w:trPr>
          <w:trHeight w:val="271"/>
        </w:trPr>
        <w:tc>
          <w:tcPr>
            <w:tcW w:w="3177" w:type="dxa"/>
            <w:shd w:val="clear" w:color="auto" w:fill="auto"/>
          </w:tcPr>
          <w:p w:rsidR="00513E3A" w:rsidRPr="00CF7A31" w:rsidRDefault="00513E3A" w:rsidP="00682355">
            <w:pPr>
              <w:rPr>
                <w:sz w:val="20"/>
              </w:rPr>
            </w:pPr>
            <w:r w:rsidRPr="00CF7A31">
              <w:rPr>
                <w:sz w:val="20"/>
              </w:rPr>
              <w:t>- tavené</w:t>
            </w:r>
          </w:p>
        </w:tc>
        <w:tc>
          <w:tcPr>
            <w:tcW w:w="854" w:type="dxa"/>
            <w:shd w:val="clear" w:color="auto" w:fill="auto"/>
          </w:tcPr>
          <w:p w:rsidR="00513E3A" w:rsidRPr="00CF7A31" w:rsidRDefault="00513E3A" w:rsidP="00682355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316" w:type="dxa"/>
            <w:shd w:val="clear" w:color="auto" w:fill="auto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14 054,4</w:t>
            </w:r>
          </w:p>
        </w:tc>
        <w:tc>
          <w:tcPr>
            <w:tcW w:w="1396" w:type="dxa"/>
            <w:shd w:val="clear" w:color="auto" w:fill="auto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12 932,2</w:t>
            </w:r>
          </w:p>
        </w:tc>
        <w:tc>
          <w:tcPr>
            <w:tcW w:w="1705" w:type="dxa"/>
            <w:shd w:val="clear" w:color="auto" w:fill="auto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-1 122,2</w:t>
            </w:r>
          </w:p>
        </w:tc>
        <w:tc>
          <w:tcPr>
            <w:tcW w:w="2130" w:type="dxa"/>
            <w:shd w:val="clear" w:color="auto" w:fill="auto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92,0</w:t>
            </w:r>
          </w:p>
        </w:tc>
      </w:tr>
      <w:tr w:rsidR="00513E3A" w:rsidRPr="00CF7A31" w:rsidTr="00682355">
        <w:trPr>
          <w:trHeight w:val="256"/>
        </w:trPr>
        <w:tc>
          <w:tcPr>
            <w:tcW w:w="3177" w:type="dxa"/>
            <w:shd w:val="clear" w:color="auto" w:fill="FDE9D9"/>
          </w:tcPr>
          <w:p w:rsidR="00513E3A" w:rsidRPr="00CF7A31" w:rsidRDefault="00513E3A" w:rsidP="00682355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Smetanové krémy</w:t>
            </w:r>
          </w:p>
        </w:tc>
        <w:tc>
          <w:tcPr>
            <w:tcW w:w="854" w:type="dxa"/>
            <w:shd w:val="clear" w:color="auto" w:fill="FDE9D9"/>
          </w:tcPr>
          <w:p w:rsidR="00513E3A" w:rsidRPr="00CF7A31" w:rsidRDefault="00513E3A" w:rsidP="00682355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316" w:type="dxa"/>
            <w:shd w:val="clear" w:color="auto" w:fill="FDE9D9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11 539,8</w:t>
            </w:r>
          </w:p>
        </w:tc>
        <w:tc>
          <w:tcPr>
            <w:tcW w:w="1396" w:type="dxa"/>
            <w:shd w:val="clear" w:color="auto" w:fill="FDE9D9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11 378,2</w:t>
            </w:r>
          </w:p>
        </w:tc>
        <w:tc>
          <w:tcPr>
            <w:tcW w:w="1705" w:type="dxa"/>
            <w:shd w:val="clear" w:color="auto" w:fill="FDE9D9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-161,6</w:t>
            </w:r>
          </w:p>
        </w:tc>
        <w:tc>
          <w:tcPr>
            <w:tcW w:w="2130" w:type="dxa"/>
            <w:shd w:val="clear" w:color="auto" w:fill="FDE9D9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98,6</w:t>
            </w:r>
          </w:p>
        </w:tc>
      </w:tr>
      <w:tr w:rsidR="00513E3A" w:rsidRPr="00CF7A31" w:rsidTr="00682355">
        <w:trPr>
          <w:trHeight w:val="271"/>
        </w:trPr>
        <w:tc>
          <w:tcPr>
            <w:tcW w:w="3177" w:type="dxa"/>
            <w:shd w:val="clear" w:color="auto" w:fill="FDE9D9"/>
          </w:tcPr>
          <w:p w:rsidR="00513E3A" w:rsidRPr="00CF7A31" w:rsidRDefault="00513E3A" w:rsidP="00682355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Tvarohové dezerty</w:t>
            </w:r>
          </w:p>
        </w:tc>
        <w:tc>
          <w:tcPr>
            <w:tcW w:w="854" w:type="dxa"/>
            <w:shd w:val="clear" w:color="auto" w:fill="FDE9D9"/>
          </w:tcPr>
          <w:p w:rsidR="00513E3A" w:rsidRPr="00CF7A31" w:rsidRDefault="00513E3A" w:rsidP="00682355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316" w:type="dxa"/>
            <w:shd w:val="clear" w:color="auto" w:fill="FDE9D9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3 122,2</w:t>
            </w:r>
          </w:p>
        </w:tc>
        <w:tc>
          <w:tcPr>
            <w:tcW w:w="1396" w:type="dxa"/>
            <w:shd w:val="clear" w:color="auto" w:fill="FDE9D9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3 603,5</w:t>
            </w:r>
          </w:p>
        </w:tc>
        <w:tc>
          <w:tcPr>
            <w:tcW w:w="1705" w:type="dxa"/>
            <w:shd w:val="clear" w:color="auto" w:fill="FDE9D9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481,3</w:t>
            </w:r>
          </w:p>
        </w:tc>
        <w:tc>
          <w:tcPr>
            <w:tcW w:w="2130" w:type="dxa"/>
            <w:shd w:val="clear" w:color="auto" w:fill="FDE9D9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115,4</w:t>
            </w:r>
          </w:p>
        </w:tc>
      </w:tr>
      <w:tr w:rsidR="00513E3A" w:rsidRPr="00CF7A31" w:rsidTr="00682355">
        <w:trPr>
          <w:trHeight w:val="256"/>
        </w:trPr>
        <w:tc>
          <w:tcPr>
            <w:tcW w:w="3177" w:type="dxa"/>
            <w:shd w:val="clear" w:color="auto" w:fill="FDE9D9"/>
          </w:tcPr>
          <w:p w:rsidR="00513E3A" w:rsidRPr="00CF7A31" w:rsidRDefault="00513E3A" w:rsidP="00682355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Mléčné dezerty (pudinky apod.)</w:t>
            </w:r>
          </w:p>
        </w:tc>
        <w:tc>
          <w:tcPr>
            <w:tcW w:w="854" w:type="dxa"/>
            <w:shd w:val="clear" w:color="auto" w:fill="FDE9D9"/>
          </w:tcPr>
          <w:p w:rsidR="00513E3A" w:rsidRPr="00CF7A31" w:rsidRDefault="00513E3A" w:rsidP="00682355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316" w:type="dxa"/>
            <w:shd w:val="clear" w:color="auto" w:fill="FDE9D9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9 545,0</w:t>
            </w:r>
          </w:p>
        </w:tc>
        <w:tc>
          <w:tcPr>
            <w:tcW w:w="1396" w:type="dxa"/>
            <w:shd w:val="clear" w:color="auto" w:fill="FDE9D9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9 478,5</w:t>
            </w:r>
          </w:p>
        </w:tc>
        <w:tc>
          <w:tcPr>
            <w:tcW w:w="1705" w:type="dxa"/>
            <w:shd w:val="clear" w:color="auto" w:fill="FDE9D9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-66,5</w:t>
            </w:r>
          </w:p>
        </w:tc>
        <w:tc>
          <w:tcPr>
            <w:tcW w:w="2130" w:type="dxa"/>
            <w:shd w:val="clear" w:color="auto" w:fill="FDE9D9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99,3</w:t>
            </w:r>
          </w:p>
        </w:tc>
      </w:tr>
      <w:tr w:rsidR="00513E3A" w:rsidRPr="00CF7A31" w:rsidTr="00682355">
        <w:trPr>
          <w:trHeight w:val="256"/>
        </w:trPr>
        <w:tc>
          <w:tcPr>
            <w:tcW w:w="3177" w:type="dxa"/>
            <w:shd w:val="clear" w:color="auto" w:fill="FDE9D9"/>
          </w:tcPr>
          <w:p w:rsidR="00513E3A" w:rsidRPr="00CF7A31" w:rsidRDefault="00513E3A" w:rsidP="00682355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 xml:space="preserve">Sušená mléka celkem bez KDV </w:t>
            </w:r>
          </w:p>
        </w:tc>
        <w:tc>
          <w:tcPr>
            <w:tcW w:w="854" w:type="dxa"/>
            <w:shd w:val="clear" w:color="auto" w:fill="FDE9D9"/>
          </w:tcPr>
          <w:p w:rsidR="00513E3A" w:rsidRPr="00CF7A31" w:rsidRDefault="00513E3A" w:rsidP="00682355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316" w:type="dxa"/>
            <w:shd w:val="clear" w:color="auto" w:fill="FDE9D9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24 688,6</w:t>
            </w:r>
          </w:p>
        </w:tc>
        <w:tc>
          <w:tcPr>
            <w:tcW w:w="1396" w:type="dxa"/>
            <w:shd w:val="clear" w:color="auto" w:fill="FDE9D9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26 490,9</w:t>
            </w:r>
          </w:p>
        </w:tc>
        <w:tc>
          <w:tcPr>
            <w:tcW w:w="1705" w:type="dxa"/>
            <w:shd w:val="clear" w:color="auto" w:fill="FDE9D9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1 802,3</w:t>
            </w:r>
          </w:p>
        </w:tc>
        <w:tc>
          <w:tcPr>
            <w:tcW w:w="2130" w:type="dxa"/>
            <w:shd w:val="clear" w:color="auto" w:fill="FDE9D9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107,3</w:t>
            </w:r>
          </w:p>
        </w:tc>
      </w:tr>
      <w:tr w:rsidR="00513E3A" w:rsidRPr="00CF7A31" w:rsidTr="00682355">
        <w:trPr>
          <w:trHeight w:val="271"/>
        </w:trPr>
        <w:tc>
          <w:tcPr>
            <w:tcW w:w="3177" w:type="dxa"/>
            <w:shd w:val="clear" w:color="auto" w:fill="auto"/>
          </w:tcPr>
          <w:p w:rsidR="00513E3A" w:rsidRPr="00CF7A31" w:rsidRDefault="00513E3A" w:rsidP="00682355">
            <w:pPr>
              <w:rPr>
                <w:sz w:val="20"/>
              </w:rPr>
            </w:pPr>
            <w:r w:rsidRPr="00CF7A31">
              <w:rPr>
                <w:sz w:val="20"/>
              </w:rPr>
              <w:t>z toho: sušené odstředěné mléko</w:t>
            </w:r>
          </w:p>
        </w:tc>
        <w:tc>
          <w:tcPr>
            <w:tcW w:w="854" w:type="dxa"/>
            <w:shd w:val="clear" w:color="auto" w:fill="auto"/>
          </w:tcPr>
          <w:p w:rsidR="00513E3A" w:rsidRPr="00CF7A31" w:rsidRDefault="00513E3A" w:rsidP="00682355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316" w:type="dxa"/>
            <w:shd w:val="clear" w:color="auto" w:fill="auto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14 124,0</w:t>
            </w:r>
          </w:p>
        </w:tc>
        <w:tc>
          <w:tcPr>
            <w:tcW w:w="1396" w:type="dxa"/>
            <w:shd w:val="clear" w:color="auto" w:fill="auto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12 966,3</w:t>
            </w:r>
          </w:p>
        </w:tc>
        <w:tc>
          <w:tcPr>
            <w:tcW w:w="1705" w:type="dxa"/>
            <w:shd w:val="clear" w:color="auto" w:fill="auto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-1 157,7</w:t>
            </w:r>
          </w:p>
        </w:tc>
        <w:tc>
          <w:tcPr>
            <w:tcW w:w="2130" w:type="dxa"/>
            <w:shd w:val="clear" w:color="auto" w:fill="auto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91,8</w:t>
            </w:r>
          </w:p>
        </w:tc>
      </w:tr>
      <w:tr w:rsidR="00513E3A" w:rsidRPr="00CF7A31" w:rsidTr="00682355">
        <w:trPr>
          <w:trHeight w:val="256"/>
        </w:trPr>
        <w:tc>
          <w:tcPr>
            <w:tcW w:w="3177" w:type="dxa"/>
            <w:shd w:val="clear" w:color="auto" w:fill="auto"/>
          </w:tcPr>
          <w:p w:rsidR="00513E3A" w:rsidRPr="00CF7A31" w:rsidRDefault="00513E3A" w:rsidP="00682355">
            <w:pPr>
              <w:rPr>
                <w:sz w:val="20"/>
              </w:rPr>
            </w:pPr>
            <w:r w:rsidRPr="00CF7A31">
              <w:rPr>
                <w:sz w:val="20"/>
              </w:rPr>
              <w:t xml:space="preserve">            sušené plnotučné mléko</w:t>
            </w:r>
          </w:p>
        </w:tc>
        <w:tc>
          <w:tcPr>
            <w:tcW w:w="854" w:type="dxa"/>
            <w:shd w:val="clear" w:color="auto" w:fill="auto"/>
          </w:tcPr>
          <w:p w:rsidR="00513E3A" w:rsidRPr="00CF7A31" w:rsidRDefault="00513E3A" w:rsidP="00682355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316" w:type="dxa"/>
            <w:shd w:val="clear" w:color="auto" w:fill="auto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10 564,6</w:t>
            </w:r>
          </w:p>
        </w:tc>
        <w:tc>
          <w:tcPr>
            <w:tcW w:w="1396" w:type="dxa"/>
            <w:shd w:val="clear" w:color="auto" w:fill="auto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13 524,6</w:t>
            </w:r>
          </w:p>
        </w:tc>
        <w:tc>
          <w:tcPr>
            <w:tcW w:w="1705" w:type="dxa"/>
            <w:shd w:val="clear" w:color="auto" w:fill="auto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2 960,0</w:t>
            </w:r>
          </w:p>
        </w:tc>
        <w:tc>
          <w:tcPr>
            <w:tcW w:w="2130" w:type="dxa"/>
            <w:shd w:val="clear" w:color="auto" w:fill="auto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128,0</w:t>
            </w:r>
          </w:p>
        </w:tc>
      </w:tr>
      <w:tr w:rsidR="00513E3A" w:rsidRPr="00CF7A31" w:rsidTr="00682355">
        <w:trPr>
          <w:trHeight w:val="256"/>
        </w:trPr>
        <w:tc>
          <w:tcPr>
            <w:tcW w:w="3177" w:type="dxa"/>
            <w:shd w:val="clear" w:color="auto" w:fill="FDE9D9"/>
          </w:tcPr>
          <w:p w:rsidR="00513E3A" w:rsidRPr="003F4FB3" w:rsidRDefault="00513E3A" w:rsidP="00682355">
            <w:pPr>
              <w:rPr>
                <w:b/>
                <w:sz w:val="20"/>
              </w:rPr>
            </w:pPr>
            <w:r w:rsidRPr="003F4FB3">
              <w:rPr>
                <w:b/>
                <w:sz w:val="20"/>
              </w:rPr>
              <w:t>Kondenzované mléko</w:t>
            </w:r>
          </w:p>
        </w:tc>
        <w:tc>
          <w:tcPr>
            <w:tcW w:w="854" w:type="dxa"/>
            <w:shd w:val="clear" w:color="auto" w:fill="FDE9D9"/>
          </w:tcPr>
          <w:p w:rsidR="00513E3A" w:rsidRPr="003F4FB3" w:rsidRDefault="00513E3A" w:rsidP="00682355">
            <w:pPr>
              <w:jc w:val="center"/>
              <w:rPr>
                <w:b/>
                <w:sz w:val="20"/>
              </w:rPr>
            </w:pPr>
            <w:r w:rsidRPr="003F4FB3">
              <w:rPr>
                <w:b/>
                <w:sz w:val="20"/>
              </w:rPr>
              <w:t>t</w:t>
            </w:r>
          </w:p>
        </w:tc>
        <w:tc>
          <w:tcPr>
            <w:tcW w:w="1316" w:type="dxa"/>
            <w:shd w:val="clear" w:color="auto" w:fill="FDE9D9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13 100,5</w:t>
            </w:r>
          </w:p>
        </w:tc>
        <w:tc>
          <w:tcPr>
            <w:tcW w:w="1396" w:type="dxa"/>
            <w:shd w:val="clear" w:color="auto" w:fill="FDE9D9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12 261,8</w:t>
            </w:r>
          </w:p>
        </w:tc>
        <w:tc>
          <w:tcPr>
            <w:tcW w:w="1705" w:type="dxa"/>
            <w:shd w:val="clear" w:color="auto" w:fill="FDE9D9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-838,7</w:t>
            </w:r>
          </w:p>
        </w:tc>
        <w:tc>
          <w:tcPr>
            <w:tcW w:w="2130" w:type="dxa"/>
            <w:shd w:val="clear" w:color="auto" w:fill="FDE9D9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93,6</w:t>
            </w:r>
          </w:p>
        </w:tc>
      </w:tr>
    </w:tbl>
    <w:p w:rsidR="00682355" w:rsidRDefault="0086576E" w:rsidP="009574AB">
      <w:pPr>
        <w:rPr>
          <w:i/>
          <w:sz w:val="18"/>
          <w:szCs w:val="18"/>
        </w:rPr>
      </w:pPr>
      <w:r>
        <w:rPr>
          <w:i/>
          <w:sz w:val="18"/>
          <w:szCs w:val="18"/>
        </w:rPr>
        <w:t>Pozn.:*) odborný odhad</w:t>
      </w:r>
    </w:p>
    <w:p w:rsidR="009574AB" w:rsidRDefault="009574AB" w:rsidP="009574AB">
      <w:pPr>
        <w:rPr>
          <w:i/>
          <w:sz w:val="18"/>
          <w:szCs w:val="18"/>
        </w:rPr>
      </w:pPr>
      <w:r w:rsidRPr="00972FE2">
        <w:rPr>
          <w:i/>
          <w:sz w:val="18"/>
          <w:szCs w:val="18"/>
        </w:rPr>
        <w:t>Pramen: Rezortní statistika Mlék (</w:t>
      </w:r>
      <w:proofErr w:type="spellStart"/>
      <w:r w:rsidRPr="00972FE2">
        <w:rPr>
          <w:i/>
          <w:sz w:val="18"/>
          <w:szCs w:val="18"/>
        </w:rPr>
        <w:t>MZe</w:t>
      </w:r>
      <w:proofErr w:type="spellEnd"/>
      <w:r w:rsidRPr="00972FE2">
        <w:rPr>
          <w:i/>
          <w:sz w:val="18"/>
          <w:szCs w:val="18"/>
        </w:rPr>
        <w:t xml:space="preserve"> 6-12)</w:t>
      </w:r>
    </w:p>
    <w:p w:rsidR="009574AB" w:rsidRDefault="009574AB" w:rsidP="000C0488">
      <w:pPr>
        <w:rPr>
          <w:b/>
          <w:sz w:val="20"/>
        </w:rPr>
      </w:pPr>
    </w:p>
    <w:p w:rsidR="000C0488" w:rsidRPr="00972FE2" w:rsidRDefault="000C0488" w:rsidP="000C0488">
      <w:pPr>
        <w:rPr>
          <w:b/>
          <w:sz w:val="20"/>
        </w:rPr>
      </w:pPr>
      <w:r w:rsidRPr="00972FE2">
        <w:rPr>
          <w:b/>
          <w:sz w:val="20"/>
        </w:rPr>
        <w:t xml:space="preserve">Zásoby sušeného odstředěného mléka v tunách - stav ke konci období </w:t>
      </w:r>
    </w:p>
    <w:tbl>
      <w:tblPr>
        <w:tblW w:w="10361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5"/>
        <w:gridCol w:w="803"/>
        <w:gridCol w:w="803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</w:tblGrid>
      <w:tr w:rsidR="000C0488" w:rsidRPr="000B309D" w:rsidTr="00CF7A31">
        <w:trPr>
          <w:trHeight w:val="221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0C0488" w:rsidRPr="000B309D" w:rsidTr="00CF7A31">
        <w:trPr>
          <w:trHeight w:val="235"/>
        </w:trPr>
        <w:tc>
          <w:tcPr>
            <w:tcW w:w="0" w:type="auto"/>
          </w:tcPr>
          <w:p w:rsidR="000C0488" w:rsidRPr="000B309D" w:rsidRDefault="000C0488" w:rsidP="00CF7A31">
            <w:pPr>
              <w:rPr>
                <w:sz w:val="20"/>
              </w:rPr>
            </w:pPr>
            <w:r w:rsidRPr="000B309D">
              <w:rPr>
                <w:sz w:val="20"/>
              </w:rPr>
              <w:t>2009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4 059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4 218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4 067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2 944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2 261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2 231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2 043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2 021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1 220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 xml:space="preserve">  892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 xml:space="preserve">  775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1 332</w:t>
            </w:r>
          </w:p>
        </w:tc>
      </w:tr>
      <w:tr w:rsidR="000C0488" w:rsidRPr="000B309D" w:rsidTr="00CF7A31">
        <w:trPr>
          <w:trHeight w:val="235"/>
        </w:trPr>
        <w:tc>
          <w:tcPr>
            <w:tcW w:w="0" w:type="auto"/>
          </w:tcPr>
          <w:p w:rsidR="000C0488" w:rsidRPr="000B309D" w:rsidRDefault="000C0488" w:rsidP="00CF7A31">
            <w:pPr>
              <w:rPr>
                <w:sz w:val="20"/>
              </w:rPr>
            </w:pPr>
            <w:r w:rsidRPr="000B309D">
              <w:rPr>
                <w:sz w:val="20"/>
              </w:rPr>
              <w:t>2010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1 111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1 087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1 553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1 296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1 489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1 299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1 554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1 642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1 201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1 021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801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1 149</w:t>
            </w:r>
          </w:p>
        </w:tc>
      </w:tr>
      <w:tr w:rsidR="000C0488" w:rsidRPr="000B309D" w:rsidTr="00CF7A31">
        <w:trPr>
          <w:trHeight w:val="235"/>
        </w:trPr>
        <w:tc>
          <w:tcPr>
            <w:tcW w:w="0" w:type="auto"/>
            <w:tcBorders>
              <w:bottom w:val="double" w:sz="6" w:space="0" w:color="auto"/>
            </w:tcBorders>
          </w:tcPr>
          <w:p w:rsidR="000C0488" w:rsidRPr="000B309D" w:rsidRDefault="000C0488" w:rsidP="00CF7A31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845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813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759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646816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859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605AC3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1 270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C03B3A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1 847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3B47C3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2 044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86576E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2 585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301D61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2 869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732A66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2 195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513E3A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1 775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</w:p>
        </w:tc>
      </w:tr>
    </w:tbl>
    <w:p w:rsidR="000C0488" w:rsidRPr="00972FE2" w:rsidRDefault="000C0488" w:rsidP="000C0488">
      <w:pPr>
        <w:rPr>
          <w:b/>
          <w:sz w:val="20"/>
        </w:rPr>
      </w:pPr>
      <w:r w:rsidRPr="00972FE2">
        <w:rPr>
          <w:b/>
          <w:sz w:val="20"/>
        </w:rPr>
        <w:t>Zásoby přírodních sýrů v tunách - stav ke konci období</w:t>
      </w:r>
    </w:p>
    <w:tbl>
      <w:tblPr>
        <w:tblW w:w="10397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7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</w:tblGrid>
      <w:tr w:rsidR="000C0488" w:rsidRPr="00972FE2" w:rsidTr="00CF7A31">
        <w:trPr>
          <w:trHeight w:val="225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XII.</w:t>
            </w:r>
          </w:p>
        </w:tc>
      </w:tr>
      <w:tr w:rsidR="000C0488" w:rsidRPr="000B309D" w:rsidTr="00CF7A31">
        <w:trPr>
          <w:trHeight w:val="240"/>
        </w:trPr>
        <w:tc>
          <w:tcPr>
            <w:tcW w:w="0" w:type="auto"/>
          </w:tcPr>
          <w:p w:rsidR="000C0488" w:rsidRPr="000B309D" w:rsidRDefault="000C0488" w:rsidP="00CF7A31">
            <w:pPr>
              <w:rPr>
                <w:sz w:val="20"/>
              </w:rPr>
            </w:pPr>
            <w:r w:rsidRPr="000B309D">
              <w:rPr>
                <w:sz w:val="20"/>
              </w:rPr>
              <w:t>2009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4 526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4 177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4 420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4 304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4 178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4 150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4 243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4 182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4 157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4 040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4 105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3 937</w:t>
            </w:r>
          </w:p>
        </w:tc>
      </w:tr>
      <w:tr w:rsidR="000C0488" w:rsidRPr="000B309D" w:rsidTr="00CF7A31">
        <w:trPr>
          <w:trHeight w:val="240"/>
        </w:trPr>
        <w:tc>
          <w:tcPr>
            <w:tcW w:w="0" w:type="auto"/>
          </w:tcPr>
          <w:p w:rsidR="000C0488" w:rsidRPr="000B309D" w:rsidRDefault="000C0488" w:rsidP="00CF7A31">
            <w:pPr>
              <w:rPr>
                <w:sz w:val="20"/>
              </w:rPr>
            </w:pPr>
            <w:r w:rsidRPr="000B309D">
              <w:rPr>
                <w:sz w:val="20"/>
              </w:rPr>
              <w:t>2010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4 148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4 229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4 413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4 444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4 253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4 177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4 058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4 124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4 049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4 158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4 247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4 340</w:t>
            </w:r>
          </w:p>
        </w:tc>
      </w:tr>
      <w:tr w:rsidR="000C0488" w:rsidRPr="000B309D" w:rsidTr="00CF7A31">
        <w:trPr>
          <w:trHeight w:val="240"/>
        </w:trPr>
        <w:tc>
          <w:tcPr>
            <w:tcW w:w="0" w:type="auto"/>
            <w:tcBorders>
              <w:bottom w:val="double" w:sz="6" w:space="0" w:color="auto"/>
            </w:tcBorders>
          </w:tcPr>
          <w:p w:rsidR="000C0488" w:rsidRPr="000B309D" w:rsidRDefault="000C0488" w:rsidP="00CF7A31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5 484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4 548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4 061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0C0488" w:rsidRPr="000B309D" w:rsidRDefault="00646816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3 800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0C0488" w:rsidRPr="000B309D" w:rsidRDefault="00605AC3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3 745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0C0488" w:rsidRPr="000B309D" w:rsidRDefault="00C03B3A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3 850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0C0488" w:rsidRPr="000B309D" w:rsidRDefault="003B47C3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3 935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0C0488" w:rsidRPr="000B309D" w:rsidRDefault="0086576E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4 095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0C0488" w:rsidRPr="000B309D" w:rsidRDefault="00301D61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4 302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0C0488" w:rsidRPr="000B309D" w:rsidRDefault="00732A66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4 210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0C0488" w:rsidRPr="000B309D" w:rsidRDefault="00513E3A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3 626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</w:p>
        </w:tc>
      </w:tr>
    </w:tbl>
    <w:p w:rsidR="000C0488" w:rsidRPr="00972FE2" w:rsidRDefault="000C0488" w:rsidP="000C0488">
      <w:pPr>
        <w:rPr>
          <w:b/>
          <w:sz w:val="20"/>
        </w:rPr>
      </w:pPr>
      <w:r w:rsidRPr="00972FE2">
        <w:rPr>
          <w:b/>
          <w:sz w:val="20"/>
        </w:rPr>
        <w:t xml:space="preserve">Zásoby másla v tunách - stav ke konci období </w:t>
      </w:r>
    </w:p>
    <w:tbl>
      <w:tblPr>
        <w:tblW w:w="10435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9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</w:tblGrid>
      <w:tr w:rsidR="000C0488" w:rsidRPr="000B309D" w:rsidTr="00CF7A31">
        <w:trPr>
          <w:trHeight w:val="198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0C0488" w:rsidRPr="000B309D" w:rsidTr="00CF7A31">
        <w:trPr>
          <w:trHeight w:val="227"/>
        </w:trPr>
        <w:tc>
          <w:tcPr>
            <w:tcW w:w="0" w:type="auto"/>
          </w:tcPr>
          <w:p w:rsidR="000C0488" w:rsidRPr="000B309D" w:rsidRDefault="000C0488" w:rsidP="00CF7A31">
            <w:pPr>
              <w:rPr>
                <w:sz w:val="20"/>
              </w:rPr>
            </w:pPr>
            <w:r w:rsidRPr="000B309D">
              <w:rPr>
                <w:sz w:val="20"/>
              </w:rPr>
              <w:t>2009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2 090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1 947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2 057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2 049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1 762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1 502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1 485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1 484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1 446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1 376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1 209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1 180</w:t>
            </w:r>
          </w:p>
        </w:tc>
      </w:tr>
      <w:tr w:rsidR="000C0488" w:rsidRPr="000B309D" w:rsidTr="00CF7A31">
        <w:trPr>
          <w:trHeight w:val="227"/>
        </w:trPr>
        <w:tc>
          <w:tcPr>
            <w:tcW w:w="0" w:type="auto"/>
          </w:tcPr>
          <w:p w:rsidR="000C0488" w:rsidRPr="000B309D" w:rsidRDefault="000C0488" w:rsidP="00CF7A31">
            <w:pPr>
              <w:rPr>
                <w:sz w:val="20"/>
              </w:rPr>
            </w:pPr>
            <w:r w:rsidRPr="000B309D">
              <w:rPr>
                <w:sz w:val="20"/>
              </w:rPr>
              <w:t>2010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1 474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1 397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1 402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1 389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1 156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1 075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1 258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1 461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1 599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1 659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1 456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1 378</w:t>
            </w:r>
          </w:p>
        </w:tc>
      </w:tr>
      <w:tr w:rsidR="000C0488" w:rsidRPr="000B309D" w:rsidTr="00CF7A31">
        <w:trPr>
          <w:trHeight w:val="227"/>
        </w:trPr>
        <w:tc>
          <w:tcPr>
            <w:tcW w:w="0" w:type="auto"/>
            <w:tcBorders>
              <w:bottom w:val="double" w:sz="6" w:space="0" w:color="auto"/>
            </w:tcBorders>
          </w:tcPr>
          <w:p w:rsidR="000C0488" w:rsidRPr="000B309D" w:rsidRDefault="000C0488" w:rsidP="00CF7A31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1 581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1 570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1 431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646816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1 494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605AC3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1 431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C03B3A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1 500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3B47C3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1 459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86576E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1 547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301D61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1 513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732A66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1 509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513E3A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1 471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</w:p>
        </w:tc>
      </w:tr>
    </w:tbl>
    <w:p w:rsidR="000C0488" w:rsidRDefault="000C0488" w:rsidP="000C0488">
      <w:pPr>
        <w:rPr>
          <w:i/>
          <w:sz w:val="18"/>
          <w:szCs w:val="18"/>
        </w:rPr>
      </w:pPr>
      <w:r w:rsidRPr="00972FE2">
        <w:rPr>
          <w:i/>
          <w:sz w:val="18"/>
          <w:szCs w:val="18"/>
        </w:rPr>
        <w:t>Pramen: Rezortní statistika Mlék (</w:t>
      </w:r>
      <w:proofErr w:type="spellStart"/>
      <w:r w:rsidRPr="00972FE2">
        <w:rPr>
          <w:i/>
          <w:sz w:val="18"/>
          <w:szCs w:val="18"/>
        </w:rPr>
        <w:t>MZe</w:t>
      </w:r>
      <w:proofErr w:type="spellEnd"/>
      <w:r w:rsidRPr="00972FE2">
        <w:rPr>
          <w:i/>
          <w:sz w:val="18"/>
          <w:szCs w:val="18"/>
        </w:rPr>
        <w:t xml:space="preserve"> 6-12)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B8CCE4"/>
        <w:tblLayout w:type="fixed"/>
        <w:tblCellMar>
          <w:left w:w="70" w:type="dxa"/>
          <w:right w:w="70" w:type="dxa"/>
        </w:tblCellMar>
        <w:tblLook w:val="0000"/>
      </w:tblPr>
      <w:tblGrid>
        <w:gridCol w:w="10418"/>
      </w:tblGrid>
      <w:tr w:rsidR="00CD7824" w:rsidRPr="00B43AF0" w:rsidTr="00513E3A">
        <w:trPr>
          <w:trHeight w:val="255"/>
        </w:trPr>
        <w:tc>
          <w:tcPr>
            <w:tcW w:w="10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</w:tcPr>
          <w:p w:rsidR="00CD7824" w:rsidRPr="00B43AF0" w:rsidRDefault="00CD7824" w:rsidP="00B43AF0">
            <w:pPr>
              <w:jc w:val="center"/>
              <w:rPr>
                <w:b/>
              </w:rPr>
            </w:pPr>
            <w:r w:rsidRPr="00B43AF0">
              <w:rPr>
                <w:b/>
              </w:rPr>
              <w:t>Ceny</w:t>
            </w:r>
          </w:p>
        </w:tc>
      </w:tr>
    </w:tbl>
    <w:p w:rsidR="00CD7824" w:rsidRPr="00B43AF0" w:rsidRDefault="00CD7824" w:rsidP="00007195">
      <w:pPr>
        <w:outlineLvl w:val="0"/>
        <w:rPr>
          <w:b/>
        </w:rPr>
      </w:pPr>
      <w:r w:rsidRPr="00B43AF0">
        <w:rPr>
          <w:b/>
        </w:rPr>
        <w:t xml:space="preserve">Ceny zemědělských výrobců  (CZV) mléka kravského I. tř. </w:t>
      </w:r>
      <w:proofErr w:type="spellStart"/>
      <w:r w:rsidRPr="00B43AF0">
        <w:rPr>
          <w:b/>
        </w:rPr>
        <w:t>j</w:t>
      </w:r>
      <w:proofErr w:type="spellEnd"/>
      <w:r w:rsidRPr="00B43AF0">
        <w:rPr>
          <w:b/>
        </w:rPr>
        <w:t>. a vyšší v Kč/l</w:t>
      </w: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635"/>
        <w:gridCol w:w="733"/>
        <w:gridCol w:w="733"/>
        <w:gridCol w:w="733"/>
        <w:gridCol w:w="733"/>
        <w:gridCol w:w="734"/>
        <w:gridCol w:w="733"/>
        <w:gridCol w:w="733"/>
        <w:gridCol w:w="733"/>
        <w:gridCol w:w="734"/>
        <w:gridCol w:w="733"/>
        <w:gridCol w:w="733"/>
        <w:gridCol w:w="733"/>
        <w:gridCol w:w="734"/>
      </w:tblGrid>
      <w:tr w:rsidR="00CD7824" w:rsidRPr="009A018E" w:rsidTr="00B43AF0">
        <w:trPr>
          <w:cantSplit/>
          <w:trHeight w:val="252"/>
        </w:trPr>
        <w:tc>
          <w:tcPr>
            <w:tcW w:w="635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Rok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IV.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VIII.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IX.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XII.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sym w:font="Symbol" w:char="F0C6"/>
            </w:r>
            <w:r w:rsidRPr="00B43AF0">
              <w:rPr>
                <w:sz w:val="20"/>
              </w:rPr>
              <w:t xml:space="preserve"> za rok</w:t>
            </w:r>
          </w:p>
        </w:tc>
      </w:tr>
      <w:tr w:rsidR="00CD7824" w:rsidRPr="009A018E" w:rsidTr="00B43AF0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2004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8,25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8,32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8,35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8,08</w:t>
            </w:r>
          </w:p>
        </w:tc>
      </w:tr>
      <w:tr w:rsidR="00CD7824" w:rsidRPr="009A018E" w:rsidTr="00B43AF0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2005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8,43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8,44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8,45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8,38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8,33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8,22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8,26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8,22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8,22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8,22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8,19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8,31</w:t>
            </w:r>
          </w:p>
        </w:tc>
      </w:tr>
      <w:tr w:rsidR="00CD7824" w:rsidRPr="009A018E" w:rsidTr="00B43AF0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2006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7,78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7,63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7,62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7,64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7,67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7,72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7,79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7,83</w:t>
            </w:r>
          </w:p>
        </w:tc>
      </w:tr>
      <w:tr w:rsidR="00CD7824" w:rsidRPr="009A018E" w:rsidTr="00B43AF0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2007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8,11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8,48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9,37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9,99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9,99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8,39</w:t>
            </w:r>
          </w:p>
        </w:tc>
      </w:tr>
      <w:tr w:rsidR="00CD7824" w:rsidRPr="009A018E" w:rsidTr="00B43AF0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2008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10,08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9,97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9,66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9,19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8,73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8,44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7,74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7,46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6,83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8,43</w:t>
            </w:r>
          </w:p>
        </w:tc>
      </w:tr>
      <w:tr w:rsidR="00CD7824" w:rsidRPr="009A018E" w:rsidTr="00B43AF0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2009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6,43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6,06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5,96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5,90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5,92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6,19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6,40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6,67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6,15</w:t>
            </w:r>
          </w:p>
        </w:tc>
      </w:tr>
      <w:tr w:rsidR="00CD7824" w:rsidRPr="009A018E" w:rsidTr="003C72DA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2010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6,92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7,26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7,33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7,35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7,41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7,50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7,64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7,78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FD64FA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FD64FA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7,45</w:t>
            </w:r>
          </w:p>
        </w:tc>
      </w:tr>
      <w:tr w:rsidR="003C72DA" w:rsidRPr="009A018E" w:rsidTr="00B43AF0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72DA" w:rsidRPr="00B43AF0" w:rsidRDefault="003C72DA" w:rsidP="009A018E">
            <w:pPr>
              <w:rPr>
                <w:sz w:val="20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C72DA" w:rsidRPr="00B43AF0" w:rsidRDefault="00374857" w:rsidP="009A018E">
            <w:pPr>
              <w:rPr>
                <w:sz w:val="20"/>
              </w:rPr>
            </w:pPr>
            <w:r>
              <w:rPr>
                <w:sz w:val="20"/>
              </w:rPr>
              <w:t>8,10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C72DA" w:rsidRPr="00B43AF0" w:rsidRDefault="00374857" w:rsidP="009A018E">
            <w:pPr>
              <w:rPr>
                <w:sz w:val="20"/>
              </w:rPr>
            </w:pPr>
            <w:r>
              <w:rPr>
                <w:sz w:val="20"/>
              </w:rPr>
              <w:t>8,17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C72DA" w:rsidRPr="00B43AF0" w:rsidRDefault="00374857" w:rsidP="009A018E">
            <w:pPr>
              <w:rPr>
                <w:sz w:val="20"/>
              </w:rPr>
            </w:pPr>
            <w:r>
              <w:rPr>
                <w:sz w:val="20"/>
              </w:rPr>
              <w:t>8,22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C72DA" w:rsidRPr="00B43AF0" w:rsidRDefault="00646816" w:rsidP="009A018E">
            <w:pPr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C72DA" w:rsidRPr="00B43AF0" w:rsidRDefault="00605AC3" w:rsidP="009A018E">
            <w:pPr>
              <w:rPr>
                <w:sz w:val="20"/>
              </w:rPr>
            </w:pPr>
            <w:r>
              <w:rPr>
                <w:sz w:val="20"/>
              </w:rPr>
              <w:t>8,30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C72DA" w:rsidRPr="00B43AF0" w:rsidRDefault="00C03B3A" w:rsidP="009A018E">
            <w:pPr>
              <w:rPr>
                <w:sz w:val="20"/>
              </w:rPr>
            </w:pPr>
            <w:r>
              <w:rPr>
                <w:sz w:val="20"/>
              </w:rPr>
              <w:t>8,32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C72DA" w:rsidRPr="00B43AF0" w:rsidRDefault="003B47C3" w:rsidP="009A018E">
            <w:pPr>
              <w:rPr>
                <w:sz w:val="20"/>
              </w:rPr>
            </w:pPr>
            <w:r>
              <w:rPr>
                <w:sz w:val="20"/>
              </w:rPr>
              <w:t>8,33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6576E" w:rsidRPr="00B43AF0" w:rsidRDefault="0086576E" w:rsidP="0086576E">
            <w:pPr>
              <w:rPr>
                <w:sz w:val="20"/>
              </w:rPr>
            </w:pPr>
            <w:r>
              <w:rPr>
                <w:sz w:val="20"/>
              </w:rPr>
              <w:t>8,32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C72DA" w:rsidRPr="00B43AF0" w:rsidRDefault="00301D61" w:rsidP="009A018E">
            <w:pPr>
              <w:rPr>
                <w:sz w:val="20"/>
              </w:rPr>
            </w:pPr>
            <w:r>
              <w:rPr>
                <w:sz w:val="20"/>
              </w:rPr>
              <w:t>8,32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C72DA" w:rsidRPr="00B43AF0" w:rsidRDefault="00732A66" w:rsidP="009A018E">
            <w:pPr>
              <w:rPr>
                <w:sz w:val="20"/>
              </w:rPr>
            </w:pPr>
            <w:r>
              <w:rPr>
                <w:sz w:val="20"/>
              </w:rPr>
              <w:t>8,35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C72DA" w:rsidRPr="00B43AF0" w:rsidRDefault="00513E3A" w:rsidP="009A018E">
            <w:pPr>
              <w:rPr>
                <w:sz w:val="20"/>
              </w:rPr>
            </w:pPr>
            <w:r>
              <w:rPr>
                <w:sz w:val="20"/>
              </w:rPr>
              <w:t>8,38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C72DA" w:rsidRPr="00B43AF0" w:rsidRDefault="003C72DA" w:rsidP="009A018E">
            <w:pPr>
              <w:rPr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72DA" w:rsidRPr="00B43AF0" w:rsidRDefault="003C72DA" w:rsidP="009A018E">
            <w:pPr>
              <w:rPr>
                <w:sz w:val="20"/>
              </w:rPr>
            </w:pPr>
          </w:p>
        </w:tc>
      </w:tr>
    </w:tbl>
    <w:p w:rsidR="00CD7824" w:rsidRPr="00B43AF0" w:rsidRDefault="00CD7824" w:rsidP="009A018E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Pramen: Rezortní statistika Mlék (</w:t>
      </w:r>
      <w:proofErr w:type="spellStart"/>
      <w:r w:rsidRPr="00B43AF0">
        <w:rPr>
          <w:i/>
          <w:sz w:val="18"/>
          <w:szCs w:val="18"/>
        </w:rPr>
        <w:t>MZe</w:t>
      </w:r>
      <w:proofErr w:type="spellEnd"/>
      <w:r w:rsidRPr="00B43AF0">
        <w:rPr>
          <w:i/>
          <w:sz w:val="18"/>
          <w:szCs w:val="18"/>
        </w:rPr>
        <w:t>) 6-12</w:t>
      </w:r>
    </w:p>
    <w:p w:rsidR="00CD7824" w:rsidRPr="00B43AF0" w:rsidRDefault="00CD7824" w:rsidP="009A018E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Poznámka: ukazatel průměr roku je počítán jako aritmetický průměr</w:t>
      </w:r>
    </w:p>
    <w:p w:rsidR="00CD7824" w:rsidRPr="00B43AF0" w:rsidRDefault="00CD7824" w:rsidP="009A018E">
      <w:pPr>
        <w:rPr>
          <w:b/>
        </w:rPr>
      </w:pPr>
      <w:r w:rsidRPr="00B43AF0">
        <w:rPr>
          <w:b/>
        </w:rPr>
        <w:t xml:space="preserve">Ceny zemědělských výrobců (CZV), ceny průmyslových výrobců </w:t>
      </w:r>
      <w:r w:rsidR="00C03B3A">
        <w:rPr>
          <w:b/>
        </w:rPr>
        <w:t>(</w:t>
      </w:r>
      <w:r w:rsidRPr="00B43AF0">
        <w:rPr>
          <w:b/>
        </w:rPr>
        <w:t>CPV) a spotřebitelské ceny (SC) - porovnání</w:t>
      </w:r>
    </w:p>
    <w:tbl>
      <w:tblPr>
        <w:tblW w:w="103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17"/>
        <w:gridCol w:w="1262"/>
        <w:gridCol w:w="972"/>
        <w:gridCol w:w="892"/>
        <w:gridCol w:w="972"/>
        <w:gridCol w:w="1155"/>
        <w:gridCol w:w="1444"/>
      </w:tblGrid>
      <w:tr w:rsidR="00CD7824" w:rsidRPr="009A018E" w:rsidTr="00513E3A">
        <w:trPr>
          <w:trHeight w:val="250"/>
        </w:trPr>
        <w:tc>
          <w:tcPr>
            <w:tcW w:w="3617" w:type="dxa"/>
            <w:vMerge w:val="restart"/>
            <w:tcBorders>
              <w:top w:val="double" w:sz="4" w:space="0" w:color="auto"/>
            </w:tcBorders>
            <w:shd w:val="clear" w:color="auto" w:fill="B8CCE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</w:p>
        </w:tc>
        <w:tc>
          <w:tcPr>
            <w:tcW w:w="1262" w:type="dxa"/>
            <w:vMerge w:val="restart"/>
            <w:tcBorders>
              <w:top w:val="double" w:sz="4" w:space="0" w:color="auto"/>
            </w:tcBorders>
            <w:shd w:val="clear" w:color="auto" w:fill="B8CCE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</w:p>
        </w:tc>
        <w:tc>
          <w:tcPr>
            <w:tcW w:w="972" w:type="dxa"/>
            <w:vMerge w:val="restart"/>
            <w:tcBorders>
              <w:top w:val="double" w:sz="4" w:space="0" w:color="auto"/>
            </w:tcBorders>
            <w:shd w:val="clear" w:color="auto" w:fill="B8CCE4"/>
          </w:tcPr>
          <w:p w:rsidR="00CD7824" w:rsidRPr="00374857" w:rsidRDefault="0068003E" w:rsidP="00B43AF0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Listopad</w:t>
            </w:r>
          </w:p>
          <w:p w:rsidR="00CD7824" w:rsidRPr="00374857" w:rsidRDefault="00CD7824" w:rsidP="003C72DA">
            <w:pPr>
              <w:jc w:val="center"/>
              <w:rPr>
                <w:b/>
                <w:sz w:val="20"/>
                <w:szCs w:val="22"/>
              </w:rPr>
            </w:pPr>
            <w:r w:rsidRPr="00374857">
              <w:rPr>
                <w:b/>
                <w:sz w:val="20"/>
                <w:szCs w:val="22"/>
              </w:rPr>
              <w:t>20</w:t>
            </w:r>
            <w:r w:rsidR="003C72DA" w:rsidRPr="00374857">
              <w:rPr>
                <w:b/>
                <w:sz w:val="20"/>
                <w:szCs w:val="22"/>
              </w:rPr>
              <w:t>10</w:t>
            </w:r>
          </w:p>
        </w:tc>
        <w:tc>
          <w:tcPr>
            <w:tcW w:w="892" w:type="dxa"/>
            <w:vMerge w:val="restart"/>
            <w:tcBorders>
              <w:top w:val="double" w:sz="4" w:space="0" w:color="auto"/>
            </w:tcBorders>
            <w:shd w:val="clear" w:color="auto" w:fill="B8CCE4"/>
          </w:tcPr>
          <w:p w:rsidR="00CD7824" w:rsidRPr="00374857" w:rsidRDefault="00CD7824" w:rsidP="00B43AF0">
            <w:pPr>
              <w:jc w:val="center"/>
              <w:rPr>
                <w:b/>
                <w:sz w:val="20"/>
                <w:szCs w:val="22"/>
              </w:rPr>
            </w:pPr>
            <w:r w:rsidRPr="00374857">
              <w:rPr>
                <w:b/>
                <w:sz w:val="20"/>
                <w:szCs w:val="22"/>
              </w:rPr>
              <w:t>Leden</w:t>
            </w:r>
          </w:p>
          <w:p w:rsidR="00CD7824" w:rsidRPr="00374857" w:rsidRDefault="00CD7824" w:rsidP="003C72DA">
            <w:pPr>
              <w:jc w:val="center"/>
              <w:rPr>
                <w:b/>
                <w:sz w:val="20"/>
                <w:szCs w:val="22"/>
              </w:rPr>
            </w:pPr>
            <w:r w:rsidRPr="00374857">
              <w:rPr>
                <w:b/>
                <w:sz w:val="20"/>
                <w:szCs w:val="22"/>
              </w:rPr>
              <w:t>201</w:t>
            </w:r>
            <w:r w:rsidR="003C72DA" w:rsidRPr="00374857">
              <w:rPr>
                <w:b/>
                <w:sz w:val="20"/>
                <w:szCs w:val="22"/>
              </w:rPr>
              <w:t>1</w:t>
            </w:r>
          </w:p>
        </w:tc>
        <w:tc>
          <w:tcPr>
            <w:tcW w:w="972" w:type="dxa"/>
            <w:vMerge w:val="restart"/>
            <w:tcBorders>
              <w:top w:val="double" w:sz="4" w:space="0" w:color="auto"/>
            </w:tcBorders>
            <w:shd w:val="clear" w:color="auto" w:fill="B8CCE4"/>
          </w:tcPr>
          <w:p w:rsidR="00F12F31" w:rsidRDefault="0068003E" w:rsidP="00F12F31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Listopad</w:t>
            </w:r>
          </w:p>
          <w:p w:rsidR="00CD7824" w:rsidRPr="00374857" w:rsidRDefault="00CD7824" w:rsidP="00F12F31">
            <w:pPr>
              <w:jc w:val="center"/>
              <w:rPr>
                <w:b/>
                <w:sz w:val="20"/>
                <w:szCs w:val="22"/>
              </w:rPr>
            </w:pPr>
            <w:r w:rsidRPr="00374857">
              <w:rPr>
                <w:b/>
                <w:sz w:val="20"/>
                <w:szCs w:val="22"/>
              </w:rPr>
              <w:t>201</w:t>
            </w:r>
            <w:r w:rsidR="003C72DA" w:rsidRPr="00374857">
              <w:rPr>
                <w:b/>
                <w:sz w:val="20"/>
                <w:szCs w:val="22"/>
              </w:rPr>
              <w:t>1</w:t>
            </w:r>
          </w:p>
        </w:tc>
        <w:tc>
          <w:tcPr>
            <w:tcW w:w="2599" w:type="dxa"/>
            <w:gridSpan w:val="2"/>
            <w:tcBorders>
              <w:top w:val="double" w:sz="4" w:space="0" w:color="auto"/>
            </w:tcBorders>
            <w:shd w:val="clear" w:color="auto" w:fill="B8CCE4"/>
          </w:tcPr>
          <w:p w:rsidR="00CD7824" w:rsidRPr="00374857" w:rsidRDefault="00CD7824" w:rsidP="00B43AF0">
            <w:pPr>
              <w:jc w:val="center"/>
              <w:rPr>
                <w:b/>
                <w:sz w:val="20"/>
                <w:szCs w:val="22"/>
              </w:rPr>
            </w:pPr>
            <w:r w:rsidRPr="00374857">
              <w:rPr>
                <w:b/>
                <w:sz w:val="20"/>
                <w:szCs w:val="22"/>
              </w:rPr>
              <w:t>Změna v %</w:t>
            </w:r>
          </w:p>
        </w:tc>
      </w:tr>
      <w:tr w:rsidR="00CD7824" w:rsidRPr="009A018E" w:rsidTr="00513E3A">
        <w:trPr>
          <w:trHeight w:val="169"/>
        </w:trPr>
        <w:tc>
          <w:tcPr>
            <w:tcW w:w="3617" w:type="dxa"/>
            <w:vMerge/>
            <w:shd w:val="clear" w:color="auto" w:fill="B8CCE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</w:p>
        </w:tc>
        <w:tc>
          <w:tcPr>
            <w:tcW w:w="1262" w:type="dxa"/>
            <w:vMerge/>
            <w:shd w:val="clear" w:color="auto" w:fill="B8CCE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</w:p>
        </w:tc>
        <w:tc>
          <w:tcPr>
            <w:tcW w:w="972" w:type="dxa"/>
            <w:vMerge/>
            <w:shd w:val="clear" w:color="auto" w:fill="B8CCE4"/>
          </w:tcPr>
          <w:p w:rsidR="00CD7824" w:rsidRPr="00374857" w:rsidRDefault="00CD7824" w:rsidP="00B43AF0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892" w:type="dxa"/>
            <w:vMerge/>
            <w:shd w:val="clear" w:color="auto" w:fill="B8CCE4"/>
          </w:tcPr>
          <w:p w:rsidR="00CD7824" w:rsidRPr="00374857" w:rsidRDefault="00CD7824" w:rsidP="00B43AF0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972" w:type="dxa"/>
            <w:vMerge/>
            <w:shd w:val="clear" w:color="auto" w:fill="B8CCE4"/>
          </w:tcPr>
          <w:p w:rsidR="00CD7824" w:rsidRPr="00374857" w:rsidRDefault="00CD7824" w:rsidP="00B43AF0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155" w:type="dxa"/>
            <w:shd w:val="clear" w:color="auto" w:fill="B8CCE4"/>
          </w:tcPr>
          <w:p w:rsidR="00CD7824" w:rsidRPr="00374857" w:rsidRDefault="0068003E" w:rsidP="00B43AF0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Listopad</w:t>
            </w:r>
          </w:p>
          <w:p w:rsidR="00CD7824" w:rsidRPr="00374857" w:rsidRDefault="00CD7824" w:rsidP="003C72DA">
            <w:pPr>
              <w:jc w:val="center"/>
              <w:rPr>
                <w:b/>
                <w:sz w:val="20"/>
                <w:szCs w:val="22"/>
              </w:rPr>
            </w:pPr>
            <w:r w:rsidRPr="00374857">
              <w:rPr>
                <w:b/>
                <w:sz w:val="20"/>
                <w:szCs w:val="22"/>
              </w:rPr>
              <w:t>201</w:t>
            </w:r>
            <w:r w:rsidR="003C72DA" w:rsidRPr="00374857">
              <w:rPr>
                <w:b/>
                <w:sz w:val="20"/>
                <w:szCs w:val="22"/>
              </w:rPr>
              <w:t>1</w:t>
            </w:r>
            <w:r w:rsidRPr="00374857">
              <w:rPr>
                <w:b/>
                <w:sz w:val="20"/>
                <w:szCs w:val="22"/>
              </w:rPr>
              <w:t>/20</w:t>
            </w:r>
            <w:r w:rsidR="003C72DA" w:rsidRPr="00374857">
              <w:rPr>
                <w:b/>
                <w:sz w:val="20"/>
                <w:szCs w:val="22"/>
              </w:rPr>
              <w:t>10</w:t>
            </w:r>
          </w:p>
        </w:tc>
        <w:tc>
          <w:tcPr>
            <w:tcW w:w="1444" w:type="dxa"/>
            <w:shd w:val="clear" w:color="auto" w:fill="B8CCE4"/>
          </w:tcPr>
          <w:p w:rsidR="00CD7824" w:rsidRPr="00374857" w:rsidRDefault="0068003E" w:rsidP="003C72DA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Listopad </w:t>
            </w:r>
            <w:r w:rsidR="00CD7824" w:rsidRPr="00374857">
              <w:rPr>
                <w:b/>
                <w:sz w:val="20"/>
                <w:szCs w:val="18"/>
              </w:rPr>
              <w:t>201</w:t>
            </w:r>
            <w:r w:rsidR="003C72DA" w:rsidRPr="00374857">
              <w:rPr>
                <w:b/>
                <w:sz w:val="20"/>
                <w:szCs w:val="18"/>
              </w:rPr>
              <w:t>1</w:t>
            </w:r>
            <w:r w:rsidR="00CD7824" w:rsidRPr="00374857">
              <w:rPr>
                <w:b/>
                <w:sz w:val="20"/>
                <w:szCs w:val="18"/>
              </w:rPr>
              <w:t xml:space="preserve"> /leden 201</w:t>
            </w:r>
            <w:r w:rsidR="003C72DA" w:rsidRPr="00374857">
              <w:rPr>
                <w:b/>
                <w:sz w:val="20"/>
                <w:szCs w:val="18"/>
              </w:rPr>
              <w:t>1</w:t>
            </w:r>
          </w:p>
        </w:tc>
      </w:tr>
      <w:tr w:rsidR="00C03B3A" w:rsidRPr="009A018E" w:rsidTr="00B22D11">
        <w:trPr>
          <w:trHeight w:val="169"/>
        </w:trPr>
        <w:tc>
          <w:tcPr>
            <w:tcW w:w="10314" w:type="dxa"/>
            <w:gridSpan w:val="7"/>
          </w:tcPr>
          <w:p w:rsidR="00C03B3A" w:rsidRDefault="00C03B3A" w:rsidP="003C72DA">
            <w:pPr>
              <w:jc w:val="center"/>
              <w:rPr>
                <w:b/>
                <w:sz w:val="20"/>
                <w:szCs w:val="18"/>
              </w:rPr>
            </w:pPr>
          </w:p>
        </w:tc>
      </w:tr>
      <w:tr w:rsidR="00513E3A" w:rsidRPr="009A018E" w:rsidTr="00513E3A">
        <w:trPr>
          <w:trHeight w:val="229"/>
        </w:trPr>
        <w:tc>
          <w:tcPr>
            <w:tcW w:w="3617" w:type="dxa"/>
            <w:shd w:val="clear" w:color="auto" w:fill="FBD4B4"/>
          </w:tcPr>
          <w:p w:rsidR="00513E3A" w:rsidRPr="00374857" w:rsidRDefault="00513E3A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Syrové kravské mléko (Kč/l)</w:t>
            </w:r>
          </w:p>
        </w:tc>
        <w:tc>
          <w:tcPr>
            <w:tcW w:w="1262" w:type="dxa"/>
          </w:tcPr>
          <w:p w:rsidR="00513E3A" w:rsidRPr="00374857" w:rsidRDefault="00513E3A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CZV</w:t>
            </w:r>
          </w:p>
        </w:tc>
        <w:tc>
          <w:tcPr>
            <w:tcW w:w="972" w:type="dxa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7,9</w:t>
            </w:r>
          </w:p>
        </w:tc>
        <w:tc>
          <w:tcPr>
            <w:tcW w:w="892" w:type="dxa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8,1</w:t>
            </w:r>
          </w:p>
        </w:tc>
        <w:tc>
          <w:tcPr>
            <w:tcW w:w="972" w:type="dxa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8,38</w:t>
            </w:r>
          </w:p>
        </w:tc>
        <w:tc>
          <w:tcPr>
            <w:tcW w:w="1155" w:type="dxa"/>
            <w:shd w:val="clear" w:color="auto" w:fill="FBD4B4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106,08</w:t>
            </w:r>
          </w:p>
        </w:tc>
        <w:tc>
          <w:tcPr>
            <w:tcW w:w="1444" w:type="dxa"/>
            <w:shd w:val="clear" w:color="auto" w:fill="FBD4B4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103,46</w:t>
            </w:r>
          </w:p>
        </w:tc>
      </w:tr>
      <w:tr w:rsidR="00513E3A" w:rsidRPr="009A018E" w:rsidTr="00374857">
        <w:trPr>
          <w:trHeight w:val="247"/>
        </w:trPr>
        <w:tc>
          <w:tcPr>
            <w:tcW w:w="10314" w:type="dxa"/>
            <w:gridSpan w:val="7"/>
          </w:tcPr>
          <w:p w:rsidR="00513E3A" w:rsidRPr="00C03B3A" w:rsidRDefault="00513E3A" w:rsidP="009A018E">
            <w:pPr>
              <w:rPr>
                <w:b/>
                <w:sz w:val="20"/>
                <w:szCs w:val="22"/>
              </w:rPr>
            </w:pPr>
          </w:p>
        </w:tc>
      </w:tr>
      <w:tr w:rsidR="00513E3A" w:rsidRPr="009A018E" w:rsidTr="00513E3A">
        <w:trPr>
          <w:trHeight w:val="229"/>
        </w:trPr>
        <w:tc>
          <w:tcPr>
            <w:tcW w:w="3617" w:type="dxa"/>
            <w:vMerge w:val="restart"/>
            <w:shd w:val="clear" w:color="auto" w:fill="FBD4B4"/>
          </w:tcPr>
          <w:p w:rsidR="00513E3A" w:rsidRPr="00374857" w:rsidRDefault="00513E3A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Polotučné mléko trvanlivé (Kč/l)</w:t>
            </w:r>
          </w:p>
        </w:tc>
        <w:tc>
          <w:tcPr>
            <w:tcW w:w="1262" w:type="dxa"/>
          </w:tcPr>
          <w:p w:rsidR="00513E3A" w:rsidRPr="00374857" w:rsidRDefault="00513E3A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CPV</w:t>
            </w:r>
          </w:p>
        </w:tc>
        <w:tc>
          <w:tcPr>
            <w:tcW w:w="972" w:type="dxa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10,10</w:t>
            </w:r>
          </w:p>
        </w:tc>
        <w:tc>
          <w:tcPr>
            <w:tcW w:w="892" w:type="dxa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10,29</w:t>
            </w:r>
          </w:p>
        </w:tc>
        <w:tc>
          <w:tcPr>
            <w:tcW w:w="972" w:type="dxa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10,25</w:t>
            </w:r>
          </w:p>
        </w:tc>
        <w:tc>
          <w:tcPr>
            <w:tcW w:w="1155" w:type="dxa"/>
            <w:shd w:val="clear" w:color="auto" w:fill="FBD4B4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101,49</w:t>
            </w:r>
          </w:p>
        </w:tc>
        <w:tc>
          <w:tcPr>
            <w:tcW w:w="1444" w:type="dxa"/>
            <w:shd w:val="clear" w:color="auto" w:fill="FBD4B4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99,61</w:t>
            </w:r>
          </w:p>
        </w:tc>
      </w:tr>
      <w:tr w:rsidR="00513E3A" w:rsidRPr="009A018E" w:rsidTr="00513E3A">
        <w:trPr>
          <w:trHeight w:val="169"/>
        </w:trPr>
        <w:tc>
          <w:tcPr>
            <w:tcW w:w="3617" w:type="dxa"/>
            <w:vMerge/>
            <w:shd w:val="clear" w:color="auto" w:fill="FBD4B4"/>
          </w:tcPr>
          <w:p w:rsidR="00513E3A" w:rsidRPr="00374857" w:rsidRDefault="00513E3A" w:rsidP="009A018E">
            <w:pPr>
              <w:rPr>
                <w:sz w:val="20"/>
                <w:szCs w:val="22"/>
              </w:rPr>
            </w:pPr>
          </w:p>
        </w:tc>
        <w:tc>
          <w:tcPr>
            <w:tcW w:w="1262" w:type="dxa"/>
          </w:tcPr>
          <w:p w:rsidR="00513E3A" w:rsidRPr="00374857" w:rsidRDefault="00513E3A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SC</w:t>
            </w:r>
          </w:p>
        </w:tc>
        <w:tc>
          <w:tcPr>
            <w:tcW w:w="972" w:type="dxa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15,19</w:t>
            </w:r>
          </w:p>
        </w:tc>
        <w:tc>
          <w:tcPr>
            <w:tcW w:w="892" w:type="dxa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15,60</w:t>
            </w:r>
          </w:p>
        </w:tc>
        <w:tc>
          <w:tcPr>
            <w:tcW w:w="972" w:type="dxa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16,53</w:t>
            </w:r>
          </w:p>
        </w:tc>
        <w:tc>
          <w:tcPr>
            <w:tcW w:w="1155" w:type="dxa"/>
            <w:shd w:val="clear" w:color="auto" w:fill="FBD4B4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108,82</w:t>
            </w:r>
          </w:p>
        </w:tc>
        <w:tc>
          <w:tcPr>
            <w:tcW w:w="1444" w:type="dxa"/>
            <w:shd w:val="clear" w:color="auto" w:fill="FBD4B4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105,96</w:t>
            </w:r>
          </w:p>
        </w:tc>
      </w:tr>
      <w:tr w:rsidR="00513E3A" w:rsidRPr="009A018E" w:rsidTr="00513E3A">
        <w:trPr>
          <w:trHeight w:val="169"/>
        </w:trPr>
        <w:tc>
          <w:tcPr>
            <w:tcW w:w="3617" w:type="dxa"/>
            <w:vMerge/>
            <w:shd w:val="clear" w:color="auto" w:fill="FBD4B4"/>
          </w:tcPr>
          <w:p w:rsidR="00513E3A" w:rsidRPr="00374857" w:rsidRDefault="00513E3A" w:rsidP="009A018E">
            <w:pPr>
              <w:rPr>
                <w:sz w:val="20"/>
                <w:szCs w:val="22"/>
              </w:rPr>
            </w:pPr>
          </w:p>
        </w:tc>
        <w:tc>
          <w:tcPr>
            <w:tcW w:w="1262" w:type="dxa"/>
            <w:shd w:val="clear" w:color="auto" w:fill="B8CCE4"/>
          </w:tcPr>
          <w:p w:rsidR="00513E3A" w:rsidRPr="00374857" w:rsidRDefault="00513E3A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rozdíl v %</w:t>
            </w:r>
          </w:p>
        </w:tc>
        <w:tc>
          <w:tcPr>
            <w:tcW w:w="972" w:type="dxa"/>
            <w:shd w:val="clear" w:color="auto" w:fill="B8CCE4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50,40</w:t>
            </w:r>
          </w:p>
        </w:tc>
        <w:tc>
          <w:tcPr>
            <w:tcW w:w="892" w:type="dxa"/>
            <w:shd w:val="clear" w:color="auto" w:fill="B8CCE4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51,60</w:t>
            </w:r>
          </w:p>
        </w:tc>
        <w:tc>
          <w:tcPr>
            <w:tcW w:w="972" w:type="dxa"/>
            <w:shd w:val="clear" w:color="auto" w:fill="B8CCE4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61,27</w:t>
            </w:r>
          </w:p>
        </w:tc>
        <w:tc>
          <w:tcPr>
            <w:tcW w:w="1155" w:type="dxa"/>
            <w:shd w:val="clear" w:color="auto" w:fill="B8CCE4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44" w:type="dxa"/>
            <w:shd w:val="clear" w:color="auto" w:fill="B8CCE4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513E3A" w:rsidRPr="009A018E" w:rsidTr="00513E3A">
        <w:trPr>
          <w:trHeight w:val="247"/>
        </w:trPr>
        <w:tc>
          <w:tcPr>
            <w:tcW w:w="3617" w:type="dxa"/>
            <w:vMerge w:val="restart"/>
            <w:shd w:val="clear" w:color="auto" w:fill="FBD4B4"/>
          </w:tcPr>
          <w:p w:rsidR="00513E3A" w:rsidRPr="00374857" w:rsidRDefault="00513E3A" w:rsidP="00605AC3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Polotučné </w:t>
            </w:r>
            <w:r w:rsidRPr="00374857">
              <w:rPr>
                <w:sz w:val="20"/>
                <w:szCs w:val="22"/>
              </w:rPr>
              <w:t xml:space="preserve">mléko </w:t>
            </w:r>
            <w:r>
              <w:rPr>
                <w:sz w:val="20"/>
                <w:szCs w:val="22"/>
              </w:rPr>
              <w:t>pasterované</w:t>
            </w:r>
            <w:r w:rsidRPr="00374857">
              <w:rPr>
                <w:sz w:val="20"/>
                <w:szCs w:val="22"/>
              </w:rPr>
              <w:t xml:space="preserve"> (Kč/l)</w:t>
            </w:r>
          </w:p>
        </w:tc>
        <w:tc>
          <w:tcPr>
            <w:tcW w:w="1262" w:type="dxa"/>
          </w:tcPr>
          <w:p w:rsidR="00513E3A" w:rsidRPr="00374857" w:rsidRDefault="00513E3A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CPV</w:t>
            </w:r>
          </w:p>
        </w:tc>
        <w:tc>
          <w:tcPr>
            <w:tcW w:w="972" w:type="dxa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10,86</w:t>
            </w:r>
          </w:p>
        </w:tc>
        <w:tc>
          <w:tcPr>
            <w:tcW w:w="892" w:type="dxa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10,83</w:t>
            </w:r>
          </w:p>
        </w:tc>
        <w:tc>
          <w:tcPr>
            <w:tcW w:w="972" w:type="dxa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11,53</w:t>
            </w:r>
          </w:p>
        </w:tc>
        <w:tc>
          <w:tcPr>
            <w:tcW w:w="1155" w:type="dxa"/>
            <w:shd w:val="clear" w:color="auto" w:fill="FBD4B4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106,17</w:t>
            </w:r>
          </w:p>
        </w:tc>
        <w:tc>
          <w:tcPr>
            <w:tcW w:w="1444" w:type="dxa"/>
            <w:shd w:val="clear" w:color="auto" w:fill="FBD4B4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106,46</w:t>
            </w:r>
          </w:p>
        </w:tc>
      </w:tr>
      <w:tr w:rsidR="00513E3A" w:rsidRPr="009A018E" w:rsidTr="00513E3A">
        <w:trPr>
          <w:trHeight w:val="169"/>
        </w:trPr>
        <w:tc>
          <w:tcPr>
            <w:tcW w:w="3617" w:type="dxa"/>
            <w:vMerge/>
            <w:shd w:val="clear" w:color="auto" w:fill="FBD4B4"/>
          </w:tcPr>
          <w:p w:rsidR="00513E3A" w:rsidRPr="00374857" w:rsidRDefault="00513E3A" w:rsidP="009A018E">
            <w:pPr>
              <w:rPr>
                <w:sz w:val="20"/>
                <w:szCs w:val="22"/>
              </w:rPr>
            </w:pPr>
          </w:p>
        </w:tc>
        <w:tc>
          <w:tcPr>
            <w:tcW w:w="1262" w:type="dxa"/>
          </w:tcPr>
          <w:p w:rsidR="00513E3A" w:rsidRPr="00374857" w:rsidRDefault="00513E3A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SC</w:t>
            </w:r>
          </w:p>
        </w:tc>
        <w:tc>
          <w:tcPr>
            <w:tcW w:w="972" w:type="dxa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16,62</w:t>
            </w:r>
          </w:p>
        </w:tc>
        <w:tc>
          <w:tcPr>
            <w:tcW w:w="892" w:type="dxa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16,67</w:t>
            </w:r>
          </w:p>
        </w:tc>
        <w:tc>
          <w:tcPr>
            <w:tcW w:w="972" w:type="dxa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18,03</w:t>
            </w:r>
          </w:p>
        </w:tc>
        <w:tc>
          <w:tcPr>
            <w:tcW w:w="1155" w:type="dxa"/>
            <w:shd w:val="clear" w:color="auto" w:fill="FBD4B4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108,48</w:t>
            </w:r>
          </w:p>
        </w:tc>
        <w:tc>
          <w:tcPr>
            <w:tcW w:w="1444" w:type="dxa"/>
            <w:shd w:val="clear" w:color="auto" w:fill="FBD4B4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108,16</w:t>
            </w:r>
          </w:p>
        </w:tc>
      </w:tr>
      <w:tr w:rsidR="00513E3A" w:rsidRPr="009A018E" w:rsidTr="00513E3A">
        <w:trPr>
          <w:trHeight w:val="169"/>
        </w:trPr>
        <w:tc>
          <w:tcPr>
            <w:tcW w:w="3617" w:type="dxa"/>
            <w:vMerge/>
            <w:shd w:val="clear" w:color="auto" w:fill="FBD4B4"/>
          </w:tcPr>
          <w:p w:rsidR="00513E3A" w:rsidRPr="00374857" w:rsidRDefault="00513E3A" w:rsidP="009A018E">
            <w:pPr>
              <w:rPr>
                <w:sz w:val="20"/>
                <w:szCs w:val="22"/>
              </w:rPr>
            </w:pPr>
          </w:p>
        </w:tc>
        <w:tc>
          <w:tcPr>
            <w:tcW w:w="1262" w:type="dxa"/>
            <w:shd w:val="clear" w:color="auto" w:fill="B8CCE4"/>
          </w:tcPr>
          <w:p w:rsidR="00513E3A" w:rsidRPr="00374857" w:rsidRDefault="00513E3A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rozdíl v %</w:t>
            </w:r>
          </w:p>
        </w:tc>
        <w:tc>
          <w:tcPr>
            <w:tcW w:w="972" w:type="dxa"/>
            <w:shd w:val="clear" w:color="auto" w:fill="B8CCE4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53,04</w:t>
            </w:r>
          </w:p>
        </w:tc>
        <w:tc>
          <w:tcPr>
            <w:tcW w:w="892" w:type="dxa"/>
            <w:shd w:val="clear" w:color="auto" w:fill="B8CCE4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53,92</w:t>
            </w:r>
          </w:p>
        </w:tc>
        <w:tc>
          <w:tcPr>
            <w:tcW w:w="972" w:type="dxa"/>
            <w:shd w:val="clear" w:color="auto" w:fill="B8CCE4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56,37</w:t>
            </w:r>
          </w:p>
        </w:tc>
        <w:tc>
          <w:tcPr>
            <w:tcW w:w="1155" w:type="dxa"/>
            <w:shd w:val="clear" w:color="auto" w:fill="B8CCE4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44" w:type="dxa"/>
            <w:shd w:val="clear" w:color="auto" w:fill="B8CCE4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513E3A" w:rsidRPr="009A018E" w:rsidTr="00513E3A">
        <w:trPr>
          <w:trHeight w:val="229"/>
        </w:trPr>
        <w:tc>
          <w:tcPr>
            <w:tcW w:w="3617" w:type="dxa"/>
            <w:vMerge w:val="restart"/>
            <w:shd w:val="clear" w:color="auto" w:fill="FBD4B4"/>
          </w:tcPr>
          <w:p w:rsidR="00513E3A" w:rsidRPr="00374857" w:rsidRDefault="00513E3A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Máslo (Kč/kg)</w:t>
            </w:r>
          </w:p>
        </w:tc>
        <w:tc>
          <w:tcPr>
            <w:tcW w:w="1262" w:type="dxa"/>
          </w:tcPr>
          <w:p w:rsidR="00513E3A" w:rsidRPr="00374857" w:rsidRDefault="00513E3A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CPV</w:t>
            </w:r>
          </w:p>
        </w:tc>
        <w:tc>
          <w:tcPr>
            <w:tcW w:w="972" w:type="dxa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92,14</w:t>
            </w:r>
          </w:p>
        </w:tc>
        <w:tc>
          <w:tcPr>
            <w:tcW w:w="892" w:type="dxa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98,34</w:t>
            </w:r>
          </w:p>
        </w:tc>
        <w:tc>
          <w:tcPr>
            <w:tcW w:w="972" w:type="dxa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105,73</w:t>
            </w:r>
          </w:p>
        </w:tc>
        <w:tc>
          <w:tcPr>
            <w:tcW w:w="1155" w:type="dxa"/>
            <w:shd w:val="clear" w:color="auto" w:fill="FBD4B4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114,75</w:t>
            </w:r>
          </w:p>
        </w:tc>
        <w:tc>
          <w:tcPr>
            <w:tcW w:w="1444" w:type="dxa"/>
            <w:shd w:val="clear" w:color="auto" w:fill="FBD4B4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107,51</w:t>
            </w:r>
          </w:p>
        </w:tc>
      </w:tr>
      <w:tr w:rsidR="00513E3A" w:rsidRPr="009A018E" w:rsidTr="00513E3A">
        <w:trPr>
          <w:trHeight w:val="169"/>
        </w:trPr>
        <w:tc>
          <w:tcPr>
            <w:tcW w:w="3617" w:type="dxa"/>
            <w:vMerge/>
            <w:shd w:val="clear" w:color="auto" w:fill="FBD4B4"/>
          </w:tcPr>
          <w:p w:rsidR="00513E3A" w:rsidRPr="00374857" w:rsidRDefault="00513E3A" w:rsidP="009A018E">
            <w:pPr>
              <w:rPr>
                <w:sz w:val="20"/>
                <w:szCs w:val="22"/>
              </w:rPr>
            </w:pPr>
          </w:p>
        </w:tc>
        <w:tc>
          <w:tcPr>
            <w:tcW w:w="1262" w:type="dxa"/>
          </w:tcPr>
          <w:p w:rsidR="00513E3A" w:rsidRPr="00374857" w:rsidRDefault="00513E3A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SC</w:t>
            </w:r>
          </w:p>
        </w:tc>
        <w:tc>
          <w:tcPr>
            <w:tcW w:w="972" w:type="dxa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134,88</w:t>
            </w:r>
          </w:p>
        </w:tc>
        <w:tc>
          <w:tcPr>
            <w:tcW w:w="892" w:type="dxa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133,64</w:t>
            </w:r>
          </w:p>
        </w:tc>
        <w:tc>
          <w:tcPr>
            <w:tcW w:w="972" w:type="dxa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140,85</w:t>
            </w:r>
          </w:p>
        </w:tc>
        <w:tc>
          <w:tcPr>
            <w:tcW w:w="1155" w:type="dxa"/>
            <w:shd w:val="clear" w:color="auto" w:fill="FBD4B4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104,43</w:t>
            </w:r>
          </w:p>
        </w:tc>
        <w:tc>
          <w:tcPr>
            <w:tcW w:w="1444" w:type="dxa"/>
            <w:shd w:val="clear" w:color="auto" w:fill="FBD4B4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105,40</w:t>
            </w:r>
          </w:p>
        </w:tc>
      </w:tr>
      <w:tr w:rsidR="00513E3A" w:rsidRPr="009A018E" w:rsidTr="00513E3A">
        <w:trPr>
          <w:trHeight w:val="169"/>
        </w:trPr>
        <w:tc>
          <w:tcPr>
            <w:tcW w:w="3617" w:type="dxa"/>
            <w:vMerge/>
            <w:shd w:val="clear" w:color="auto" w:fill="FBD4B4"/>
          </w:tcPr>
          <w:p w:rsidR="00513E3A" w:rsidRPr="00374857" w:rsidRDefault="00513E3A" w:rsidP="009A018E">
            <w:pPr>
              <w:rPr>
                <w:sz w:val="20"/>
                <w:szCs w:val="22"/>
              </w:rPr>
            </w:pPr>
          </w:p>
        </w:tc>
        <w:tc>
          <w:tcPr>
            <w:tcW w:w="1262" w:type="dxa"/>
            <w:shd w:val="clear" w:color="auto" w:fill="B8CCE4"/>
          </w:tcPr>
          <w:p w:rsidR="00513E3A" w:rsidRPr="00374857" w:rsidRDefault="00513E3A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rozdíl v %</w:t>
            </w:r>
          </w:p>
        </w:tc>
        <w:tc>
          <w:tcPr>
            <w:tcW w:w="972" w:type="dxa"/>
            <w:shd w:val="clear" w:color="auto" w:fill="B8CCE4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46,39</w:t>
            </w:r>
          </w:p>
        </w:tc>
        <w:tc>
          <w:tcPr>
            <w:tcW w:w="892" w:type="dxa"/>
            <w:shd w:val="clear" w:color="auto" w:fill="B8CCE4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35,90</w:t>
            </w:r>
          </w:p>
        </w:tc>
        <w:tc>
          <w:tcPr>
            <w:tcW w:w="972" w:type="dxa"/>
            <w:shd w:val="clear" w:color="auto" w:fill="B8CCE4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33,22</w:t>
            </w:r>
          </w:p>
        </w:tc>
        <w:tc>
          <w:tcPr>
            <w:tcW w:w="1155" w:type="dxa"/>
            <w:shd w:val="clear" w:color="auto" w:fill="B8CCE4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44" w:type="dxa"/>
            <w:shd w:val="clear" w:color="auto" w:fill="B8CCE4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513E3A" w:rsidRPr="009A018E" w:rsidTr="00513E3A">
        <w:trPr>
          <w:trHeight w:val="247"/>
        </w:trPr>
        <w:tc>
          <w:tcPr>
            <w:tcW w:w="3617" w:type="dxa"/>
            <w:vMerge w:val="restart"/>
            <w:shd w:val="clear" w:color="auto" w:fill="FBD4B4"/>
          </w:tcPr>
          <w:p w:rsidR="00513E3A" w:rsidRPr="00374857" w:rsidRDefault="00513E3A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Sýr Eidam (Kč/kg)</w:t>
            </w:r>
          </w:p>
        </w:tc>
        <w:tc>
          <w:tcPr>
            <w:tcW w:w="1262" w:type="dxa"/>
          </w:tcPr>
          <w:p w:rsidR="00513E3A" w:rsidRPr="00374857" w:rsidRDefault="00513E3A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CPV</w:t>
            </w:r>
          </w:p>
        </w:tc>
        <w:tc>
          <w:tcPr>
            <w:tcW w:w="972" w:type="dxa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87,61</w:t>
            </w:r>
          </w:p>
        </w:tc>
        <w:tc>
          <w:tcPr>
            <w:tcW w:w="892" w:type="dxa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89,10</w:t>
            </w:r>
          </w:p>
        </w:tc>
        <w:tc>
          <w:tcPr>
            <w:tcW w:w="972" w:type="dxa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90,80</w:t>
            </w:r>
          </w:p>
        </w:tc>
        <w:tc>
          <w:tcPr>
            <w:tcW w:w="1155" w:type="dxa"/>
            <w:shd w:val="clear" w:color="auto" w:fill="FBD4B4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103,64</w:t>
            </w:r>
          </w:p>
        </w:tc>
        <w:tc>
          <w:tcPr>
            <w:tcW w:w="1444" w:type="dxa"/>
            <w:shd w:val="clear" w:color="auto" w:fill="FBD4B4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101,91</w:t>
            </w:r>
          </w:p>
        </w:tc>
      </w:tr>
      <w:tr w:rsidR="00513E3A" w:rsidRPr="009A018E" w:rsidTr="00513E3A">
        <w:trPr>
          <w:trHeight w:val="169"/>
        </w:trPr>
        <w:tc>
          <w:tcPr>
            <w:tcW w:w="3617" w:type="dxa"/>
            <w:vMerge/>
            <w:shd w:val="clear" w:color="auto" w:fill="FBD4B4"/>
          </w:tcPr>
          <w:p w:rsidR="00513E3A" w:rsidRPr="00374857" w:rsidRDefault="00513E3A" w:rsidP="009A018E">
            <w:pPr>
              <w:rPr>
                <w:sz w:val="20"/>
                <w:szCs w:val="22"/>
              </w:rPr>
            </w:pPr>
          </w:p>
        </w:tc>
        <w:tc>
          <w:tcPr>
            <w:tcW w:w="1262" w:type="dxa"/>
          </w:tcPr>
          <w:p w:rsidR="00513E3A" w:rsidRPr="00374857" w:rsidRDefault="00513E3A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SC</w:t>
            </w:r>
          </w:p>
        </w:tc>
        <w:tc>
          <w:tcPr>
            <w:tcW w:w="972" w:type="dxa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122,75</w:t>
            </w:r>
          </w:p>
        </w:tc>
        <w:tc>
          <w:tcPr>
            <w:tcW w:w="892" w:type="dxa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121,03</w:t>
            </w:r>
          </w:p>
        </w:tc>
        <w:tc>
          <w:tcPr>
            <w:tcW w:w="972" w:type="dxa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119,13</w:t>
            </w:r>
          </w:p>
        </w:tc>
        <w:tc>
          <w:tcPr>
            <w:tcW w:w="1155" w:type="dxa"/>
            <w:shd w:val="clear" w:color="auto" w:fill="FBD4B4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97,05</w:t>
            </w:r>
          </w:p>
        </w:tc>
        <w:tc>
          <w:tcPr>
            <w:tcW w:w="1444" w:type="dxa"/>
            <w:shd w:val="clear" w:color="auto" w:fill="FBD4B4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98,43</w:t>
            </w:r>
          </w:p>
        </w:tc>
      </w:tr>
      <w:tr w:rsidR="00513E3A" w:rsidRPr="009A018E" w:rsidTr="00513E3A">
        <w:trPr>
          <w:trHeight w:val="169"/>
        </w:trPr>
        <w:tc>
          <w:tcPr>
            <w:tcW w:w="3617" w:type="dxa"/>
            <w:vMerge/>
            <w:shd w:val="clear" w:color="auto" w:fill="FBD4B4"/>
          </w:tcPr>
          <w:p w:rsidR="00513E3A" w:rsidRPr="00374857" w:rsidRDefault="00513E3A" w:rsidP="009A018E">
            <w:pPr>
              <w:rPr>
                <w:sz w:val="20"/>
                <w:szCs w:val="22"/>
              </w:rPr>
            </w:pPr>
          </w:p>
        </w:tc>
        <w:tc>
          <w:tcPr>
            <w:tcW w:w="1262" w:type="dxa"/>
            <w:shd w:val="clear" w:color="auto" w:fill="B8CCE4"/>
          </w:tcPr>
          <w:p w:rsidR="00513E3A" w:rsidRPr="00374857" w:rsidRDefault="00513E3A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rozdíl v %</w:t>
            </w:r>
          </w:p>
        </w:tc>
        <w:tc>
          <w:tcPr>
            <w:tcW w:w="972" w:type="dxa"/>
            <w:shd w:val="clear" w:color="auto" w:fill="B8CCE4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40,11</w:t>
            </w:r>
          </w:p>
        </w:tc>
        <w:tc>
          <w:tcPr>
            <w:tcW w:w="892" w:type="dxa"/>
            <w:shd w:val="clear" w:color="auto" w:fill="B8CCE4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35,84</w:t>
            </w:r>
          </w:p>
        </w:tc>
        <w:tc>
          <w:tcPr>
            <w:tcW w:w="972" w:type="dxa"/>
            <w:shd w:val="clear" w:color="auto" w:fill="B8CCE4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31,20</w:t>
            </w:r>
          </w:p>
        </w:tc>
        <w:tc>
          <w:tcPr>
            <w:tcW w:w="1155" w:type="dxa"/>
            <w:shd w:val="clear" w:color="auto" w:fill="B8CCE4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44" w:type="dxa"/>
            <w:shd w:val="clear" w:color="auto" w:fill="B8CCE4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513E3A" w:rsidRPr="009A018E" w:rsidTr="00513E3A">
        <w:trPr>
          <w:trHeight w:val="229"/>
        </w:trPr>
        <w:tc>
          <w:tcPr>
            <w:tcW w:w="3617" w:type="dxa"/>
            <w:vMerge w:val="restart"/>
            <w:shd w:val="clear" w:color="auto" w:fill="FBD4B4"/>
          </w:tcPr>
          <w:p w:rsidR="00513E3A" w:rsidRPr="00374857" w:rsidRDefault="00513E3A" w:rsidP="009A018E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Tvaroh měkký </w:t>
            </w:r>
            <w:r w:rsidRPr="00374857">
              <w:rPr>
                <w:sz w:val="20"/>
                <w:szCs w:val="22"/>
              </w:rPr>
              <w:t>(Kč/kg)</w:t>
            </w:r>
          </w:p>
        </w:tc>
        <w:tc>
          <w:tcPr>
            <w:tcW w:w="1262" w:type="dxa"/>
          </w:tcPr>
          <w:p w:rsidR="00513E3A" w:rsidRPr="00374857" w:rsidRDefault="00513E3A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CPV</w:t>
            </w:r>
          </w:p>
        </w:tc>
        <w:tc>
          <w:tcPr>
            <w:tcW w:w="972" w:type="dxa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42,84</w:t>
            </w:r>
          </w:p>
        </w:tc>
        <w:tc>
          <w:tcPr>
            <w:tcW w:w="892" w:type="dxa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40,95</w:t>
            </w:r>
          </w:p>
        </w:tc>
        <w:tc>
          <w:tcPr>
            <w:tcW w:w="972" w:type="dxa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44,46</w:t>
            </w:r>
          </w:p>
        </w:tc>
        <w:tc>
          <w:tcPr>
            <w:tcW w:w="1155" w:type="dxa"/>
            <w:shd w:val="clear" w:color="auto" w:fill="FBD4B4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103,78</w:t>
            </w:r>
          </w:p>
        </w:tc>
        <w:tc>
          <w:tcPr>
            <w:tcW w:w="1444" w:type="dxa"/>
            <w:shd w:val="clear" w:color="auto" w:fill="FBD4B4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108,57</w:t>
            </w:r>
          </w:p>
        </w:tc>
      </w:tr>
      <w:tr w:rsidR="00513E3A" w:rsidRPr="009A018E" w:rsidTr="00513E3A">
        <w:trPr>
          <w:trHeight w:val="169"/>
        </w:trPr>
        <w:tc>
          <w:tcPr>
            <w:tcW w:w="3617" w:type="dxa"/>
            <w:vMerge/>
            <w:shd w:val="clear" w:color="auto" w:fill="FBD4B4"/>
          </w:tcPr>
          <w:p w:rsidR="00513E3A" w:rsidRPr="00374857" w:rsidRDefault="00513E3A" w:rsidP="009A018E">
            <w:pPr>
              <w:rPr>
                <w:sz w:val="20"/>
                <w:szCs w:val="22"/>
              </w:rPr>
            </w:pPr>
          </w:p>
        </w:tc>
        <w:tc>
          <w:tcPr>
            <w:tcW w:w="1262" w:type="dxa"/>
          </w:tcPr>
          <w:p w:rsidR="00513E3A" w:rsidRPr="00374857" w:rsidRDefault="00513E3A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SC</w:t>
            </w:r>
          </w:p>
        </w:tc>
        <w:tc>
          <w:tcPr>
            <w:tcW w:w="972" w:type="dxa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60,84</w:t>
            </w:r>
          </w:p>
        </w:tc>
        <w:tc>
          <w:tcPr>
            <w:tcW w:w="892" w:type="dxa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61,38</w:t>
            </w:r>
          </w:p>
        </w:tc>
        <w:tc>
          <w:tcPr>
            <w:tcW w:w="972" w:type="dxa"/>
          </w:tcPr>
          <w:p w:rsidR="00513E3A" w:rsidRDefault="00513E3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69,12</w:t>
            </w:r>
          </w:p>
        </w:tc>
        <w:tc>
          <w:tcPr>
            <w:tcW w:w="1155" w:type="dxa"/>
            <w:shd w:val="clear" w:color="auto" w:fill="FBD4B4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113,61</w:t>
            </w:r>
          </w:p>
        </w:tc>
        <w:tc>
          <w:tcPr>
            <w:tcW w:w="1444" w:type="dxa"/>
            <w:shd w:val="clear" w:color="auto" w:fill="FBD4B4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112,61</w:t>
            </w:r>
          </w:p>
        </w:tc>
      </w:tr>
      <w:tr w:rsidR="00513E3A" w:rsidRPr="009A018E" w:rsidTr="00513E3A">
        <w:trPr>
          <w:trHeight w:val="169"/>
        </w:trPr>
        <w:tc>
          <w:tcPr>
            <w:tcW w:w="3617" w:type="dxa"/>
            <w:vMerge/>
            <w:tcBorders>
              <w:bottom w:val="double" w:sz="4" w:space="0" w:color="auto"/>
            </w:tcBorders>
            <w:shd w:val="clear" w:color="auto" w:fill="FBD4B4"/>
          </w:tcPr>
          <w:p w:rsidR="00513E3A" w:rsidRPr="00374857" w:rsidRDefault="00513E3A" w:rsidP="009A018E">
            <w:pPr>
              <w:rPr>
                <w:sz w:val="20"/>
                <w:szCs w:val="22"/>
              </w:rPr>
            </w:pPr>
          </w:p>
        </w:tc>
        <w:tc>
          <w:tcPr>
            <w:tcW w:w="1262" w:type="dxa"/>
            <w:tcBorders>
              <w:bottom w:val="double" w:sz="4" w:space="0" w:color="auto"/>
            </w:tcBorders>
            <w:shd w:val="clear" w:color="auto" w:fill="B8CCE4"/>
          </w:tcPr>
          <w:p w:rsidR="00513E3A" w:rsidRPr="00374857" w:rsidRDefault="00513E3A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rozdíl v %</w:t>
            </w:r>
          </w:p>
        </w:tc>
        <w:tc>
          <w:tcPr>
            <w:tcW w:w="972" w:type="dxa"/>
            <w:tcBorders>
              <w:bottom w:val="double" w:sz="4" w:space="0" w:color="auto"/>
            </w:tcBorders>
            <w:shd w:val="clear" w:color="auto" w:fill="B8CCE4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42,02</w:t>
            </w:r>
          </w:p>
        </w:tc>
        <w:tc>
          <w:tcPr>
            <w:tcW w:w="892" w:type="dxa"/>
            <w:tcBorders>
              <w:bottom w:val="double" w:sz="4" w:space="0" w:color="auto"/>
            </w:tcBorders>
            <w:shd w:val="clear" w:color="auto" w:fill="B8CCE4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49,89</w:t>
            </w:r>
          </w:p>
        </w:tc>
        <w:tc>
          <w:tcPr>
            <w:tcW w:w="972" w:type="dxa"/>
            <w:tcBorders>
              <w:bottom w:val="double" w:sz="4" w:space="0" w:color="auto"/>
            </w:tcBorders>
            <w:shd w:val="clear" w:color="auto" w:fill="B8CCE4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55,47</w:t>
            </w:r>
          </w:p>
        </w:tc>
        <w:tc>
          <w:tcPr>
            <w:tcW w:w="1155" w:type="dxa"/>
            <w:tcBorders>
              <w:bottom w:val="double" w:sz="4" w:space="0" w:color="auto"/>
            </w:tcBorders>
            <w:shd w:val="clear" w:color="auto" w:fill="B8CCE4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44" w:type="dxa"/>
            <w:tcBorders>
              <w:bottom w:val="double" w:sz="4" w:space="0" w:color="auto"/>
            </w:tcBorders>
            <w:shd w:val="clear" w:color="auto" w:fill="B8CCE4"/>
          </w:tcPr>
          <w:p w:rsidR="00513E3A" w:rsidRDefault="00513E3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</w:tr>
    </w:tbl>
    <w:p w:rsidR="00CD7824" w:rsidRPr="009A018E" w:rsidRDefault="00CD7824" w:rsidP="009A018E">
      <w:pPr>
        <w:sectPr w:rsidR="00CD7824" w:rsidRPr="009A018E" w:rsidSect="000B309D">
          <w:footerReference w:type="even" r:id="rId9"/>
          <w:footerReference w:type="default" r:id="rId10"/>
          <w:pgSz w:w="11906" w:h="16838"/>
          <w:pgMar w:top="720" w:right="720" w:bottom="720" w:left="720" w:header="709" w:footer="709" w:gutter="0"/>
          <w:cols w:space="708"/>
          <w:docGrid w:linePitch="326"/>
        </w:sectPr>
      </w:pPr>
    </w:p>
    <w:p w:rsidR="00CD7824" w:rsidRDefault="00CD7824" w:rsidP="009A018E">
      <w:r w:rsidRPr="0098477D">
        <w:rPr>
          <w:i/>
          <w:sz w:val="18"/>
          <w:szCs w:val="18"/>
        </w:rPr>
        <w:lastRenderedPageBreak/>
        <w:t>Pramen: Rezortní statistika Mlék (</w:t>
      </w:r>
      <w:proofErr w:type="spellStart"/>
      <w:r w:rsidRPr="0098477D">
        <w:rPr>
          <w:i/>
          <w:sz w:val="18"/>
          <w:szCs w:val="18"/>
        </w:rPr>
        <w:t>MZe</w:t>
      </w:r>
      <w:proofErr w:type="spellEnd"/>
      <w:r w:rsidRPr="0098477D">
        <w:rPr>
          <w:i/>
          <w:sz w:val="18"/>
          <w:szCs w:val="18"/>
        </w:rPr>
        <w:t>) 6-12, ČSÚ</w:t>
      </w:r>
      <w:r w:rsidR="002056B1">
        <w:rPr>
          <w:i/>
          <w:sz w:val="18"/>
          <w:szCs w:val="18"/>
        </w:rPr>
        <w:t xml:space="preserve"> </w:t>
      </w:r>
    </w:p>
    <w:p w:rsidR="004151D2" w:rsidRPr="009A018E" w:rsidRDefault="004151D2" w:rsidP="009A018E">
      <w:pPr>
        <w:sectPr w:rsidR="004151D2" w:rsidRPr="009A018E" w:rsidSect="00684B04">
          <w:type w:val="continuous"/>
          <w:pgSz w:w="11906" w:h="16838"/>
          <w:pgMar w:top="1418" w:right="851" w:bottom="1418" w:left="851" w:header="709" w:footer="709" w:gutter="0"/>
          <w:cols w:space="708"/>
        </w:sectPr>
      </w:pPr>
    </w:p>
    <w:p w:rsidR="00CD7824" w:rsidRPr="009A018E" w:rsidRDefault="00CD7824" w:rsidP="004151D2">
      <w:pPr>
        <w:ind w:left="284" w:hanging="284"/>
      </w:pPr>
    </w:p>
    <w:p w:rsidR="00CD7824" w:rsidRDefault="00CD7824" w:rsidP="009A018E"/>
    <w:p w:rsidR="008477C0" w:rsidRDefault="008477C0" w:rsidP="009A018E"/>
    <w:p w:rsidR="00C36F52" w:rsidRDefault="00C36F52" w:rsidP="009A018E"/>
    <w:p w:rsidR="00C36F52" w:rsidRDefault="00BF6060" w:rsidP="009A018E">
      <w:r w:rsidRPr="00BF6060">
        <w:rPr>
          <w:noProof/>
        </w:rPr>
        <w:lastRenderedPageBreak/>
        <w:drawing>
          <wp:inline distT="0" distB="0" distL="0" distR="0">
            <wp:extent cx="3314700" cy="2466975"/>
            <wp:effectExtent l="19050" t="0" r="19050" b="0"/>
            <wp:docPr id="5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F6060" w:rsidRDefault="00BF6060" w:rsidP="009A018E"/>
    <w:p w:rsidR="00BF6060" w:rsidRDefault="00BF6060" w:rsidP="009A018E"/>
    <w:p w:rsidR="00BF6060" w:rsidRDefault="00BF6060" w:rsidP="009A018E"/>
    <w:p w:rsidR="008477C0" w:rsidRDefault="00074A94" w:rsidP="009A018E">
      <w:r w:rsidRPr="00074A94">
        <w:rPr>
          <w:noProof/>
        </w:rPr>
        <w:lastRenderedPageBreak/>
        <w:drawing>
          <wp:inline distT="0" distB="0" distL="0" distR="0">
            <wp:extent cx="3195320" cy="2466975"/>
            <wp:effectExtent l="19050" t="0" r="24130" b="0"/>
            <wp:docPr id="2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254E0" w:rsidRDefault="000254E0" w:rsidP="009A018E"/>
    <w:p w:rsidR="00CD7824" w:rsidRPr="009A018E" w:rsidRDefault="00CD7824" w:rsidP="009A018E">
      <w:pPr>
        <w:sectPr w:rsidR="00CD7824" w:rsidRPr="009A018E" w:rsidSect="00457CC5">
          <w:type w:val="continuous"/>
          <w:pgSz w:w="11906" w:h="16838"/>
          <w:pgMar w:top="1418" w:right="567" w:bottom="1418" w:left="567" w:header="709" w:footer="709" w:gutter="0"/>
          <w:cols w:num="2" w:space="708" w:equalWidth="0">
            <w:col w:w="5032" w:space="708"/>
            <w:col w:w="5032"/>
          </w:cols>
        </w:sectPr>
      </w:pPr>
    </w:p>
    <w:p w:rsidR="00BF749F" w:rsidRPr="007B426C" w:rsidRDefault="00BF749F" w:rsidP="0088599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6DDE8"/>
        <w:jc w:val="center"/>
        <w:outlineLvl w:val="0"/>
        <w:rPr>
          <w:b/>
        </w:rPr>
      </w:pPr>
      <w:r w:rsidRPr="007B426C">
        <w:rPr>
          <w:b/>
        </w:rPr>
        <w:lastRenderedPageBreak/>
        <w:t xml:space="preserve">Zahraniční obchod </w:t>
      </w:r>
      <w:r>
        <w:rPr>
          <w:b/>
        </w:rPr>
        <w:t xml:space="preserve">leden až </w:t>
      </w:r>
      <w:r w:rsidR="00513E3A">
        <w:rPr>
          <w:b/>
        </w:rPr>
        <w:t>listopad</w:t>
      </w:r>
      <w:r>
        <w:rPr>
          <w:b/>
        </w:rPr>
        <w:t xml:space="preserve"> 20</w:t>
      </w:r>
      <w:r w:rsidR="0085644D">
        <w:rPr>
          <w:b/>
        </w:rPr>
        <w:t>10</w:t>
      </w:r>
      <w:r>
        <w:rPr>
          <w:b/>
        </w:rPr>
        <w:t xml:space="preserve"> a 201</w:t>
      </w:r>
      <w:r w:rsidR="0085644D">
        <w:rPr>
          <w:b/>
        </w:rPr>
        <w:t>1</w:t>
      </w:r>
    </w:p>
    <w:p w:rsidR="00CD7824" w:rsidRDefault="00CD7824" w:rsidP="009A018E"/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7"/>
        <w:gridCol w:w="1929"/>
        <w:gridCol w:w="1769"/>
        <w:gridCol w:w="1769"/>
        <w:gridCol w:w="1569"/>
      </w:tblGrid>
      <w:tr w:rsidR="00BF749F" w:rsidRPr="007D3526" w:rsidTr="0088599E">
        <w:trPr>
          <w:trHeight w:val="212"/>
        </w:trPr>
        <w:tc>
          <w:tcPr>
            <w:tcW w:w="3177" w:type="dxa"/>
            <w:vMerge w:val="restart"/>
            <w:shd w:val="clear" w:color="auto" w:fill="FBD4B4"/>
          </w:tcPr>
          <w:p w:rsidR="00BF749F" w:rsidRPr="007D3526" w:rsidRDefault="00BF749F" w:rsidP="00291D3E">
            <w:pPr>
              <w:ind w:hanging="71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Ukazatel/rok (v tis. Kč)</w:t>
            </w:r>
          </w:p>
        </w:tc>
        <w:tc>
          <w:tcPr>
            <w:tcW w:w="3698" w:type="dxa"/>
            <w:gridSpan w:val="2"/>
            <w:shd w:val="clear" w:color="auto" w:fill="FBD4B4"/>
          </w:tcPr>
          <w:p w:rsidR="00BF749F" w:rsidRPr="007D3526" w:rsidRDefault="0085644D" w:rsidP="00513E3A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 xml:space="preserve">Leden - </w:t>
            </w:r>
            <w:r w:rsidR="00513E3A">
              <w:rPr>
                <w:b/>
                <w:sz w:val="20"/>
              </w:rPr>
              <w:t>listopad</w:t>
            </w:r>
          </w:p>
        </w:tc>
        <w:tc>
          <w:tcPr>
            <w:tcW w:w="3338" w:type="dxa"/>
            <w:gridSpan w:val="2"/>
            <w:shd w:val="clear" w:color="auto" w:fill="FBD4B4"/>
          </w:tcPr>
          <w:p w:rsidR="00BF749F" w:rsidRPr="007D3526" w:rsidRDefault="00BF749F" w:rsidP="0085644D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Změna 201</w:t>
            </w:r>
            <w:r w:rsidR="0085644D" w:rsidRPr="007D3526">
              <w:rPr>
                <w:b/>
                <w:sz w:val="20"/>
              </w:rPr>
              <w:t>1</w:t>
            </w:r>
            <w:r w:rsidRPr="007D3526">
              <w:rPr>
                <w:b/>
                <w:sz w:val="20"/>
              </w:rPr>
              <w:t>/20</w:t>
            </w:r>
            <w:r w:rsidR="0085644D" w:rsidRPr="007D3526">
              <w:rPr>
                <w:b/>
                <w:sz w:val="20"/>
              </w:rPr>
              <w:t>10</w:t>
            </w:r>
          </w:p>
        </w:tc>
      </w:tr>
      <w:tr w:rsidR="00BF749F" w:rsidRPr="007D3526" w:rsidTr="0088599E">
        <w:trPr>
          <w:trHeight w:val="143"/>
        </w:trPr>
        <w:tc>
          <w:tcPr>
            <w:tcW w:w="3177" w:type="dxa"/>
            <w:vMerge/>
            <w:shd w:val="clear" w:color="auto" w:fill="FBD4B4"/>
          </w:tcPr>
          <w:p w:rsidR="00BF749F" w:rsidRPr="007D3526" w:rsidRDefault="00BF749F" w:rsidP="00291D3E">
            <w:pPr>
              <w:ind w:right="29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1929" w:type="dxa"/>
            <w:shd w:val="clear" w:color="auto" w:fill="FBD4B4"/>
          </w:tcPr>
          <w:p w:rsidR="00BF749F" w:rsidRPr="007D3526" w:rsidRDefault="00BF749F" w:rsidP="0085644D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</w:t>
            </w:r>
            <w:r w:rsidR="0085644D" w:rsidRPr="007D3526">
              <w:rPr>
                <w:b/>
                <w:sz w:val="20"/>
              </w:rPr>
              <w:t>10</w:t>
            </w:r>
          </w:p>
        </w:tc>
        <w:tc>
          <w:tcPr>
            <w:tcW w:w="1768" w:type="dxa"/>
            <w:shd w:val="clear" w:color="auto" w:fill="FBD4B4"/>
          </w:tcPr>
          <w:p w:rsidR="00BF749F" w:rsidRPr="007D3526" w:rsidRDefault="00BF749F" w:rsidP="0085644D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</w:t>
            </w:r>
            <w:r w:rsidR="0085644D" w:rsidRPr="007D3526">
              <w:rPr>
                <w:b/>
                <w:sz w:val="20"/>
              </w:rPr>
              <w:t>11</w:t>
            </w:r>
          </w:p>
        </w:tc>
        <w:tc>
          <w:tcPr>
            <w:tcW w:w="1769" w:type="dxa"/>
            <w:shd w:val="clear" w:color="auto" w:fill="FBD4B4"/>
          </w:tcPr>
          <w:p w:rsidR="00BF749F" w:rsidRPr="007D3526" w:rsidRDefault="00BF749F" w:rsidP="00291D3E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v tis. Kč</w:t>
            </w:r>
          </w:p>
        </w:tc>
        <w:tc>
          <w:tcPr>
            <w:tcW w:w="1569" w:type="dxa"/>
            <w:shd w:val="clear" w:color="auto" w:fill="FBD4B4"/>
          </w:tcPr>
          <w:p w:rsidR="00BF749F" w:rsidRPr="007D3526" w:rsidRDefault="00BF749F" w:rsidP="00291D3E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Index</w:t>
            </w:r>
          </w:p>
        </w:tc>
      </w:tr>
      <w:tr w:rsidR="00BF749F" w:rsidRPr="007D3526" w:rsidTr="007D3526">
        <w:trPr>
          <w:trHeight w:val="482"/>
        </w:trPr>
        <w:tc>
          <w:tcPr>
            <w:tcW w:w="3177" w:type="dxa"/>
          </w:tcPr>
          <w:p w:rsidR="00BF749F" w:rsidRPr="007D3526" w:rsidRDefault="00BF749F" w:rsidP="00291D3E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Vývoz mléka a ml. výrobků </w:t>
            </w:r>
          </w:p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929" w:type="dxa"/>
            <w:vAlign w:val="center"/>
          </w:tcPr>
          <w:p w:rsidR="00BF749F" w:rsidRPr="007D3526" w:rsidRDefault="00192AB0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11 384 523</w:t>
            </w:r>
          </w:p>
        </w:tc>
        <w:tc>
          <w:tcPr>
            <w:tcW w:w="1768" w:type="dxa"/>
            <w:vAlign w:val="center"/>
          </w:tcPr>
          <w:p w:rsidR="00BF749F" w:rsidRPr="007D3526" w:rsidRDefault="00192AB0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13 498 667</w:t>
            </w:r>
          </w:p>
        </w:tc>
        <w:tc>
          <w:tcPr>
            <w:tcW w:w="1769" w:type="dxa"/>
            <w:vAlign w:val="center"/>
          </w:tcPr>
          <w:p w:rsidR="00BF749F" w:rsidRPr="007D3526" w:rsidRDefault="00192AB0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2 114 144</w:t>
            </w:r>
          </w:p>
        </w:tc>
        <w:tc>
          <w:tcPr>
            <w:tcW w:w="1569" w:type="dxa"/>
            <w:vAlign w:val="center"/>
          </w:tcPr>
          <w:p w:rsidR="00BF749F" w:rsidRPr="007D3526" w:rsidRDefault="00192AB0" w:rsidP="007D3526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118,6</w:t>
            </w:r>
          </w:p>
        </w:tc>
      </w:tr>
      <w:tr w:rsidR="00BF749F" w:rsidRPr="007D3526" w:rsidTr="007D3526">
        <w:trPr>
          <w:trHeight w:val="502"/>
        </w:trPr>
        <w:tc>
          <w:tcPr>
            <w:tcW w:w="3177" w:type="dxa"/>
          </w:tcPr>
          <w:p w:rsidR="00BF749F" w:rsidRPr="007D3526" w:rsidRDefault="00BF749F" w:rsidP="00291D3E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Dovoz mléka a ml. výrobků </w:t>
            </w:r>
          </w:p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929" w:type="dxa"/>
            <w:vAlign w:val="center"/>
          </w:tcPr>
          <w:p w:rsidR="00BF749F" w:rsidRPr="007D3526" w:rsidRDefault="00192AB0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8 985 655</w:t>
            </w:r>
          </w:p>
        </w:tc>
        <w:tc>
          <w:tcPr>
            <w:tcW w:w="1768" w:type="dxa"/>
            <w:vAlign w:val="center"/>
          </w:tcPr>
          <w:p w:rsidR="00BF749F" w:rsidRPr="007D3526" w:rsidRDefault="00192AB0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9 553 281</w:t>
            </w:r>
          </w:p>
        </w:tc>
        <w:tc>
          <w:tcPr>
            <w:tcW w:w="1769" w:type="dxa"/>
            <w:vAlign w:val="center"/>
          </w:tcPr>
          <w:p w:rsidR="00BF749F" w:rsidRPr="007D3526" w:rsidRDefault="00192AB0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567 626</w:t>
            </w:r>
          </w:p>
        </w:tc>
        <w:tc>
          <w:tcPr>
            <w:tcW w:w="1569" w:type="dxa"/>
            <w:vAlign w:val="center"/>
          </w:tcPr>
          <w:p w:rsidR="00BF749F" w:rsidRPr="007D3526" w:rsidRDefault="00192AB0" w:rsidP="007D3526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106,3</w:t>
            </w:r>
          </w:p>
        </w:tc>
      </w:tr>
      <w:tr w:rsidR="00BF749F" w:rsidRPr="007D3526" w:rsidTr="007D3526">
        <w:trPr>
          <w:trHeight w:val="482"/>
        </w:trPr>
        <w:tc>
          <w:tcPr>
            <w:tcW w:w="3177" w:type="dxa"/>
          </w:tcPr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Bilance (saldo) mléka a ml. výrob.</w:t>
            </w:r>
          </w:p>
        </w:tc>
        <w:tc>
          <w:tcPr>
            <w:tcW w:w="1929" w:type="dxa"/>
            <w:vAlign w:val="center"/>
          </w:tcPr>
          <w:p w:rsidR="007D3526" w:rsidRPr="007D3526" w:rsidRDefault="00192AB0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2 398 868</w:t>
            </w:r>
          </w:p>
        </w:tc>
        <w:tc>
          <w:tcPr>
            <w:tcW w:w="1768" w:type="dxa"/>
            <w:vAlign w:val="center"/>
          </w:tcPr>
          <w:p w:rsidR="00BF749F" w:rsidRPr="007D3526" w:rsidRDefault="00192AB0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3 945 386</w:t>
            </w:r>
          </w:p>
        </w:tc>
        <w:tc>
          <w:tcPr>
            <w:tcW w:w="1769" w:type="dxa"/>
            <w:vAlign w:val="center"/>
          </w:tcPr>
          <w:p w:rsidR="00BF749F" w:rsidRPr="007D3526" w:rsidRDefault="00192AB0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1 546 518</w:t>
            </w:r>
          </w:p>
        </w:tc>
        <w:tc>
          <w:tcPr>
            <w:tcW w:w="1569" w:type="dxa"/>
            <w:vAlign w:val="center"/>
          </w:tcPr>
          <w:p w:rsidR="00BF749F" w:rsidRPr="007D3526" w:rsidRDefault="00192AB0" w:rsidP="00D93B91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164,5</w:t>
            </w:r>
          </w:p>
        </w:tc>
      </w:tr>
      <w:tr w:rsidR="00BF749F" w:rsidRPr="007D3526" w:rsidTr="007D3526">
        <w:trPr>
          <w:trHeight w:val="251"/>
        </w:trPr>
        <w:tc>
          <w:tcPr>
            <w:tcW w:w="3177" w:type="dxa"/>
          </w:tcPr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Obrat</w:t>
            </w:r>
          </w:p>
        </w:tc>
        <w:tc>
          <w:tcPr>
            <w:tcW w:w="1929" w:type="dxa"/>
            <w:vAlign w:val="center"/>
          </w:tcPr>
          <w:p w:rsidR="00BF749F" w:rsidRPr="007D3526" w:rsidRDefault="00192AB0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20 370 178</w:t>
            </w:r>
          </w:p>
        </w:tc>
        <w:tc>
          <w:tcPr>
            <w:tcW w:w="1768" w:type="dxa"/>
            <w:vAlign w:val="center"/>
          </w:tcPr>
          <w:p w:rsidR="00BF749F" w:rsidRPr="007D3526" w:rsidRDefault="00192AB0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23 051 948</w:t>
            </w:r>
          </w:p>
        </w:tc>
        <w:tc>
          <w:tcPr>
            <w:tcW w:w="1769" w:type="dxa"/>
            <w:vAlign w:val="center"/>
          </w:tcPr>
          <w:p w:rsidR="00BF749F" w:rsidRPr="007D3526" w:rsidRDefault="00192AB0" w:rsidP="007D3526">
            <w:pPr>
              <w:ind w:right="29"/>
              <w:jc w:val="right"/>
              <w:rPr>
                <w:caps/>
                <w:sz w:val="20"/>
              </w:rPr>
            </w:pPr>
            <w:r>
              <w:rPr>
                <w:caps/>
                <w:sz w:val="20"/>
              </w:rPr>
              <w:t>2 681 770</w:t>
            </w:r>
          </w:p>
        </w:tc>
        <w:tc>
          <w:tcPr>
            <w:tcW w:w="1569" w:type="dxa"/>
            <w:vAlign w:val="center"/>
          </w:tcPr>
          <w:p w:rsidR="00BF749F" w:rsidRPr="007D3526" w:rsidRDefault="00192AB0" w:rsidP="007D3526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113,2</w:t>
            </w:r>
          </w:p>
        </w:tc>
      </w:tr>
    </w:tbl>
    <w:p w:rsidR="00BF749F" w:rsidRDefault="00BF749F" w:rsidP="00BF749F">
      <w:pPr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</w:p>
    <w:p w:rsidR="00F432DD" w:rsidRPr="007B426C" w:rsidRDefault="00F432DD" w:rsidP="00BF749F">
      <w:pPr>
        <w:rPr>
          <w:i/>
          <w:sz w:val="18"/>
          <w:szCs w:val="18"/>
        </w:rPr>
      </w:pPr>
    </w:p>
    <w:p w:rsidR="00BA1FE1" w:rsidRPr="00170C55" w:rsidRDefault="00F432DD" w:rsidP="00BA1FE1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>Dosažená f</w:t>
      </w:r>
      <w:r w:rsidR="00BA1FE1">
        <w:rPr>
          <w:sz w:val="22"/>
          <w:szCs w:val="22"/>
        </w:rPr>
        <w:t xml:space="preserve">inanční hodnota vývozu mléka a mléčných výrobků je ovlivněna zejména </w:t>
      </w:r>
      <w:r>
        <w:rPr>
          <w:sz w:val="22"/>
          <w:szCs w:val="22"/>
        </w:rPr>
        <w:t>velkým objemem v</w:t>
      </w:r>
      <w:r w:rsidR="00BA1FE1">
        <w:rPr>
          <w:sz w:val="22"/>
          <w:szCs w:val="22"/>
        </w:rPr>
        <w:t>ý</w:t>
      </w:r>
      <w:r>
        <w:rPr>
          <w:sz w:val="22"/>
          <w:szCs w:val="22"/>
        </w:rPr>
        <w:t>v</w:t>
      </w:r>
      <w:r w:rsidR="00BA1FE1">
        <w:rPr>
          <w:sz w:val="22"/>
          <w:szCs w:val="22"/>
        </w:rPr>
        <w:t>oz</w:t>
      </w:r>
      <w:r>
        <w:rPr>
          <w:sz w:val="22"/>
          <w:szCs w:val="22"/>
        </w:rPr>
        <w:t>u mléčné suroviny</w:t>
      </w:r>
      <w:r w:rsidR="00BA1FE1">
        <w:rPr>
          <w:sz w:val="22"/>
          <w:szCs w:val="22"/>
        </w:rPr>
        <w:t xml:space="preserve"> a smetany k dalšímu zpracování v</w:t>
      </w:r>
      <w:r>
        <w:rPr>
          <w:sz w:val="22"/>
          <w:szCs w:val="22"/>
        </w:rPr>
        <w:t> </w:t>
      </w:r>
      <w:r w:rsidR="00BA1FE1">
        <w:rPr>
          <w:sz w:val="22"/>
          <w:szCs w:val="22"/>
        </w:rPr>
        <w:t>zahraničí</w:t>
      </w:r>
      <w:r>
        <w:rPr>
          <w:sz w:val="22"/>
          <w:szCs w:val="22"/>
        </w:rPr>
        <w:t xml:space="preserve"> (</w:t>
      </w:r>
      <w:r w:rsidRPr="00F432DD">
        <w:rPr>
          <w:sz w:val="22"/>
          <w:szCs w:val="22"/>
          <w:u w:val="single"/>
        </w:rPr>
        <w:t>v</w:t>
      </w:r>
      <w:r w:rsidR="00BA1FE1" w:rsidRPr="00A93732">
        <w:rPr>
          <w:sz w:val="22"/>
          <w:szCs w:val="22"/>
          <w:u w:val="single"/>
        </w:rPr>
        <w:t>ývoz zboží s nízkou přidanou hodnotou</w:t>
      </w:r>
      <w:r>
        <w:rPr>
          <w:sz w:val="22"/>
          <w:szCs w:val="22"/>
          <w:u w:val="single"/>
        </w:rPr>
        <w:t xml:space="preserve">), </w:t>
      </w:r>
      <w:r w:rsidRPr="00F432DD">
        <w:rPr>
          <w:sz w:val="22"/>
          <w:szCs w:val="22"/>
        </w:rPr>
        <w:t>vyšším objeme</w:t>
      </w:r>
      <w:r>
        <w:rPr>
          <w:sz w:val="22"/>
          <w:szCs w:val="22"/>
        </w:rPr>
        <w:t>m</w:t>
      </w:r>
      <w:r w:rsidRPr="00F432DD">
        <w:rPr>
          <w:sz w:val="22"/>
          <w:szCs w:val="22"/>
        </w:rPr>
        <w:t xml:space="preserve"> vývozu sýrů a tvarohů, vyšší úrovní vývozních cen.</w:t>
      </w:r>
    </w:p>
    <w:p w:rsidR="00170C55" w:rsidRDefault="00170C55" w:rsidP="009C190A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>Trvale záporná bilance zahraničního obchodu u másla a sýrů a tvarohů.</w:t>
      </w:r>
    </w:p>
    <w:p w:rsidR="00C4420E" w:rsidRDefault="00C4420E" w:rsidP="00BF749F">
      <w:pPr>
        <w:ind w:left="284"/>
        <w:outlineLvl w:val="0"/>
        <w:rPr>
          <w:b/>
        </w:rPr>
      </w:pPr>
    </w:p>
    <w:p w:rsidR="00BF749F" w:rsidRPr="007B426C" w:rsidRDefault="000D0E8F" w:rsidP="00BF749F">
      <w:pPr>
        <w:ind w:left="284"/>
        <w:outlineLvl w:val="0"/>
        <w:rPr>
          <w:b/>
        </w:rPr>
      </w:pPr>
      <w:r>
        <w:rPr>
          <w:b/>
        </w:rPr>
        <w:t xml:space="preserve">Vývoj </w:t>
      </w:r>
      <w:proofErr w:type="spellStart"/>
      <w:r>
        <w:rPr>
          <w:b/>
        </w:rPr>
        <w:t>zahran</w:t>
      </w:r>
      <w:proofErr w:type="spellEnd"/>
      <w:r>
        <w:rPr>
          <w:b/>
        </w:rPr>
        <w:t>.</w:t>
      </w:r>
      <w:r w:rsidR="00BF749F" w:rsidRPr="007B426C">
        <w:rPr>
          <w:b/>
        </w:rPr>
        <w:t xml:space="preserve"> obchodu s mlékem a mlékárenskými výrobky za </w:t>
      </w:r>
      <w:r w:rsidR="0085644D">
        <w:rPr>
          <w:b/>
        </w:rPr>
        <w:t xml:space="preserve">leden až </w:t>
      </w:r>
      <w:r w:rsidR="00513E3A">
        <w:rPr>
          <w:b/>
        </w:rPr>
        <w:t>listopad</w:t>
      </w:r>
      <w:r w:rsidR="000E23BE">
        <w:rPr>
          <w:b/>
        </w:rPr>
        <w:t xml:space="preserve"> </w:t>
      </w:r>
      <w:r w:rsidR="0085644D">
        <w:rPr>
          <w:b/>
        </w:rPr>
        <w:t>2011 a 2010</w:t>
      </w:r>
    </w:p>
    <w:tbl>
      <w:tblPr>
        <w:tblW w:w="10066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38"/>
        <w:gridCol w:w="632"/>
        <w:gridCol w:w="919"/>
        <w:gridCol w:w="932"/>
        <w:gridCol w:w="964"/>
        <w:gridCol w:w="688"/>
        <w:gridCol w:w="817"/>
        <w:gridCol w:w="1110"/>
        <w:gridCol w:w="1105"/>
        <w:gridCol w:w="1161"/>
      </w:tblGrid>
      <w:tr w:rsidR="00BF749F" w:rsidRPr="009A018E" w:rsidTr="0088599E">
        <w:trPr>
          <w:cantSplit/>
          <w:trHeight w:val="412"/>
        </w:trPr>
        <w:tc>
          <w:tcPr>
            <w:tcW w:w="1738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rPr>
                <w:b/>
                <w:sz w:val="20"/>
              </w:rPr>
            </w:pPr>
            <w:r w:rsidRPr="007B426C">
              <w:rPr>
                <w:b/>
                <w:sz w:val="20"/>
              </w:rPr>
              <w:t>Název zboží</w:t>
            </w:r>
          </w:p>
        </w:tc>
        <w:tc>
          <w:tcPr>
            <w:tcW w:w="632" w:type="dxa"/>
            <w:vMerge w:val="restart"/>
            <w:tcBorders>
              <w:top w:val="double" w:sz="4" w:space="0" w:color="auto"/>
              <w:bottom w:val="nil"/>
            </w:tcBorders>
            <w:shd w:val="clear" w:color="auto" w:fill="FBD4B4"/>
            <w:vAlign w:val="center"/>
          </w:tcPr>
          <w:p w:rsidR="00A93732" w:rsidRPr="00D850D8" w:rsidRDefault="007C4C8F" w:rsidP="00301D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I-</w:t>
            </w:r>
            <w:r w:rsidR="00301D61">
              <w:rPr>
                <w:b/>
                <w:sz w:val="16"/>
                <w:szCs w:val="16"/>
              </w:rPr>
              <w:t>X</w:t>
            </w:r>
            <w:r w:rsidR="00513E3A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2815" w:type="dxa"/>
            <w:gridSpan w:val="3"/>
            <w:tcBorders>
              <w:top w:val="double" w:sz="4" w:space="0" w:color="auto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Objem (tuny)</w:t>
            </w:r>
          </w:p>
        </w:tc>
        <w:tc>
          <w:tcPr>
            <w:tcW w:w="1505" w:type="dxa"/>
            <w:gridSpan w:val="2"/>
            <w:tcBorders>
              <w:top w:val="double" w:sz="4" w:space="0" w:color="auto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sym w:font="Symbol" w:char="F0C6"/>
            </w:r>
            <w:r w:rsidRPr="007B426C">
              <w:rPr>
                <w:b/>
                <w:sz w:val="18"/>
                <w:szCs w:val="18"/>
              </w:rPr>
              <w:t xml:space="preserve"> cena (Kč/kg)</w:t>
            </w:r>
          </w:p>
        </w:tc>
        <w:tc>
          <w:tcPr>
            <w:tcW w:w="3376" w:type="dxa"/>
            <w:gridSpan w:val="3"/>
            <w:tcBorders>
              <w:top w:val="double" w:sz="4" w:space="0" w:color="auto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Finanční hodnota (tis. Kč)</w:t>
            </w:r>
          </w:p>
        </w:tc>
      </w:tr>
      <w:tr w:rsidR="00BF749F" w:rsidRPr="009A018E" w:rsidTr="0088599E">
        <w:trPr>
          <w:cantSplit/>
          <w:trHeight w:val="412"/>
        </w:trPr>
        <w:tc>
          <w:tcPr>
            <w:tcW w:w="1738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rPr>
                <w:sz w:val="20"/>
              </w:rPr>
            </w:pPr>
          </w:p>
        </w:tc>
        <w:tc>
          <w:tcPr>
            <w:tcW w:w="632" w:type="dxa"/>
            <w:vMerge/>
            <w:tcBorders>
              <w:top w:val="nil"/>
              <w:bottom w:val="double" w:sz="4" w:space="0" w:color="auto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rPr>
                <w:sz w:val="20"/>
              </w:rPr>
            </w:pPr>
          </w:p>
        </w:tc>
        <w:tc>
          <w:tcPr>
            <w:tcW w:w="919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291D3E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932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291D3E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291D3E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  <w:tc>
          <w:tcPr>
            <w:tcW w:w="688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9C190A" w:rsidRDefault="00BF749F" w:rsidP="00291D3E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DOVOZ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9C190A" w:rsidRDefault="00BF749F" w:rsidP="00291D3E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VÝVOZ</w:t>
            </w:r>
          </w:p>
        </w:tc>
        <w:tc>
          <w:tcPr>
            <w:tcW w:w="1110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291D3E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1105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291D3E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291D3E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</w:tr>
      <w:tr w:rsidR="00BF749F" w:rsidRPr="009A018E" w:rsidTr="0085644D">
        <w:trPr>
          <w:cantSplit/>
          <w:trHeight w:val="412"/>
        </w:trPr>
        <w:tc>
          <w:tcPr>
            <w:tcW w:w="1738" w:type="dxa"/>
            <w:tcBorders>
              <w:top w:val="nil"/>
              <w:left w:val="double" w:sz="4" w:space="0" w:color="auto"/>
            </w:tcBorders>
            <w:vAlign w:val="center"/>
          </w:tcPr>
          <w:p w:rsidR="00BF749F" w:rsidRPr="007B426C" w:rsidRDefault="00BF749F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Mléko a smet. </w:t>
            </w:r>
            <w:proofErr w:type="spellStart"/>
            <w:r w:rsidRPr="007B426C">
              <w:rPr>
                <w:sz w:val="20"/>
              </w:rPr>
              <w:t>nezah</w:t>
            </w:r>
            <w:proofErr w:type="spellEnd"/>
            <w:r w:rsidRPr="007B426C">
              <w:rPr>
                <w:sz w:val="20"/>
              </w:rPr>
              <w:t>. (0401)</w:t>
            </w:r>
          </w:p>
        </w:tc>
        <w:tc>
          <w:tcPr>
            <w:tcW w:w="632" w:type="dxa"/>
            <w:tcBorders>
              <w:top w:val="nil"/>
            </w:tcBorders>
            <w:vAlign w:val="center"/>
          </w:tcPr>
          <w:p w:rsidR="00BF749F" w:rsidRPr="007B426C" w:rsidRDefault="00BF749F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 w:rsidR="0085644D">
              <w:rPr>
                <w:sz w:val="20"/>
              </w:rPr>
              <w:t>10</w:t>
            </w:r>
          </w:p>
          <w:p w:rsidR="00BF749F" w:rsidRPr="007B426C" w:rsidRDefault="00BF749F" w:rsidP="0085644D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 w:rsidR="0085644D">
              <w:rPr>
                <w:sz w:val="20"/>
              </w:rPr>
              <w:t>1</w:t>
            </w:r>
          </w:p>
        </w:tc>
        <w:tc>
          <w:tcPr>
            <w:tcW w:w="919" w:type="dxa"/>
            <w:tcBorders>
              <w:top w:val="nil"/>
            </w:tcBorders>
            <w:vAlign w:val="center"/>
          </w:tcPr>
          <w:p w:rsidR="00F3693D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67 309</w:t>
            </w:r>
          </w:p>
          <w:p w:rsidR="00192AB0" w:rsidRPr="007B426C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66 526</w:t>
            </w:r>
          </w:p>
        </w:tc>
        <w:tc>
          <w:tcPr>
            <w:tcW w:w="932" w:type="dxa"/>
            <w:tcBorders>
              <w:top w:val="nil"/>
            </w:tcBorders>
            <w:vAlign w:val="center"/>
          </w:tcPr>
          <w:p w:rsidR="00F3693D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532 216</w:t>
            </w:r>
          </w:p>
          <w:p w:rsidR="00192AB0" w:rsidRPr="007B426C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580 736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 w:rsidR="00F3693D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464 907</w:t>
            </w:r>
          </w:p>
          <w:p w:rsidR="00192AB0" w:rsidRPr="007B426C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514 210</w:t>
            </w:r>
          </w:p>
        </w:tc>
        <w:tc>
          <w:tcPr>
            <w:tcW w:w="688" w:type="dxa"/>
            <w:tcBorders>
              <w:top w:val="nil"/>
            </w:tcBorders>
            <w:vAlign w:val="center"/>
          </w:tcPr>
          <w:p w:rsidR="00F3693D" w:rsidRDefault="00192AB0" w:rsidP="003A1122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13,22</w:t>
            </w:r>
          </w:p>
          <w:p w:rsidR="00192AB0" w:rsidRPr="007B426C" w:rsidRDefault="00192AB0" w:rsidP="003A1122">
            <w:pPr>
              <w:jc w:val="right"/>
              <w:rPr>
                <w:sz w:val="20"/>
              </w:rPr>
            </w:pPr>
            <w:r>
              <w:rPr>
                <w:sz w:val="20"/>
              </w:rPr>
              <w:t>14,95</w:t>
            </w:r>
          </w:p>
        </w:tc>
        <w:tc>
          <w:tcPr>
            <w:tcW w:w="817" w:type="dxa"/>
            <w:tcBorders>
              <w:top w:val="nil"/>
            </w:tcBorders>
            <w:vAlign w:val="center"/>
          </w:tcPr>
          <w:p w:rsidR="00F3693D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9,19</w:t>
            </w:r>
          </w:p>
          <w:p w:rsidR="00192AB0" w:rsidRPr="007B426C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10,04</w:t>
            </w:r>
          </w:p>
        </w:tc>
        <w:tc>
          <w:tcPr>
            <w:tcW w:w="1110" w:type="dxa"/>
            <w:tcBorders>
              <w:top w:val="nil"/>
            </w:tcBorders>
            <w:vAlign w:val="center"/>
          </w:tcPr>
          <w:p w:rsidR="00F3693D" w:rsidRDefault="00192AB0" w:rsidP="00D93B91">
            <w:pPr>
              <w:jc w:val="right"/>
              <w:rPr>
                <w:sz w:val="20"/>
              </w:rPr>
            </w:pPr>
            <w:r>
              <w:rPr>
                <w:sz w:val="20"/>
              </w:rPr>
              <w:t>889 585</w:t>
            </w:r>
          </w:p>
          <w:p w:rsidR="00192AB0" w:rsidRPr="007B426C" w:rsidRDefault="00192AB0" w:rsidP="00D93B91">
            <w:pPr>
              <w:jc w:val="right"/>
              <w:rPr>
                <w:sz w:val="20"/>
              </w:rPr>
            </w:pPr>
            <w:r>
              <w:rPr>
                <w:sz w:val="20"/>
              </w:rPr>
              <w:t>994 366</w:t>
            </w:r>
          </w:p>
        </w:tc>
        <w:tc>
          <w:tcPr>
            <w:tcW w:w="1105" w:type="dxa"/>
            <w:tcBorders>
              <w:top w:val="nil"/>
            </w:tcBorders>
            <w:vAlign w:val="center"/>
          </w:tcPr>
          <w:p w:rsidR="00F3693D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4 893 597</w:t>
            </w:r>
          </w:p>
          <w:p w:rsidR="00192AB0" w:rsidRPr="007B426C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5 830 475</w:t>
            </w:r>
          </w:p>
        </w:tc>
        <w:tc>
          <w:tcPr>
            <w:tcW w:w="1161" w:type="dxa"/>
            <w:tcBorders>
              <w:top w:val="nil"/>
            </w:tcBorders>
            <w:vAlign w:val="center"/>
          </w:tcPr>
          <w:p w:rsidR="00F3693D" w:rsidRDefault="00192AB0" w:rsidP="00932FC2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4 004 012</w:t>
            </w:r>
          </w:p>
          <w:p w:rsidR="00192AB0" w:rsidRPr="007B426C" w:rsidRDefault="00192AB0" w:rsidP="00932FC2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4 836 109</w:t>
            </w:r>
          </w:p>
        </w:tc>
      </w:tr>
      <w:tr w:rsidR="0085644D" w:rsidRPr="009A018E" w:rsidTr="0085644D">
        <w:trPr>
          <w:cantSplit/>
          <w:trHeight w:val="412"/>
        </w:trPr>
        <w:tc>
          <w:tcPr>
            <w:tcW w:w="1738" w:type="dxa"/>
            <w:tcBorders>
              <w:left w:val="double" w:sz="4" w:space="0" w:color="auto"/>
            </w:tcBorders>
            <w:vAlign w:val="center"/>
          </w:tcPr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Mléko a smet. </w:t>
            </w:r>
            <w:proofErr w:type="spellStart"/>
            <w:r w:rsidRPr="007B426C">
              <w:rPr>
                <w:sz w:val="20"/>
              </w:rPr>
              <w:t>zahuš</w:t>
            </w:r>
            <w:proofErr w:type="spellEnd"/>
            <w:r w:rsidRPr="007B426C">
              <w:rPr>
                <w:sz w:val="20"/>
              </w:rPr>
              <w:t>. (0402)</w:t>
            </w:r>
          </w:p>
        </w:tc>
        <w:tc>
          <w:tcPr>
            <w:tcW w:w="632" w:type="dxa"/>
            <w:vAlign w:val="center"/>
          </w:tcPr>
          <w:p w:rsidR="0085644D" w:rsidRPr="007B426C" w:rsidRDefault="0085644D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10</w:t>
            </w:r>
          </w:p>
          <w:p w:rsidR="0085644D" w:rsidRPr="007B426C" w:rsidRDefault="0085644D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1</w:t>
            </w:r>
          </w:p>
        </w:tc>
        <w:tc>
          <w:tcPr>
            <w:tcW w:w="919" w:type="dxa"/>
            <w:vAlign w:val="center"/>
          </w:tcPr>
          <w:p w:rsidR="00F3693D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7 171</w:t>
            </w:r>
          </w:p>
          <w:p w:rsidR="00192AB0" w:rsidRPr="007B426C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6 706</w:t>
            </w:r>
          </w:p>
        </w:tc>
        <w:tc>
          <w:tcPr>
            <w:tcW w:w="932" w:type="dxa"/>
            <w:vAlign w:val="center"/>
          </w:tcPr>
          <w:p w:rsidR="00F3693D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28 520</w:t>
            </w:r>
          </w:p>
          <w:p w:rsidR="00192AB0" w:rsidRPr="007B426C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31 689</w:t>
            </w:r>
          </w:p>
        </w:tc>
        <w:tc>
          <w:tcPr>
            <w:tcW w:w="964" w:type="dxa"/>
            <w:vAlign w:val="center"/>
          </w:tcPr>
          <w:p w:rsidR="00192AB0" w:rsidRDefault="00192AB0" w:rsidP="00192AB0">
            <w:pPr>
              <w:jc w:val="right"/>
              <w:rPr>
                <w:sz w:val="20"/>
              </w:rPr>
            </w:pPr>
            <w:r>
              <w:rPr>
                <w:sz w:val="20"/>
              </w:rPr>
              <w:t>21 349</w:t>
            </w:r>
          </w:p>
          <w:p w:rsidR="00F3693D" w:rsidRPr="007B426C" w:rsidRDefault="00192AB0" w:rsidP="00192AB0">
            <w:pPr>
              <w:jc w:val="right"/>
              <w:rPr>
                <w:sz w:val="20"/>
              </w:rPr>
            </w:pPr>
            <w:r>
              <w:rPr>
                <w:sz w:val="20"/>
              </w:rPr>
              <w:t>24 983</w:t>
            </w:r>
          </w:p>
        </w:tc>
        <w:tc>
          <w:tcPr>
            <w:tcW w:w="688" w:type="dxa"/>
            <w:vAlign w:val="center"/>
          </w:tcPr>
          <w:p w:rsidR="00192AB0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35,22</w:t>
            </w:r>
          </w:p>
          <w:p w:rsidR="00192AB0" w:rsidRPr="007B426C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34,93</w:t>
            </w:r>
          </w:p>
        </w:tc>
        <w:tc>
          <w:tcPr>
            <w:tcW w:w="817" w:type="dxa"/>
            <w:vAlign w:val="center"/>
          </w:tcPr>
          <w:p w:rsidR="00F3693D" w:rsidRDefault="00192AB0" w:rsidP="00462136">
            <w:pPr>
              <w:jc w:val="right"/>
              <w:rPr>
                <w:sz w:val="20"/>
              </w:rPr>
            </w:pPr>
            <w:r>
              <w:rPr>
                <w:sz w:val="20"/>
              </w:rPr>
              <w:t>52,54</w:t>
            </w:r>
          </w:p>
          <w:p w:rsidR="00192AB0" w:rsidRPr="007B426C" w:rsidRDefault="00192AB0" w:rsidP="00462136">
            <w:pPr>
              <w:jc w:val="right"/>
              <w:rPr>
                <w:sz w:val="20"/>
              </w:rPr>
            </w:pPr>
            <w:r>
              <w:rPr>
                <w:sz w:val="20"/>
              </w:rPr>
              <w:t>59,51</w:t>
            </w:r>
          </w:p>
        </w:tc>
        <w:tc>
          <w:tcPr>
            <w:tcW w:w="1110" w:type="dxa"/>
            <w:vAlign w:val="center"/>
          </w:tcPr>
          <w:p w:rsidR="00F3693D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252 574</w:t>
            </w:r>
          </w:p>
          <w:p w:rsidR="00192AB0" w:rsidRPr="007B426C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234 259</w:t>
            </w:r>
          </w:p>
        </w:tc>
        <w:tc>
          <w:tcPr>
            <w:tcW w:w="1105" w:type="dxa"/>
            <w:vAlign w:val="center"/>
          </w:tcPr>
          <w:p w:rsidR="00F3693D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1 498 510</w:t>
            </w:r>
          </w:p>
          <w:p w:rsidR="00192AB0" w:rsidRPr="007B426C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1 885 955</w:t>
            </w:r>
          </w:p>
        </w:tc>
        <w:tc>
          <w:tcPr>
            <w:tcW w:w="1161" w:type="dxa"/>
            <w:vAlign w:val="center"/>
          </w:tcPr>
          <w:p w:rsidR="00F3693D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1 245 936</w:t>
            </w:r>
          </w:p>
          <w:p w:rsidR="00192AB0" w:rsidRPr="007B426C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1 651 696</w:t>
            </w:r>
          </w:p>
        </w:tc>
      </w:tr>
      <w:tr w:rsidR="0085644D" w:rsidRPr="009A018E" w:rsidTr="0085644D">
        <w:trPr>
          <w:cantSplit/>
          <w:trHeight w:val="412"/>
        </w:trPr>
        <w:tc>
          <w:tcPr>
            <w:tcW w:w="1738" w:type="dxa"/>
            <w:tcBorders>
              <w:left w:val="double" w:sz="4" w:space="0" w:color="auto"/>
            </w:tcBorders>
            <w:vAlign w:val="center"/>
          </w:tcPr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Jogurty, kefíry </w:t>
            </w:r>
          </w:p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apod. (0403)</w:t>
            </w:r>
          </w:p>
        </w:tc>
        <w:tc>
          <w:tcPr>
            <w:tcW w:w="632" w:type="dxa"/>
            <w:vAlign w:val="center"/>
          </w:tcPr>
          <w:p w:rsidR="0085644D" w:rsidRPr="007B426C" w:rsidRDefault="0085644D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10</w:t>
            </w:r>
          </w:p>
          <w:p w:rsidR="0085644D" w:rsidRPr="007B426C" w:rsidRDefault="0085644D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1</w:t>
            </w:r>
          </w:p>
        </w:tc>
        <w:tc>
          <w:tcPr>
            <w:tcW w:w="919" w:type="dxa"/>
            <w:vAlign w:val="center"/>
          </w:tcPr>
          <w:p w:rsidR="00F3693D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38 797</w:t>
            </w:r>
          </w:p>
          <w:p w:rsidR="00192AB0" w:rsidRPr="007B426C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39 629</w:t>
            </w:r>
          </w:p>
        </w:tc>
        <w:tc>
          <w:tcPr>
            <w:tcW w:w="932" w:type="dxa"/>
            <w:vAlign w:val="center"/>
          </w:tcPr>
          <w:p w:rsidR="00F3693D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64 203</w:t>
            </w:r>
          </w:p>
          <w:p w:rsidR="00192AB0" w:rsidRPr="007B426C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64 297</w:t>
            </w:r>
          </w:p>
        </w:tc>
        <w:tc>
          <w:tcPr>
            <w:tcW w:w="964" w:type="dxa"/>
            <w:vAlign w:val="center"/>
          </w:tcPr>
          <w:p w:rsidR="00F3693D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25 406</w:t>
            </w:r>
          </w:p>
          <w:p w:rsidR="00192AB0" w:rsidRPr="007B426C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24 668</w:t>
            </w:r>
          </w:p>
        </w:tc>
        <w:tc>
          <w:tcPr>
            <w:tcW w:w="688" w:type="dxa"/>
            <w:vAlign w:val="center"/>
          </w:tcPr>
          <w:p w:rsidR="00F3693D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24,82</w:t>
            </w:r>
          </w:p>
          <w:p w:rsidR="00192AB0" w:rsidRPr="007B426C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26,12</w:t>
            </w:r>
          </w:p>
        </w:tc>
        <w:tc>
          <w:tcPr>
            <w:tcW w:w="817" w:type="dxa"/>
            <w:vAlign w:val="center"/>
          </w:tcPr>
          <w:p w:rsidR="00F3693D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27,03</w:t>
            </w:r>
          </w:p>
          <w:p w:rsidR="00192AB0" w:rsidRPr="007B426C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27,00</w:t>
            </w:r>
          </w:p>
        </w:tc>
        <w:tc>
          <w:tcPr>
            <w:tcW w:w="1110" w:type="dxa"/>
            <w:vAlign w:val="center"/>
          </w:tcPr>
          <w:p w:rsidR="00F3693D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962 828</w:t>
            </w:r>
          </w:p>
          <w:p w:rsidR="00192AB0" w:rsidRPr="007B426C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1 035 301</w:t>
            </w:r>
          </w:p>
        </w:tc>
        <w:tc>
          <w:tcPr>
            <w:tcW w:w="1105" w:type="dxa"/>
            <w:vAlign w:val="center"/>
          </w:tcPr>
          <w:p w:rsidR="00F3693D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1 735 369</w:t>
            </w:r>
          </w:p>
          <w:p w:rsidR="00192AB0" w:rsidRPr="007B426C" w:rsidRDefault="00192AB0" w:rsidP="00192AB0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1 736 050</w:t>
            </w:r>
          </w:p>
        </w:tc>
        <w:tc>
          <w:tcPr>
            <w:tcW w:w="1161" w:type="dxa"/>
            <w:vAlign w:val="center"/>
          </w:tcPr>
          <w:p w:rsidR="00F3693D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772 541</w:t>
            </w:r>
          </w:p>
          <w:p w:rsidR="00192AB0" w:rsidRPr="007B426C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700 749</w:t>
            </w:r>
          </w:p>
        </w:tc>
      </w:tr>
      <w:tr w:rsidR="0085644D" w:rsidRPr="009A018E" w:rsidTr="0085644D">
        <w:trPr>
          <w:cantSplit/>
          <w:trHeight w:val="412"/>
        </w:trPr>
        <w:tc>
          <w:tcPr>
            <w:tcW w:w="1738" w:type="dxa"/>
            <w:tcBorders>
              <w:left w:val="double" w:sz="4" w:space="0" w:color="auto"/>
            </w:tcBorders>
            <w:vAlign w:val="center"/>
          </w:tcPr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Syrovátka </w:t>
            </w:r>
          </w:p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(0404)</w:t>
            </w:r>
          </w:p>
        </w:tc>
        <w:tc>
          <w:tcPr>
            <w:tcW w:w="632" w:type="dxa"/>
            <w:vAlign w:val="center"/>
          </w:tcPr>
          <w:p w:rsidR="0085644D" w:rsidRPr="007B426C" w:rsidRDefault="0085644D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10</w:t>
            </w:r>
          </w:p>
          <w:p w:rsidR="0085644D" w:rsidRPr="007B426C" w:rsidRDefault="0085644D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1</w:t>
            </w:r>
          </w:p>
        </w:tc>
        <w:tc>
          <w:tcPr>
            <w:tcW w:w="919" w:type="dxa"/>
            <w:vAlign w:val="center"/>
          </w:tcPr>
          <w:p w:rsidR="00F3693D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25 145</w:t>
            </w:r>
          </w:p>
          <w:p w:rsidR="00192AB0" w:rsidRPr="007B426C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23 801</w:t>
            </w:r>
          </w:p>
        </w:tc>
        <w:tc>
          <w:tcPr>
            <w:tcW w:w="932" w:type="dxa"/>
            <w:vAlign w:val="center"/>
          </w:tcPr>
          <w:p w:rsidR="00F3693D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38 104</w:t>
            </w:r>
          </w:p>
          <w:p w:rsidR="00192AB0" w:rsidRPr="007B426C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47 099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F3693D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12 959</w:t>
            </w:r>
          </w:p>
          <w:p w:rsidR="00192AB0" w:rsidRPr="007B426C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23 298</w:t>
            </w:r>
          </w:p>
        </w:tc>
        <w:tc>
          <w:tcPr>
            <w:tcW w:w="688" w:type="dxa"/>
            <w:vAlign w:val="center"/>
          </w:tcPr>
          <w:p w:rsidR="00F3693D" w:rsidRDefault="00192AB0" w:rsidP="006822A0">
            <w:pPr>
              <w:jc w:val="right"/>
              <w:rPr>
                <w:sz w:val="20"/>
              </w:rPr>
            </w:pPr>
            <w:r>
              <w:rPr>
                <w:sz w:val="20"/>
              </w:rPr>
              <w:t>8,84</w:t>
            </w:r>
          </w:p>
          <w:p w:rsidR="00192AB0" w:rsidRPr="007B426C" w:rsidRDefault="00192AB0" w:rsidP="006822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11,46</w:t>
            </w:r>
          </w:p>
        </w:tc>
        <w:tc>
          <w:tcPr>
            <w:tcW w:w="817" w:type="dxa"/>
            <w:vAlign w:val="center"/>
          </w:tcPr>
          <w:p w:rsidR="00F3693D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14,82</w:t>
            </w:r>
          </w:p>
          <w:p w:rsidR="00192AB0" w:rsidRPr="007B426C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16,64</w:t>
            </w:r>
          </w:p>
        </w:tc>
        <w:tc>
          <w:tcPr>
            <w:tcW w:w="1110" w:type="dxa"/>
            <w:vAlign w:val="center"/>
          </w:tcPr>
          <w:p w:rsidR="00F3693D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222 338</w:t>
            </w:r>
          </w:p>
          <w:p w:rsidR="00192AB0" w:rsidRPr="007B426C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272 864</w:t>
            </w:r>
          </w:p>
        </w:tc>
        <w:tc>
          <w:tcPr>
            <w:tcW w:w="1105" w:type="dxa"/>
            <w:vAlign w:val="center"/>
          </w:tcPr>
          <w:p w:rsidR="00F3693D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564 648</w:t>
            </w:r>
          </w:p>
          <w:p w:rsidR="00192AB0" w:rsidRPr="007B426C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783 715</w:t>
            </w:r>
          </w:p>
        </w:tc>
        <w:tc>
          <w:tcPr>
            <w:tcW w:w="1161" w:type="dxa"/>
            <w:vAlign w:val="center"/>
          </w:tcPr>
          <w:p w:rsidR="00F3693D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342 310</w:t>
            </w:r>
          </w:p>
          <w:p w:rsidR="00192AB0" w:rsidRPr="007B426C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510 851</w:t>
            </w:r>
          </w:p>
        </w:tc>
      </w:tr>
      <w:tr w:rsidR="0085644D" w:rsidRPr="009A018E" w:rsidTr="0088599E">
        <w:trPr>
          <w:cantSplit/>
          <w:trHeight w:val="412"/>
        </w:trPr>
        <w:tc>
          <w:tcPr>
            <w:tcW w:w="1738" w:type="dxa"/>
            <w:tcBorders>
              <w:left w:val="double" w:sz="4" w:space="0" w:color="auto"/>
            </w:tcBorders>
            <w:vAlign w:val="center"/>
          </w:tcPr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Máslo  </w:t>
            </w:r>
          </w:p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(0405)</w:t>
            </w:r>
          </w:p>
        </w:tc>
        <w:tc>
          <w:tcPr>
            <w:tcW w:w="632" w:type="dxa"/>
            <w:vAlign w:val="center"/>
          </w:tcPr>
          <w:p w:rsidR="0085644D" w:rsidRPr="007B426C" w:rsidRDefault="0085644D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10</w:t>
            </w:r>
          </w:p>
          <w:p w:rsidR="0085644D" w:rsidRPr="007B426C" w:rsidRDefault="0085644D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1</w:t>
            </w:r>
          </w:p>
        </w:tc>
        <w:tc>
          <w:tcPr>
            <w:tcW w:w="919" w:type="dxa"/>
            <w:vAlign w:val="center"/>
          </w:tcPr>
          <w:p w:rsidR="00F3693D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17 069</w:t>
            </w:r>
          </w:p>
          <w:p w:rsidR="00192AB0" w:rsidRPr="007B426C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17 191</w:t>
            </w:r>
          </w:p>
        </w:tc>
        <w:tc>
          <w:tcPr>
            <w:tcW w:w="932" w:type="dxa"/>
            <w:vAlign w:val="center"/>
          </w:tcPr>
          <w:p w:rsidR="00F3693D" w:rsidRDefault="00192AB0" w:rsidP="00F3693D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7 716</w:t>
            </w:r>
          </w:p>
          <w:p w:rsidR="00192AB0" w:rsidRPr="007B426C" w:rsidRDefault="00192AB0" w:rsidP="00F3693D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4 496</w:t>
            </w:r>
          </w:p>
        </w:tc>
        <w:tc>
          <w:tcPr>
            <w:tcW w:w="964" w:type="dxa"/>
            <w:shd w:val="clear" w:color="auto" w:fill="D6E3BC"/>
            <w:vAlign w:val="center"/>
          </w:tcPr>
          <w:p w:rsidR="00F3693D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- 9 353</w:t>
            </w:r>
          </w:p>
          <w:p w:rsidR="00192AB0" w:rsidRPr="007B426C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- 12 695</w:t>
            </w:r>
          </w:p>
        </w:tc>
        <w:tc>
          <w:tcPr>
            <w:tcW w:w="688" w:type="dxa"/>
            <w:vAlign w:val="center"/>
          </w:tcPr>
          <w:p w:rsidR="00F3693D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85,31</w:t>
            </w:r>
          </w:p>
          <w:p w:rsidR="00192AB0" w:rsidRPr="007B426C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85,72</w:t>
            </w:r>
          </w:p>
        </w:tc>
        <w:tc>
          <w:tcPr>
            <w:tcW w:w="817" w:type="dxa"/>
            <w:vAlign w:val="center"/>
          </w:tcPr>
          <w:p w:rsidR="00F3693D" w:rsidRDefault="00192AB0" w:rsidP="00F3693D">
            <w:pPr>
              <w:jc w:val="right"/>
              <w:rPr>
                <w:sz w:val="20"/>
              </w:rPr>
            </w:pPr>
            <w:r>
              <w:rPr>
                <w:sz w:val="20"/>
              </w:rPr>
              <w:t>66,17</w:t>
            </w:r>
          </w:p>
          <w:p w:rsidR="00192AB0" w:rsidRPr="007B426C" w:rsidRDefault="00192AB0" w:rsidP="00F3693D">
            <w:pPr>
              <w:jc w:val="right"/>
              <w:rPr>
                <w:sz w:val="20"/>
              </w:rPr>
            </w:pPr>
            <w:r>
              <w:rPr>
                <w:sz w:val="20"/>
              </w:rPr>
              <w:t>94,72</w:t>
            </w:r>
          </w:p>
        </w:tc>
        <w:tc>
          <w:tcPr>
            <w:tcW w:w="1110" w:type="dxa"/>
            <w:vAlign w:val="center"/>
          </w:tcPr>
          <w:p w:rsidR="00F3693D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1 456 148</w:t>
            </w:r>
          </w:p>
          <w:p w:rsidR="00192AB0" w:rsidRPr="007B426C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1 473 578</w:t>
            </w:r>
          </w:p>
        </w:tc>
        <w:tc>
          <w:tcPr>
            <w:tcW w:w="1105" w:type="dxa"/>
            <w:vAlign w:val="center"/>
          </w:tcPr>
          <w:p w:rsidR="00F3693D" w:rsidRDefault="00192AB0" w:rsidP="009C190A">
            <w:pPr>
              <w:jc w:val="right"/>
              <w:rPr>
                <w:sz w:val="20"/>
              </w:rPr>
            </w:pPr>
            <w:r>
              <w:rPr>
                <w:sz w:val="20"/>
              </w:rPr>
              <w:t>510 583</w:t>
            </w:r>
          </w:p>
          <w:p w:rsidR="00192AB0" w:rsidRPr="007B426C" w:rsidRDefault="00192AB0" w:rsidP="009C190A">
            <w:pPr>
              <w:jc w:val="right"/>
              <w:rPr>
                <w:sz w:val="20"/>
              </w:rPr>
            </w:pPr>
            <w:r>
              <w:rPr>
                <w:sz w:val="20"/>
              </w:rPr>
              <w:t>425 855</w:t>
            </w:r>
          </w:p>
        </w:tc>
        <w:tc>
          <w:tcPr>
            <w:tcW w:w="1161" w:type="dxa"/>
            <w:shd w:val="clear" w:color="auto" w:fill="D6E3BC"/>
            <w:vAlign w:val="center"/>
          </w:tcPr>
          <w:p w:rsidR="00F3693D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- 945 565</w:t>
            </w:r>
          </w:p>
          <w:p w:rsidR="00192AB0" w:rsidRPr="007B426C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- 1 047 723</w:t>
            </w:r>
          </w:p>
        </w:tc>
      </w:tr>
      <w:tr w:rsidR="0085644D" w:rsidRPr="009A018E" w:rsidTr="0088599E">
        <w:trPr>
          <w:cantSplit/>
          <w:trHeight w:val="412"/>
        </w:trPr>
        <w:tc>
          <w:tcPr>
            <w:tcW w:w="173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Sýry a tvarohy </w:t>
            </w:r>
          </w:p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(0406)</w:t>
            </w:r>
          </w:p>
        </w:tc>
        <w:tc>
          <w:tcPr>
            <w:tcW w:w="632" w:type="dxa"/>
            <w:tcBorders>
              <w:bottom w:val="double" w:sz="4" w:space="0" w:color="auto"/>
            </w:tcBorders>
            <w:vAlign w:val="center"/>
          </w:tcPr>
          <w:p w:rsidR="0085644D" w:rsidRPr="007B426C" w:rsidRDefault="0085644D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10</w:t>
            </w:r>
          </w:p>
          <w:p w:rsidR="0085644D" w:rsidRPr="007B426C" w:rsidRDefault="0085644D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1</w:t>
            </w:r>
          </w:p>
        </w:tc>
        <w:tc>
          <w:tcPr>
            <w:tcW w:w="919" w:type="dxa"/>
            <w:tcBorders>
              <w:bottom w:val="double" w:sz="4" w:space="0" w:color="auto"/>
            </w:tcBorders>
            <w:vAlign w:val="center"/>
          </w:tcPr>
          <w:p w:rsidR="00F3693D" w:rsidRDefault="00192AB0" w:rsidP="00462136">
            <w:pPr>
              <w:jc w:val="right"/>
              <w:rPr>
                <w:sz w:val="20"/>
              </w:rPr>
            </w:pPr>
            <w:r>
              <w:rPr>
                <w:sz w:val="20"/>
              </w:rPr>
              <w:t>71 163</w:t>
            </w:r>
          </w:p>
          <w:p w:rsidR="00192AB0" w:rsidRPr="007B426C" w:rsidRDefault="00192AB0" w:rsidP="00462136">
            <w:pPr>
              <w:jc w:val="right"/>
              <w:rPr>
                <w:sz w:val="20"/>
              </w:rPr>
            </w:pPr>
            <w:r>
              <w:rPr>
                <w:sz w:val="20"/>
              </w:rPr>
              <w:t>72 310</w:t>
            </w:r>
          </w:p>
        </w:tc>
        <w:tc>
          <w:tcPr>
            <w:tcW w:w="932" w:type="dxa"/>
            <w:tcBorders>
              <w:bottom w:val="double" w:sz="4" w:space="0" w:color="auto"/>
            </w:tcBorders>
            <w:vAlign w:val="center"/>
          </w:tcPr>
          <w:p w:rsidR="00F3693D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26 969</w:t>
            </w:r>
          </w:p>
          <w:p w:rsidR="00192AB0" w:rsidRPr="007B426C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28 762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F3693D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- 44 194</w:t>
            </w:r>
          </w:p>
          <w:p w:rsidR="00192AB0" w:rsidRPr="007B426C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- 43 548</w:t>
            </w:r>
          </w:p>
        </w:tc>
        <w:tc>
          <w:tcPr>
            <w:tcW w:w="688" w:type="dxa"/>
            <w:tcBorders>
              <w:bottom w:val="double" w:sz="4" w:space="0" w:color="auto"/>
            </w:tcBorders>
            <w:vAlign w:val="center"/>
          </w:tcPr>
          <w:p w:rsidR="00F3693D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73,10</w:t>
            </w:r>
          </w:p>
          <w:p w:rsidR="00192AB0" w:rsidRPr="007B426C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76,65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:rsidR="00F3693D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80,90</w:t>
            </w:r>
          </w:p>
          <w:p w:rsidR="00192AB0" w:rsidRPr="007B426C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98,62</w:t>
            </w:r>
          </w:p>
        </w:tc>
        <w:tc>
          <w:tcPr>
            <w:tcW w:w="1110" w:type="dxa"/>
            <w:tcBorders>
              <w:bottom w:val="double" w:sz="4" w:space="0" w:color="auto"/>
            </w:tcBorders>
            <w:vAlign w:val="center"/>
          </w:tcPr>
          <w:p w:rsidR="00F3693D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5 202 182</w:t>
            </w:r>
          </w:p>
          <w:p w:rsidR="00192AB0" w:rsidRPr="007B426C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5 542 914</w:t>
            </w:r>
          </w:p>
        </w:tc>
        <w:tc>
          <w:tcPr>
            <w:tcW w:w="1105" w:type="dxa"/>
            <w:tcBorders>
              <w:bottom w:val="double" w:sz="4" w:space="0" w:color="auto"/>
            </w:tcBorders>
            <w:vAlign w:val="center"/>
          </w:tcPr>
          <w:p w:rsidR="00F3693D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2 181 815</w:t>
            </w:r>
          </w:p>
          <w:p w:rsidR="00192AB0" w:rsidRPr="007B426C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2 836 618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F3693D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- 3 020 367</w:t>
            </w:r>
          </w:p>
          <w:p w:rsidR="00192AB0" w:rsidRPr="007B426C" w:rsidRDefault="00192AB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- 2 706 296</w:t>
            </w:r>
          </w:p>
        </w:tc>
      </w:tr>
    </w:tbl>
    <w:p w:rsidR="00BF749F" w:rsidRPr="007B426C" w:rsidRDefault="00BF749F" w:rsidP="00BF749F">
      <w:pPr>
        <w:ind w:left="284"/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</w:p>
    <w:p w:rsidR="000019CE" w:rsidRDefault="000019CE" w:rsidP="00BF749F">
      <w:pPr>
        <w:ind w:left="284"/>
        <w:outlineLvl w:val="0"/>
        <w:rPr>
          <w:b/>
        </w:rPr>
      </w:pPr>
    </w:p>
    <w:p w:rsidR="006408F8" w:rsidRDefault="006408F8" w:rsidP="00BF749F">
      <w:pPr>
        <w:ind w:left="284"/>
        <w:outlineLvl w:val="0"/>
        <w:rPr>
          <w:b/>
        </w:rPr>
      </w:pPr>
    </w:p>
    <w:p w:rsidR="006408F8" w:rsidRDefault="006408F8" w:rsidP="00BF749F">
      <w:pPr>
        <w:ind w:left="284"/>
        <w:outlineLvl w:val="0"/>
        <w:rPr>
          <w:b/>
        </w:rPr>
      </w:pPr>
    </w:p>
    <w:p w:rsidR="00BF749F" w:rsidRPr="007B426C" w:rsidRDefault="00BF749F" w:rsidP="00BF749F">
      <w:pPr>
        <w:ind w:left="284"/>
        <w:outlineLvl w:val="0"/>
        <w:rPr>
          <w:b/>
        </w:rPr>
      </w:pPr>
      <w:r w:rsidRPr="007B426C">
        <w:rPr>
          <w:b/>
        </w:rPr>
        <w:t>Vývoz</w:t>
      </w:r>
    </w:p>
    <w:p w:rsidR="006408F8" w:rsidRDefault="00170C55" w:rsidP="00BF749F">
      <w:pPr>
        <w:shd w:val="clear" w:color="auto" w:fill="FFFFFF"/>
        <w:ind w:left="284"/>
        <w:jc w:val="both"/>
        <w:rPr>
          <w:sz w:val="22"/>
          <w:szCs w:val="22"/>
        </w:rPr>
      </w:pPr>
      <w:r w:rsidRPr="00D66B6A">
        <w:rPr>
          <w:sz w:val="22"/>
          <w:szCs w:val="22"/>
        </w:rPr>
        <w:t xml:space="preserve">Snižuje se počet destinací vývozu, za leden – </w:t>
      </w:r>
      <w:r w:rsidR="00192AB0">
        <w:rPr>
          <w:sz w:val="22"/>
          <w:szCs w:val="22"/>
        </w:rPr>
        <w:t>listopad</w:t>
      </w:r>
      <w:r w:rsidRPr="00D66B6A">
        <w:rPr>
          <w:sz w:val="22"/>
          <w:szCs w:val="22"/>
        </w:rPr>
        <w:t xml:space="preserve"> 2011 bylo mléko a mléčné výrobky vyvezeny do </w:t>
      </w:r>
      <w:r w:rsidR="002908B7" w:rsidRPr="00D66B6A">
        <w:rPr>
          <w:sz w:val="22"/>
          <w:szCs w:val="22"/>
        </w:rPr>
        <w:t>5</w:t>
      </w:r>
      <w:r w:rsidR="006408F8">
        <w:rPr>
          <w:sz w:val="22"/>
          <w:szCs w:val="22"/>
        </w:rPr>
        <w:t>9</w:t>
      </w:r>
      <w:r w:rsidRPr="00D66B6A">
        <w:rPr>
          <w:sz w:val="22"/>
          <w:szCs w:val="22"/>
        </w:rPr>
        <w:t xml:space="preserve"> zemí</w:t>
      </w:r>
      <w:r>
        <w:rPr>
          <w:sz w:val="22"/>
          <w:szCs w:val="22"/>
        </w:rPr>
        <w:t xml:space="preserve"> světa (ke konci roku 2010 ještě 67 zemí). </w:t>
      </w:r>
      <w:r w:rsidR="00EB4140">
        <w:rPr>
          <w:sz w:val="22"/>
          <w:szCs w:val="22"/>
        </w:rPr>
        <w:t>Tři</w:t>
      </w:r>
      <w:r>
        <w:rPr>
          <w:sz w:val="22"/>
          <w:szCs w:val="22"/>
        </w:rPr>
        <w:t xml:space="preserve"> čtvrtiny finančního objemu vývozu představuje export do </w:t>
      </w:r>
      <w:r w:rsidR="004341FB">
        <w:rPr>
          <w:sz w:val="22"/>
          <w:szCs w:val="22"/>
        </w:rPr>
        <w:br/>
      </w:r>
      <w:r>
        <w:rPr>
          <w:sz w:val="22"/>
          <w:szCs w:val="22"/>
        </w:rPr>
        <w:t xml:space="preserve">5 zemí (do Německa </w:t>
      </w:r>
      <w:r w:rsidR="00192AB0">
        <w:rPr>
          <w:sz w:val="22"/>
          <w:szCs w:val="22"/>
        </w:rPr>
        <w:t xml:space="preserve">31,9 </w:t>
      </w:r>
      <w:r>
        <w:rPr>
          <w:sz w:val="22"/>
          <w:szCs w:val="22"/>
        </w:rPr>
        <w:t xml:space="preserve">%, na Slovensko </w:t>
      </w:r>
      <w:r w:rsidR="000C342C">
        <w:rPr>
          <w:sz w:val="22"/>
          <w:szCs w:val="22"/>
        </w:rPr>
        <w:t>18,</w:t>
      </w:r>
      <w:r w:rsidR="00C01C12">
        <w:rPr>
          <w:sz w:val="22"/>
          <w:szCs w:val="22"/>
        </w:rPr>
        <w:t>6</w:t>
      </w:r>
      <w:r>
        <w:rPr>
          <w:sz w:val="22"/>
          <w:szCs w:val="22"/>
        </w:rPr>
        <w:t xml:space="preserve"> %, do Itálie </w:t>
      </w:r>
      <w:r w:rsidR="000C342C">
        <w:rPr>
          <w:sz w:val="22"/>
          <w:szCs w:val="22"/>
        </w:rPr>
        <w:t>14,</w:t>
      </w:r>
      <w:r w:rsidR="00192AB0">
        <w:rPr>
          <w:sz w:val="22"/>
          <w:szCs w:val="22"/>
        </w:rPr>
        <w:t>1</w:t>
      </w:r>
      <w:r>
        <w:rPr>
          <w:sz w:val="22"/>
          <w:szCs w:val="22"/>
        </w:rPr>
        <w:t xml:space="preserve"> %, Maďarska 5,</w:t>
      </w:r>
      <w:r w:rsidR="00EB4140">
        <w:rPr>
          <w:sz w:val="22"/>
          <w:szCs w:val="22"/>
        </w:rPr>
        <w:t>2</w:t>
      </w:r>
      <w:r>
        <w:rPr>
          <w:sz w:val="22"/>
          <w:szCs w:val="22"/>
        </w:rPr>
        <w:t xml:space="preserve"> %, Polska </w:t>
      </w:r>
      <w:r w:rsidR="00B6586F">
        <w:rPr>
          <w:sz w:val="22"/>
          <w:szCs w:val="22"/>
        </w:rPr>
        <w:t>4,</w:t>
      </w:r>
      <w:r w:rsidR="006408F8">
        <w:rPr>
          <w:sz w:val="22"/>
          <w:szCs w:val="22"/>
        </w:rPr>
        <w:t>7</w:t>
      </w:r>
      <w:r>
        <w:rPr>
          <w:sz w:val="22"/>
          <w:szCs w:val="22"/>
        </w:rPr>
        <w:t xml:space="preserve"> %). Do zemí EU-27 se v daném období vyvezlo </w:t>
      </w:r>
      <w:r w:rsidR="00192AB0">
        <w:rPr>
          <w:sz w:val="22"/>
          <w:szCs w:val="22"/>
        </w:rPr>
        <w:t>86,8</w:t>
      </w:r>
      <w:r>
        <w:rPr>
          <w:sz w:val="22"/>
          <w:szCs w:val="22"/>
        </w:rPr>
        <w:t xml:space="preserve"> % finanční hodnoty vývozu mléka a mléčných výrobků, podíl vývozu do třetích zemí představoval v daném období </w:t>
      </w:r>
      <w:r w:rsidR="009C379C">
        <w:rPr>
          <w:sz w:val="22"/>
          <w:szCs w:val="22"/>
        </w:rPr>
        <w:t>13,2</w:t>
      </w:r>
      <w:r w:rsidR="002908B7">
        <w:rPr>
          <w:sz w:val="22"/>
          <w:szCs w:val="22"/>
        </w:rPr>
        <w:t xml:space="preserve"> %. Vývoz do třetích zemí tvořily převážně destinace – </w:t>
      </w:r>
      <w:r w:rsidR="005C52D0">
        <w:rPr>
          <w:sz w:val="22"/>
          <w:szCs w:val="22"/>
        </w:rPr>
        <w:t>Libanon (</w:t>
      </w:r>
      <w:r w:rsidR="009C379C">
        <w:rPr>
          <w:sz w:val="22"/>
          <w:szCs w:val="22"/>
        </w:rPr>
        <w:t>smetana v prášku</w:t>
      </w:r>
      <w:r w:rsidR="005C52D0">
        <w:rPr>
          <w:sz w:val="22"/>
          <w:szCs w:val="22"/>
        </w:rPr>
        <w:t xml:space="preserve">, sýry – Eidam), </w:t>
      </w:r>
      <w:r w:rsidR="002908B7">
        <w:rPr>
          <w:sz w:val="22"/>
          <w:szCs w:val="22"/>
        </w:rPr>
        <w:t>Thajsko (převážně sušená mléka</w:t>
      </w:r>
      <w:r w:rsidR="005C52D0">
        <w:rPr>
          <w:sz w:val="22"/>
          <w:szCs w:val="22"/>
        </w:rPr>
        <w:t xml:space="preserve"> a syrovátka</w:t>
      </w:r>
      <w:r w:rsidR="002908B7">
        <w:rPr>
          <w:sz w:val="22"/>
          <w:szCs w:val="22"/>
        </w:rPr>
        <w:t xml:space="preserve">), </w:t>
      </w:r>
      <w:r w:rsidR="005C52D0">
        <w:rPr>
          <w:sz w:val="22"/>
          <w:szCs w:val="22"/>
        </w:rPr>
        <w:t>Chorvatsko (mléčná surovina</w:t>
      </w:r>
      <w:r w:rsidR="009C379C">
        <w:rPr>
          <w:sz w:val="22"/>
          <w:szCs w:val="22"/>
        </w:rPr>
        <w:t xml:space="preserve"> – nezahuštěné plnotučné mléko v balení nad 2 kg</w:t>
      </w:r>
      <w:r w:rsidR="005C52D0">
        <w:rPr>
          <w:sz w:val="22"/>
          <w:szCs w:val="22"/>
        </w:rPr>
        <w:t xml:space="preserve">, sušená mléka, kondenzovaná mléka), Srbsko (sušené plnotučné mléko, máslo v blocích), </w:t>
      </w:r>
      <w:r w:rsidR="002908B7">
        <w:rPr>
          <w:sz w:val="22"/>
          <w:szCs w:val="22"/>
        </w:rPr>
        <w:t>Bangladéš</w:t>
      </w:r>
      <w:r w:rsidR="009C379C">
        <w:rPr>
          <w:sz w:val="22"/>
          <w:szCs w:val="22"/>
        </w:rPr>
        <w:t xml:space="preserve"> </w:t>
      </w:r>
      <w:r w:rsidR="005C52D0">
        <w:rPr>
          <w:sz w:val="22"/>
          <w:szCs w:val="22"/>
        </w:rPr>
        <w:t xml:space="preserve">a Malajsie </w:t>
      </w:r>
      <w:r w:rsidR="002908B7">
        <w:rPr>
          <w:sz w:val="22"/>
          <w:szCs w:val="22"/>
        </w:rPr>
        <w:t xml:space="preserve">(sušená syrovátka), </w:t>
      </w:r>
      <w:r w:rsidR="00F03765">
        <w:rPr>
          <w:sz w:val="22"/>
          <w:szCs w:val="22"/>
        </w:rPr>
        <w:t xml:space="preserve">Spojené arabské emiráty a Saudská Arábie (převážně bílé sýry). </w:t>
      </w:r>
      <w:r w:rsidRPr="002D4C36">
        <w:rPr>
          <w:sz w:val="22"/>
          <w:szCs w:val="22"/>
          <w:u w:val="single"/>
        </w:rPr>
        <w:t xml:space="preserve">Na celkové finanční hodnotě vývozu v daném období se vývoz tekutých mlék a smetan podílel </w:t>
      </w:r>
      <w:r w:rsidR="00C01C12">
        <w:rPr>
          <w:sz w:val="22"/>
          <w:szCs w:val="22"/>
          <w:u w:val="single"/>
        </w:rPr>
        <w:t>43,</w:t>
      </w:r>
      <w:r w:rsidR="009C379C">
        <w:rPr>
          <w:sz w:val="22"/>
          <w:szCs w:val="22"/>
          <w:u w:val="single"/>
        </w:rPr>
        <w:t>2</w:t>
      </w:r>
      <w:r w:rsidRPr="002D4C36">
        <w:rPr>
          <w:sz w:val="22"/>
          <w:szCs w:val="22"/>
          <w:u w:val="single"/>
        </w:rPr>
        <w:t xml:space="preserve"> %.</w:t>
      </w:r>
      <w:r>
        <w:rPr>
          <w:sz w:val="22"/>
          <w:szCs w:val="22"/>
        </w:rPr>
        <w:t xml:space="preserve"> Podíl vývozu mléčné suroviny na celkové finanční hodnotě vývozu mléka a mléčných výrobků činil v daném období </w:t>
      </w:r>
      <w:r w:rsidR="00C01C12">
        <w:rPr>
          <w:sz w:val="22"/>
          <w:szCs w:val="22"/>
        </w:rPr>
        <w:t>25,</w:t>
      </w:r>
      <w:r w:rsidR="009C379C">
        <w:rPr>
          <w:sz w:val="22"/>
          <w:szCs w:val="22"/>
        </w:rPr>
        <w:t>6</w:t>
      </w:r>
      <w:r>
        <w:rPr>
          <w:sz w:val="22"/>
          <w:szCs w:val="22"/>
        </w:rPr>
        <w:t xml:space="preserve"> %. </w:t>
      </w:r>
      <w:r w:rsidR="00B83EEE">
        <w:rPr>
          <w:sz w:val="22"/>
          <w:szCs w:val="22"/>
        </w:rPr>
        <w:t xml:space="preserve">Zvýšil se objem vývozu konzumního mléka (meziročně o 12,7 %), mléka v cisternách (o 6,4 %) a objem vývozu smetany v cisternách (o 71,6 %  - nejvíce se vyvezlo smetany v cisternách na Slovensko, do Německa a Maďarska). Meziročně (leden až listopad 2011/2010) se snížil se objem vývozu konzumních smetan o 37,1 %. Významným vývozním artiklem mlékárenského zboží jsou sýry a tvarohy (podíl na celkové finanční hodnotě vývozu je 21,0 %). Meziročně se zvýšil vývoz čerstvých sýrů a tvarohů a bílých sýrů. Vývoz sušeného plnotučného mléka a smetany se v meziročním porovnání leden – listopad 2011/2010 zvýšil o 41,9 %, vývoz kondenzovaných mlék byl meziročně nižší o 10,1 %, vývoz sušeného odtučněného mléka byl vyšší o </w:t>
      </w:r>
      <w:r w:rsidR="000751BE">
        <w:rPr>
          <w:sz w:val="22"/>
          <w:szCs w:val="22"/>
        </w:rPr>
        <w:t>4,0</w:t>
      </w:r>
      <w:r w:rsidR="00B83EEE">
        <w:rPr>
          <w:sz w:val="22"/>
          <w:szCs w:val="22"/>
        </w:rPr>
        <w:t xml:space="preserve"> %. Vývoz jogurtů se meziročně snížil o </w:t>
      </w:r>
      <w:r w:rsidR="000751BE">
        <w:rPr>
          <w:sz w:val="22"/>
          <w:szCs w:val="22"/>
        </w:rPr>
        <w:t>1,3</w:t>
      </w:r>
      <w:r w:rsidR="00B83EEE">
        <w:rPr>
          <w:sz w:val="22"/>
          <w:szCs w:val="22"/>
        </w:rPr>
        <w:t xml:space="preserve"> %, posílil vývoz ostatních zakysaných mléčných výrobků o </w:t>
      </w:r>
      <w:r w:rsidR="007432FB">
        <w:rPr>
          <w:sz w:val="22"/>
          <w:szCs w:val="22"/>
        </w:rPr>
        <w:br/>
      </w:r>
      <w:r w:rsidR="00B83EEE">
        <w:rPr>
          <w:sz w:val="22"/>
          <w:szCs w:val="22"/>
        </w:rPr>
        <w:t>4,</w:t>
      </w:r>
      <w:r w:rsidR="000751BE">
        <w:rPr>
          <w:sz w:val="22"/>
          <w:szCs w:val="22"/>
        </w:rPr>
        <w:t>9</w:t>
      </w:r>
      <w:r w:rsidR="00B83EEE">
        <w:rPr>
          <w:sz w:val="22"/>
          <w:szCs w:val="22"/>
        </w:rPr>
        <w:t xml:space="preserve"> %. Vývoz čerstvého másla ve spotřebitelském balení se meziročně snížil o 2</w:t>
      </w:r>
      <w:r w:rsidR="000751BE">
        <w:rPr>
          <w:sz w:val="22"/>
          <w:szCs w:val="22"/>
        </w:rPr>
        <w:t>2</w:t>
      </w:r>
      <w:r w:rsidR="00B83EEE">
        <w:rPr>
          <w:sz w:val="22"/>
          <w:szCs w:val="22"/>
        </w:rPr>
        <w:t xml:space="preserve">,4 %, vývoz másla v blocích byl meziročně vyšší o </w:t>
      </w:r>
      <w:r w:rsidR="000751BE">
        <w:rPr>
          <w:sz w:val="22"/>
          <w:szCs w:val="22"/>
        </w:rPr>
        <w:t>6,1</w:t>
      </w:r>
      <w:r w:rsidR="00B83EEE">
        <w:rPr>
          <w:sz w:val="22"/>
          <w:szCs w:val="22"/>
        </w:rPr>
        <w:t xml:space="preserve"> %, výrazně se propadl vývoz pomazánek z mléčných tuků (z 1 5</w:t>
      </w:r>
      <w:r w:rsidR="000751BE">
        <w:rPr>
          <w:sz w:val="22"/>
          <w:szCs w:val="22"/>
        </w:rPr>
        <w:t>85</w:t>
      </w:r>
      <w:r w:rsidR="00B83EEE">
        <w:rPr>
          <w:sz w:val="22"/>
          <w:szCs w:val="22"/>
        </w:rPr>
        <w:t xml:space="preserve"> t za období leden až </w:t>
      </w:r>
      <w:r w:rsidR="000751BE">
        <w:rPr>
          <w:sz w:val="22"/>
          <w:szCs w:val="22"/>
        </w:rPr>
        <w:t>listopad</w:t>
      </w:r>
      <w:r w:rsidR="00B83EEE">
        <w:rPr>
          <w:sz w:val="22"/>
          <w:szCs w:val="22"/>
        </w:rPr>
        <w:t xml:space="preserve"> 2010 na 1</w:t>
      </w:r>
      <w:r w:rsidR="000751BE">
        <w:rPr>
          <w:sz w:val="22"/>
          <w:szCs w:val="22"/>
        </w:rPr>
        <w:t>5</w:t>
      </w:r>
      <w:r w:rsidR="00B83EEE">
        <w:rPr>
          <w:sz w:val="22"/>
          <w:szCs w:val="22"/>
        </w:rPr>
        <w:t>,1 t stejného období r. 2011).</w:t>
      </w:r>
    </w:p>
    <w:p w:rsidR="00BF749F" w:rsidRPr="007B426C" w:rsidRDefault="00BF749F" w:rsidP="00BF749F">
      <w:pPr>
        <w:ind w:left="284"/>
        <w:outlineLvl w:val="0"/>
        <w:rPr>
          <w:b/>
        </w:rPr>
      </w:pPr>
      <w:r w:rsidRPr="007B426C">
        <w:rPr>
          <w:b/>
        </w:rPr>
        <w:t>Dovoz</w:t>
      </w:r>
    </w:p>
    <w:p w:rsidR="006408F8" w:rsidRDefault="00955D0A" w:rsidP="00C203E0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Dovozy ze tří zemí - z Německa (</w:t>
      </w:r>
      <w:r w:rsidR="006408F8">
        <w:rPr>
          <w:sz w:val="22"/>
          <w:szCs w:val="22"/>
        </w:rPr>
        <w:t>41,</w:t>
      </w:r>
      <w:r w:rsidR="009C379C">
        <w:rPr>
          <w:sz w:val="22"/>
          <w:szCs w:val="22"/>
        </w:rPr>
        <w:t>0</w:t>
      </w:r>
      <w:r>
        <w:rPr>
          <w:sz w:val="22"/>
          <w:szCs w:val="22"/>
        </w:rPr>
        <w:t xml:space="preserve"> %), Polska (29,</w:t>
      </w:r>
      <w:r w:rsidR="009C379C">
        <w:rPr>
          <w:sz w:val="22"/>
          <w:szCs w:val="22"/>
        </w:rPr>
        <w:t>6</w:t>
      </w:r>
      <w:r>
        <w:rPr>
          <w:sz w:val="22"/>
          <w:szCs w:val="22"/>
        </w:rPr>
        <w:t xml:space="preserve"> %) a Slovenska (13,</w:t>
      </w:r>
      <w:r w:rsidR="00BA098D">
        <w:rPr>
          <w:sz w:val="22"/>
          <w:szCs w:val="22"/>
        </w:rPr>
        <w:t>1</w:t>
      </w:r>
      <w:r>
        <w:rPr>
          <w:sz w:val="22"/>
          <w:szCs w:val="22"/>
        </w:rPr>
        <w:t xml:space="preserve"> %) představují </w:t>
      </w:r>
      <w:r w:rsidR="002567B0">
        <w:rPr>
          <w:sz w:val="22"/>
          <w:szCs w:val="22"/>
        </w:rPr>
        <w:t xml:space="preserve">celkem </w:t>
      </w:r>
      <w:r w:rsidR="00F82D6A">
        <w:rPr>
          <w:sz w:val="22"/>
          <w:szCs w:val="22"/>
        </w:rPr>
        <w:t>8</w:t>
      </w:r>
      <w:r w:rsidR="009C379C">
        <w:rPr>
          <w:sz w:val="22"/>
          <w:szCs w:val="22"/>
        </w:rPr>
        <w:t>3</w:t>
      </w:r>
      <w:r w:rsidR="002567B0">
        <w:rPr>
          <w:sz w:val="22"/>
          <w:szCs w:val="22"/>
        </w:rPr>
        <w:t>,</w:t>
      </w:r>
      <w:r w:rsidR="009C379C">
        <w:rPr>
          <w:sz w:val="22"/>
          <w:szCs w:val="22"/>
        </w:rPr>
        <w:t>7</w:t>
      </w:r>
      <w:r w:rsidR="00F82D6A">
        <w:rPr>
          <w:sz w:val="22"/>
          <w:szCs w:val="22"/>
        </w:rPr>
        <w:t xml:space="preserve"> % veškerého dovozu mléka a mléčných výrobků (z finančního vyjádření). V období leden – </w:t>
      </w:r>
      <w:r w:rsidR="009C379C">
        <w:rPr>
          <w:sz w:val="22"/>
          <w:szCs w:val="22"/>
        </w:rPr>
        <w:t>listopad</w:t>
      </w:r>
      <w:r w:rsidR="00F82D6A">
        <w:rPr>
          <w:sz w:val="22"/>
          <w:szCs w:val="22"/>
        </w:rPr>
        <w:t xml:space="preserve"> 2011</w:t>
      </w:r>
      <w:r w:rsidR="00F82D6A" w:rsidRPr="00AB3150">
        <w:rPr>
          <w:sz w:val="22"/>
          <w:szCs w:val="22"/>
        </w:rPr>
        <w:t xml:space="preserve"> se mléko </w:t>
      </w:r>
      <w:r w:rsidR="007432FB">
        <w:rPr>
          <w:sz w:val="22"/>
          <w:szCs w:val="22"/>
        </w:rPr>
        <w:br/>
      </w:r>
      <w:r w:rsidR="00F82D6A" w:rsidRPr="00AB3150">
        <w:rPr>
          <w:sz w:val="22"/>
          <w:szCs w:val="22"/>
        </w:rPr>
        <w:t>a mléčné výrobky dovezly do ČR z</w:t>
      </w:r>
      <w:r w:rsidR="00875038">
        <w:rPr>
          <w:sz w:val="22"/>
          <w:szCs w:val="22"/>
        </w:rPr>
        <w:t> </w:t>
      </w:r>
      <w:r w:rsidR="00AD153D">
        <w:rPr>
          <w:sz w:val="22"/>
          <w:szCs w:val="22"/>
        </w:rPr>
        <w:t>3</w:t>
      </w:r>
      <w:r w:rsidR="009C379C">
        <w:rPr>
          <w:sz w:val="22"/>
          <w:szCs w:val="22"/>
        </w:rPr>
        <w:t>8</w:t>
      </w:r>
      <w:r w:rsidR="00875038">
        <w:rPr>
          <w:sz w:val="22"/>
          <w:szCs w:val="22"/>
        </w:rPr>
        <w:t xml:space="preserve"> </w:t>
      </w:r>
      <w:r w:rsidR="00F82D6A">
        <w:rPr>
          <w:sz w:val="22"/>
          <w:szCs w:val="22"/>
        </w:rPr>
        <w:t>zemí, ze zemí EU-27 celkem 99,</w:t>
      </w:r>
      <w:r w:rsidR="00F22A42">
        <w:rPr>
          <w:sz w:val="22"/>
          <w:szCs w:val="22"/>
        </w:rPr>
        <w:t>8</w:t>
      </w:r>
      <w:r w:rsidR="00F82D6A">
        <w:rPr>
          <w:sz w:val="22"/>
          <w:szCs w:val="22"/>
        </w:rPr>
        <w:t xml:space="preserve"> %. V meziročním porovnání dochází ke </w:t>
      </w:r>
      <w:r w:rsidR="00C203E0">
        <w:rPr>
          <w:sz w:val="22"/>
          <w:szCs w:val="22"/>
        </w:rPr>
        <w:t>zvýšení</w:t>
      </w:r>
      <w:r w:rsidR="00F82D6A">
        <w:rPr>
          <w:sz w:val="22"/>
          <w:szCs w:val="22"/>
        </w:rPr>
        <w:t xml:space="preserve"> </w:t>
      </w:r>
      <w:r w:rsidR="00C203E0">
        <w:rPr>
          <w:sz w:val="22"/>
          <w:szCs w:val="22"/>
        </w:rPr>
        <w:t xml:space="preserve">finanční hodnoty dovozu </w:t>
      </w:r>
      <w:r w:rsidR="00F82D6A">
        <w:rPr>
          <w:sz w:val="22"/>
          <w:szCs w:val="22"/>
        </w:rPr>
        <w:t xml:space="preserve">o </w:t>
      </w:r>
      <w:r w:rsidR="006408F8">
        <w:rPr>
          <w:sz w:val="22"/>
          <w:szCs w:val="22"/>
        </w:rPr>
        <w:t>56</w:t>
      </w:r>
      <w:r w:rsidR="009C379C">
        <w:rPr>
          <w:sz w:val="22"/>
          <w:szCs w:val="22"/>
        </w:rPr>
        <w:t>7</w:t>
      </w:r>
      <w:r w:rsidR="006408F8">
        <w:rPr>
          <w:sz w:val="22"/>
          <w:szCs w:val="22"/>
        </w:rPr>
        <w:t>,</w:t>
      </w:r>
      <w:r w:rsidR="009C379C">
        <w:rPr>
          <w:sz w:val="22"/>
          <w:szCs w:val="22"/>
        </w:rPr>
        <w:t>6</w:t>
      </w:r>
      <w:r w:rsidR="00C203E0">
        <w:rPr>
          <w:sz w:val="22"/>
          <w:szCs w:val="22"/>
        </w:rPr>
        <w:t xml:space="preserve"> </w:t>
      </w:r>
      <w:r w:rsidR="00F82D6A">
        <w:rPr>
          <w:sz w:val="22"/>
          <w:szCs w:val="22"/>
        </w:rPr>
        <w:t xml:space="preserve">mil. Kč, tj. o </w:t>
      </w:r>
      <w:r w:rsidR="009C379C">
        <w:rPr>
          <w:sz w:val="22"/>
          <w:szCs w:val="22"/>
        </w:rPr>
        <w:t>6,3</w:t>
      </w:r>
      <w:r w:rsidR="00F82D6A">
        <w:rPr>
          <w:sz w:val="22"/>
          <w:szCs w:val="22"/>
        </w:rPr>
        <w:t xml:space="preserve"> %. </w:t>
      </w:r>
    </w:p>
    <w:p w:rsidR="009C379C" w:rsidRDefault="009C379C" w:rsidP="00C203E0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Vysoké objemy dovozu sýrů (včetně tvarohů) se v meziročním porovnání leden- listopad 2011/leden-listopad 2010 dále navýšily, a to o 1 147 t na celkových 72 310 </w:t>
      </w:r>
      <w:proofErr w:type="spellStart"/>
      <w:r>
        <w:rPr>
          <w:sz w:val="22"/>
          <w:szCs w:val="22"/>
        </w:rPr>
        <w:t>t</w:t>
      </w:r>
      <w:proofErr w:type="spellEnd"/>
      <w:r>
        <w:rPr>
          <w:sz w:val="22"/>
          <w:szCs w:val="22"/>
        </w:rPr>
        <w:t xml:space="preserve">. Toto množství představuje cca 63,1 % objemu domácí výroby sýrů a tvarohů. Největší objemy sýrů a tvarohů se do ČR dováží z Německa (celkem 32 772 t za průměrnou dovozní cenu 67,43 Kč/kg – z toho např. 12 962 t Eidamu za průměrnou dovozní cenu 75,49 Kč/kg, 11 262 t čerstvých sýrů a tvarohů za 44,53 Kč/kg) a z Polska (celkem 25 647 t za průměrnou dovozní cenu 77,18 Kč/kg, z toho např. tavené </w:t>
      </w:r>
      <w:r w:rsidR="00DF1492">
        <w:rPr>
          <w:sz w:val="22"/>
          <w:szCs w:val="22"/>
        </w:rPr>
        <w:t>sýry - 4 380 t za 67,27 Kč/kg, Eidam – 6 081 t za 80,01 Kč/kg, Camembert – 4 477 t za 96,16 Kč/kg.</w:t>
      </w:r>
    </w:p>
    <w:p w:rsidR="00DF1492" w:rsidRDefault="00DF1492" w:rsidP="00C203E0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Meziročně vyšší jsou i objemy dovozu jogurtů a ostatních zakysaných mléčných výrobků (o 832 t), které se v daném období dovážely do ČR především z Německa (21 681 t za 28,41 Kč/kg), Polska (12 725 t za 21,39 Kč/kg), Slovenska (1 668 t za 22,04 Kč/kg), Francie (1 348 t za 30,10 Kč/kg), Rakouska (1 204 t za 25,49 Kč/kg).</w:t>
      </w:r>
    </w:p>
    <w:p w:rsidR="00DF1492" w:rsidRDefault="00DF1492" w:rsidP="00C203E0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Dovozy másla v objemu 17 191 t představují 48,3 % podílu z domácí výroby másla. Za 11 měsíců r. 2011 se máslo dováželo zejména z Německa (5 917 t za 99,55 Kč/kg), Polska (3 942 t za 96,67 Kč/kg) a z Belgie (2 605 t za 99,04 Kč/kg).</w:t>
      </w:r>
    </w:p>
    <w:p w:rsidR="006408F8" w:rsidRDefault="006408F8" w:rsidP="00C203E0">
      <w:pPr>
        <w:ind w:left="284"/>
        <w:jc w:val="both"/>
        <w:rPr>
          <w:sz w:val="22"/>
          <w:szCs w:val="22"/>
        </w:rPr>
      </w:pPr>
    </w:p>
    <w:p w:rsidR="006408F8" w:rsidRDefault="006408F8" w:rsidP="00C203E0">
      <w:pPr>
        <w:ind w:left="284"/>
        <w:jc w:val="both"/>
        <w:rPr>
          <w:sz w:val="22"/>
          <w:szCs w:val="22"/>
        </w:rPr>
      </w:pPr>
    </w:p>
    <w:p w:rsidR="006408F8" w:rsidRDefault="007432FB" w:rsidP="00C203E0">
      <w:pPr>
        <w:ind w:left="284"/>
        <w:jc w:val="both"/>
        <w:rPr>
          <w:sz w:val="22"/>
          <w:szCs w:val="22"/>
        </w:rPr>
      </w:pPr>
      <w:r w:rsidRPr="007432FB">
        <w:rPr>
          <w:noProof/>
          <w:sz w:val="22"/>
          <w:szCs w:val="22"/>
        </w:rPr>
        <w:lastRenderedPageBreak/>
        <w:drawing>
          <wp:inline distT="0" distB="0" distL="0" distR="0">
            <wp:extent cx="5972810" cy="3860165"/>
            <wp:effectExtent l="19050" t="0" r="27940" b="6985"/>
            <wp:docPr id="3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F749F" w:rsidRPr="009A018E" w:rsidRDefault="00BF749F" w:rsidP="00BF749F">
      <w:pPr>
        <w:ind w:left="284"/>
      </w:pPr>
    </w:p>
    <w:p w:rsidR="004341FB" w:rsidRDefault="004341FB" w:rsidP="00BF749F">
      <w:pPr>
        <w:ind w:left="426"/>
        <w:rPr>
          <w:b/>
          <w:sz w:val="22"/>
          <w:szCs w:val="22"/>
        </w:rPr>
      </w:pPr>
    </w:p>
    <w:p w:rsidR="00D70536" w:rsidRDefault="00D70536" w:rsidP="00BF749F">
      <w:pPr>
        <w:ind w:left="426"/>
        <w:rPr>
          <w:b/>
          <w:sz w:val="22"/>
          <w:szCs w:val="22"/>
        </w:rPr>
      </w:pPr>
    </w:p>
    <w:p w:rsidR="00D70536" w:rsidRDefault="00D70536" w:rsidP="00BF749F">
      <w:pPr>
        <w:ind w:left="426"/>
        <w:rPr>
          <w:b/>
          <w:sz w:val="22"/>
          <w:szCs w:val="22"/>
        </w:rPr>
      </w:pPr>
    </w:p>
    <w:p w:rsidR="00D70536" w:rsidRDefault="00D70536" w:rsidP="00BF749F">
      <w:pPr>
        <w:ind w:left="426"/>
        <w:rPr>
          <w:b/>
          <w:sz w:val="22"/>
          <w:szCs w:val="22"/>
        </w:rPr>
      </w:pPr>
    </w:p>
    <w:p w:rsidR="004151D2" w:rsidRDefault="004151D2" w:rsidP="00BF749F">
      <w:pPr>
        <w:ind w:left="426"/>
        <w:rPr>
          <w:b/>
          <w:sz w:val="22"/>
          <w:szCs w:val="22"/>
        </w:rPr>
      </w:pPr>
    </w:p>
    <w:p w:rsidR="00BF749F" w:rsidRPr="00E167C9" w:rsidRDefault="00BF749F" w:rsidP="00BF749F">
      <w:pPr>
        <w:ind w:left="426"/>
        <w:rPr>
          <w:b/>
          <w:sz w:val="22"/>
          <w:szCs w:val="22"/>
        </w:rPr>
      </w:pPr>
      <w:r w:rsidRPr="00E167C9">
        <w:rPr>
          <w:b/>
          <w:sz w:val="22"/>
          <w:szCs w:val="22"/>
        </w:rPr>
        <w:t xml:space="preserve">Vývoz mléka s obsahem tuku 3-6 %, v balení nad </w:t>
      </w:r>
      <w:smartTag w:uri="urn:schemas-microsoft-com:office:smarttags" w:element="metricconverter">
        <w:smartTagPr>
          <w:attr w:name="ProductID" w:val="2 l"/>
        </w:smartTagPr>
        <w:r w:rsidRPr="00E167C9">
          <w:rPr>
            <w:b/>
            <w:sz w:val="22"/>
            <w:szCs w:val="22"/>
          </w:rPr>
          <w:t>2 l</w:t>
        </w:r>
      </w:smartTag>
      <w:r w:rsidRPr="00E167C9">
        <w:rPr>
          <w:b/>
          <w:sz w:val="22"/>
          <w:szCs w:val="22"/>
        </w:rPr>
        <w:t xml:space="preserve"> – celní položka 0401 20 99  (tuny)</w:t>
      </w:r>
    </w:p>
    <w:tbl>
      <w:tblPr>
        <w:tblW w:w="104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844"/>
      </w:tblGrid>
      <w:tr w:rsidR="00BF749F" w:rsidRPr="009A018E" w:rsidTr="008B10C6">
        <w:trPr>
          <w:trHeight w:val="153"/>
        </w:trPr>
        <w:tc>
          <w:tcPr>
            <w:tcW w:w="91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Rok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XII.</w:t>
            </w:r>
          </w:p>
        </w:tc>
        <w:tc>
          <w:tcPr>
            <w:tcW w:w="844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Celkem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788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2 877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3 255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4 344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5 910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6 665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6 397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6 910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37 146</w:t>
            </w:r>
          </w:p>
        </w:tc>
      </w:tr>
      <w:tr w:rsidR="00BF749F" w:rsidRPr="00D66B6A" w:rsidTr="00301D61">
        <w:trPr>
          <w:trHeight w:val="201"/>
        </w:trPr>
        <w:tc>
          <w:tcPr>
            <w:tcW w:w="91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10,28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9,02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9,88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9,55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14 847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12 740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14 393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14 421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16 352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16 946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16 089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20 884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19 089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25 704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23 199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21 900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216</w:t>
            </w:r>
            <w:r w:rsidR="00CA462A">
              <w:rPr>
                <w:b/>
                <w:sz w:val="18"/>
                <w:szCs w:val="18"/>
              </w:rPr>
              <w:t xml:space="preserve"> </w:t>
            </w:r>
            <w:r w:rsidRPr="00CA462A">
              <w:rPr>
                <w:b/>
                <w:sz w:val="18"/>
                <w:szCs w:val="18"/>
              </w:rPr>
              <w:t>564</w:t>
            </w:r>
          </w:p>
        </w:tc>
      </w:tr>
      <w:tr w:rsidR="00BF749F" w:rsidRPr="00D66B6A" w:rsidTr="00301D61">
        <w:trPr>
          <w:trHeight w:val="193"/>
        </w:trPr>
        <w:tc>
          <w:tcPr>
            <w:tcW w:w="91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8,66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8,67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21 415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20 550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23 114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23 779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25 276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26 858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30 827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28 668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28 683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29 490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26 170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27 427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312 257</w:t>
            </w:r>
          </w:p>
        </w:tc>
      </w:tr>
      <w:tr w:rsidR="00BF749F" w:rsidRPr="00D66B6A" w:rsidTr="00301D61">
        <w:trPr>
          <w:trHeight w:val="185"/>
        </w:trPr>
        <w:tc>
          <w:tcPr>
            <w:tcW w:w="91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7,89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8,19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8,11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31 393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30 947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34 571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35 626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36 913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35 576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36 550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34 182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31 042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32 735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31 593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33 415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404 543</w:t>
            </w:r>
          </w:p>
        </w:tc>
      </w:tr>
      <w:tr w:rsidR="00BF749F" w:rsidRPr="00D66B6A" w:rsidTr="00D66B6A">
        <w:trPr>
          <w:trHeight w:val="177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10,69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10,81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8,99</w:t>
            </w:r>
          </w:p>
        </w:tc>
      </w:tr>
      <w:tr w:rsidR="00BF749F" w:rsidRPr="009A018E" w:rsidTr="008B10C6">
        <w:trPr>
          <w:trHeight w:val="223"/>
        </w:trPr>
        <w:tc>
          <w:tcPr>
            <w:tcW w:w="913" w:type="dxa"/>
            <w:vAlign w:val="center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35 710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33 598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38 343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38 098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38 773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38 962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40 991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39 122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36 623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37 832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34 014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36 314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448 380</w:t>
            </w:r>
          </w:p>
        </w:tc>
      </w:tr>
      <w:tr w:rsidR="00BF749F" w:rsidRPr="00D66B6A" w:rsidTr="00D66B6A">
        <w:trPr>
          <w:trHeight w:val="155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9,97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10,08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9,34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7,31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</w:tr>
      <w:tr w:rsidR="00BF749F" w:rsidRPr="009A018E" w:rsidTr="008B10C6">
        <w:trPr>
          <w:trHeight w:val="223"/>
        </w:trPr>
        <w:tc>
          <w:tcPr>
            <w:tcW w:w="913" w:type="dxa"/>
            <w:vAlign w:val="center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39 697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37 634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40 257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39 199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41 978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40 122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41 730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39 311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38 662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36 571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36 004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465 675</w:t>
            </w:r>
          </w:p>
        </w:tc>
      </w:tr>
      <w:tr w:rsidR="00BF749F" w:rsidRPr="00D66B6A" w:rsidTr="00D66B6A">
        <w:trPr>
          <w:trHeight w:val="133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6,98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6,51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7,04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7,16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6,68</w:t>
            </w:r>
          </w:p>
        </w:tc>
      </w:tr>
      <w:tr w:rsidR="00BF749F" w:rsidRPr="009A018E" w:rsidTr="008B10C6">
        <w:trPr>
          <w:trHeight w:val="223"/>
        </w:trPr>
        <w:tc>
          <w:tcPr>
            <w:tcW w:w="913" w:type="dxa"/>
            <w:vAlign w:val="center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33 864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29 874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32 761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33 206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34 972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38 558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36 506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36 740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31 266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30 661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 xml:space="preserve">29 </w:t>
            </w:r>
            <w:r>
              <w:rPr>
                <w:sz w:val="18"/>
                <w:szCs w:val="18"/>
              </w:rPr>
              <w:t>311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30 627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398 346</w:t>
            </w:r>
          </w:p>
        </w:tc>
      </w:tr>
      <w:tr w:rsidR="00BF749F" w:rsidRPr="00D66B6A" w:rsidTr="00D66B6A">
        <w:trPr>
          <w:trHeight w:val="98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7,90</w:t>
            </w:r>
          </w:p>
        </w:tc>
      </w:tr>
      <w:tr w:rsidR="00CA462A" w:rsidRPr="009A018E" w:rsidTr="008B10C6">
        <w:trPr>
          <w:trHeight w:val="241"/>
        </w:trPr>
        <w:tc>
          <w:tcPr>
            <w:tcW w:w="913" w:type="dxa"/>
            <w:vAlign w:val="center"/>
          </w:tcPr>
          <w:p w:rsidR="00CA462A" w:rsidRPr="002C1156" w:rsidRDefault="00CA462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723" w:type="dxa"/>
          </w:tcPr>
          <w:p w:rsidR="00CA462A" w:rsidRPr="002C1156" w:rsidRDefault="009C190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32 007</w:t>
            </w:r>
          </w:p>
        </w:tc>
        <w:tc>
          <w:tcPr>
            <w:tcW w:w="723" w:type="dxa"/>
          </w:tcPr>
          <w:p w:rsidR="00CA462A" w:rsidRPr="002C1156" w:rsidRDefault="009C190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29 323</w:t>
            </w:r>
          </w:p>
        </w:tc>
        <w:tc>
          <w:tcPr>
            <w:tcW w:w="723" w:type="dxa"/>
          </w:tcPr>
          <w:p w:rsidR="00CA462A" w:rsidRPr="002C1156" w:rsidRDefault="009C190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25 553</w:t>
            </w:r>
          </w:p>
        </w:tc>
        <w:tc>
          <w:tcPr>
            <w:tcW w:w="723" w:type="dxa"/>
          </w:tcPr>
          <w:p w:rsidR="00CA462A" w:rsidRPr="002C1156" w:rsidRDefault="007A5D6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37 655</w:t>
            </w:r>
          </w:p>
        </w:tc>
        <w:tc>
          <w:tcPr>
            <w:tcW w:w="723" w:type="dxa"/>
          </w:tcPr>
          <w:p w:rsidR="00CA462A" w:rsidRPr="002C1156" w:rsidRDefault="00830060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38 492</w:t>
            </w:r>
          </w:p>
        </w:tc>
        <w:tc>
          <w:tcPr>
            <w:tcW w:w="723" w:type="dxa"/>
          </w:tcPr>
          <w:p w:rsidR="00CA462A" w:rsidRPr="002C1156" w:rsidRDefault="00CB3F95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41 102</w:t>
            </w:r>
          </w:p>
        </w:tc>
        <w:tc>
          <w:tcPr>
            <w:tcW w:w="723" w:type="dxa"/>
          </w:tcPr>
          <w:p w:rsidR="00CA462A" w:rsidRPr="002C1156" w:rsidRDefault="00E32833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41 615</w:t>
            </w:r>
          </w:p>
        </w:tc>
        <w:tc>
          <w:tcPr>
            <w:tcW w:w="723" w:type="dxa"/>
          </w:tcPr>
          <w:p w:rsidR="00CA462A" w:rsidRPr="002C1156" w:rsidRDefault="009F6FE7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41 290</w:t>
            </w:r>
          </w:p>
        </w:tc>
        <w:tc>
          <w:tcPr>
            <w:tcW w:w="723" w:type="dxa"/>
          </w:tcPr>
          <w:p w:rsidR="00CA462A" w:rsidRPr="002C1156" w:rsidRDefault="000E66B8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39 326</w:t>
            </w:r>
          </w:p>
        </w:tc>
        <w:tc>
          <w:tcPr>
            <w:tcW w:w="723" w:type="dxa"/>
          </w:tcPr>
          <w:p w:rsidR="00CA462A" w:rsidRPr="002C1156" w:rsidRDefault="007A33C9" w:rsidP="009C37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</w:t>
            </w:r>
            <w:r w:rsidR="009C379C">
              <w:rPr>
                <w:sz w:val="18"/>
                <w:szCs w:val="18"/>
              </w:rPr>
              <w:t>763</w:t>
            </w:r>
          </w:p>
        </w:tc>
        <w:tc>
          <w:tcPr>
            <w:tcW w:w="723" w:type="dxa"/>
          </w:tcPr>
          <w:p w:rsidR="00CA462A" w:rsidRPr="002C1156" w:rsidRDefault="009C379C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36 783</w:t>
            </w:r>
          </w:p>
        </w:tc>
        <w:tc>
          <w:tcPr>
            <w:tcW w:w="723" w:type="dxa"/>
          </w:tcPr>
          <w:p w:rsidR="00CA462A" w:rsidRDefault="00CA462A" w:rsidP="00291D3E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CA462A" w:rsidRPr="007A5D6A" w:rsidRDefault="009C379C" w:rsidP="007A33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401 909</w:t>
            </w:r>
          </w:p>
        </w:tc>
      </w:tr>
      <w:tr w:rsidR="00CA462A" w:rsidRPr="00D66B6A" w:rsidTr="00D66B6A">
        <w:trPr>
          <w:trHeight w:val="203"/>
        </w:trPr>
        <w:tc>
          <w:tcPr>
            <w:tcW w:w="913" w:type="dxa"/>
            <w:tcBorders>
              <w:bottom w:val="double" w:sz="4" w:space="0" w:color="auto"/>
            </w:tcBorders>
            <w:vAlign w:val="center"/>
          </w:tcPr>
          <w:p w:rsidR="00CA462A" w:rsidRPr="00D66B6A" w:rsidRDefault="00CA462A" w:rsidP="00CA46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A462A" w:rsidRPr="00D66B6A" w:rsidRDefault="009C190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A462A" w:rsidRPr="00D66B6A" w:rsidRDefault="009C190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A462A" w:rsidRPr="00D66B6A" w:rsidRDefault="009C190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8,58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A462A" w:rsidRPr="00D66B6A" w:rsidRDefault="007A5D6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8,52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A462A" w:rsidRPr="00D66B6A" w:rsidRDefault="00830060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8,49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A462A" w:rsidRPr="00D66B6A" w:rsidRDefault="00CB3F95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8,63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A462A" w:rsidRPr="00D66B6A" w:rsidRDefault="00E32833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7,63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A462A" w:rsidRPr="00D66B6A" w:rsidRDefault="009F6FE7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A462A" w:rsidRPr="00D66B6A" w:rsidRDefault="000E66B8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A462A" w:rsidRPr="00D66B6A" w:rsidRDefault="007A33C9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9,05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A462A" w:rsidRPr="00D66B6A" w:rsidRDefault="009C379C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9,14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A462A" w:rsidRPr="00D66B6A" w:rsidRDefault="00CA462A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844" w:type="dxa"/>
            <w:tcBorders>
              <w:bottom w:val="double" w:sz="4" w:space="0" w:color="auto"/>
            </w:tcBorders>
          </w:tcPr>
          <w:p w:rsidR="00CA462A" w:rsidRPr="00D66B6A" w:rsidRDefault="009C379C" w:rsidP="007A33C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8,59</w:t>
            </w:r>
          </w:p>
        </w:tc>
      </w:tr>
    </w:tbl>
    <w:p w:rsidR="00BF749F" w:rsidRPr="002C1156" w:rsidRDefault="00BF749F" w:rsidP="00BF749F">
      <w:pPr>
        <w:ind w:left="426"/>
        <w:rPr>
          <w:i/>
          <w:sz w:val="18"/>
          <w:szCs w:val="18"/>
        </w:rPr>
      </w:pPr>
      <w:r w:rsidRPr="002C1156">
        <w:rPr>
          <w:i/>
          <w:sz w:val="18"/>
          <w:szCs w:val="18"/>
        </w:rPr>
        <w:t>Pramen: Celní statistika</w:t>
      </w:r>
    </w:p>
    <w:p w:rsidR="00BF749F" w:rsidRPr="009A018E" w:rsidRDefault="00BF749F" w:rsidP="00BF749F"/>
    <w:p w:rsidR="00BF749F" w:rsidRPr="009A018E" w:rsidRDefault="00BF749F" w:rsidP="00BF749F"/>
    <w:p w:rsidR="00BF749F" w:rsidRDefault="00BF749F" w:rsidP="00BF749F"/>
    <w:p w:rsidR="00BF749F" w:rsidRDefault="00BF749F" w:rsidP="00BF749F"/>
    <w:sectPr w:rsidR="00BF749F" w:rsidSect="007B426C">
      <w:type w:val="continuous"/>
      <w:pgSz w:w="11906" w:h="16838"/>
      <w:pgMar w:top="1418" w:right="849" w:bottom="1418" w:left="680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B53" w:rsidRDefault="00483B53" w:rsidP="00CC65A3">
      <w:pPr>
        <w:pStyle w:val="POZNMKA"/>
      </w:pPr>
      <w:r>
        <w:separator/>
      </w:r>
    </w:p>
  </w:endnote>
  <w:endnote w:type="continuationSeparator" w:id="0">
    <w:p w:rsidR="00483B53" w:rsidRDefault="00483B53" w:rsidP="00CC65A3">
      <w:pPr>
        <w:pStyle w:val="POZNMKA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AB0" w:rsidRDefault="00194DAF" w:rsidP="00BF67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92AB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92AB0" w:rsidRDefault="00192AB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AB0" w:rsidRDefault="00192AB0" w:rsidP="00120728">
    <w:pPr>
      <w:pStyle w:val="Zpat"/>
      <w:pBdr>
        <w:top w:val="thinThickSmallGap" w:sz="24" w:space="1" w:color="622423"/>
      </w:pBdr>
    </w:pPr>
    <w:r>
      <w:rPr>
        <w:rFonts w:ascii="Cambria" w:hAnsi="Cambria"/>
        <w:sz w:val="20"/>
      </w:rPr>
      <w:t xml:space="preserve">Odbor </w:t>
    </w:r>
    <w:r w:rsidRPr="00697EEE">
      <w:rPr>
        <w:rFonts w:ascii="Cambria" w:hAnsi="Cambria"/>
        <w:sz w:val="20"/>
      </w:rPr>
      <w:t xml:space="preserve">živočišných komodit </w:t>
    </w:r>
    <w:proofErr w:type="spellStart"/>
    <w:r w:rsidRPr="00697EEE">
      <w:rPr>
        <w:rFonts w:ascii="Cambria" w:hAnsi="Cambria"/>
        <w:sz w:val="20"/>
      </w:rPr>
      <w:t>MZe</w:t>
    </w:r>
    <w:proofErr w:type="spellEnd"/>
    <w:r w:rsidRPr="00697EEE">
      <w:rPr>
        <w:rFonts w:ascii="Cambria" w:hAnsi="Cambria"/>
        <w:sz w:val="20"/>
      </w:rPr>
      <w:t xml:space="preserve"> ČR                    </w:t>
    </w:r>
    <w:r>
      <w:rPr>
        <w:rFonts w:ascii="Cambria" w:hAnsi="Cambria"/>
        <w:sz w:val="20"/>
      </w:rPr>
      <w:t xml:space="preserve">                </w:t>
    </w:r>
    <w:r w:rsidRPr="00697EEE">
      <w:rPr>
        <w:rFonts w:ascii="Cambria" w:hAnsi="Cambria"/>
        <w:sz w:val="20"/>
      </w:rPr>
      <w:t xml:space="preserve">    Stránka </w:t>
    </w:r>
    <w:r w:rsidR="00194DAF" w:rsidRPr="00697EEE">
      <w:rPr>
        <w:sz w:val="20"/>
      </w:rPr>
      <w:fldChar w:fldCharType="begin"/>
    </w:r>
    <w:r w:rsidRPr="00697EEE">
      <w:rPr>
        <w:sz w:val="20"/>
      </w:rPr>
      <w:instrText xml:space="preserve"> PAGE   \* MERGEFORMAT </w:instrText>
    </w:r>
    <w:r w:rsidR="00194DAF" w:rsidRPr="00697EEE">
      <w:rPr>
        <w:sz w:val="20"/>
      </w:rPr>
      <w:fldChar w:fldCharType="separate"/>
    </w:r>
    <w:r w:rsidR="00104DAC" w:rsidRPr="00104DAC">
      <w:rPr>
        <w:rFonts w:ascii="Cambria" w:hAnsi="Cambria"/>
        <w:noProof/>
        <w:sz w:val="20"/>
      </w:rPr>
      <w:t>1</w:t>
    </w:r>
    <w:r w:rsidR="00194DAF" w:rsidRPr="00697EEE">
      <w:rPr>
        <w:sz w:val="20"/>
      </w:rPr>
      <w:fldChar w:fldCharType="end"/>
    </w:r>
    <w:r w:rsidRPr="00697EEE">
      <w:rPr>
        <w:sz w:val="20"/>
      </w:rPr>
      <w:t xml:space="preserve">              </w:t>
    </w:r>
    <w:r>
      <w:rPr>
        <w:sz w:val="20"/>
      </w:rPr>
      <w:t xml:space="preserve">                    </w:t>
    </w:r>
    <w:r w:rsidRPr="00697EEE">
      <w:rPr>
        <w:sz w:val="20"/>
      </w:rPr>
      <w:t xml:space="preserve">          </w:t>
    </w:r>
    <w:r>
      <w:rPr>
        <w:sz w:val="20"/>
      </w:rPr>
      <w:t xml:space="preserve">       </w:t>
    </w:r>
    <w:r w:rsidRPr="00697EEE">
      <w:rPr>
        <w:sz w:val="20"/>
      </w:rPr>
      <w:t>Schválil:</w:t>
    </w:r>
    <w:r>
      <w:rPr>
        <w:sz w:val="20"/>
      </w:rPr>
      <w:t xml:space="preserve"> Ing. Jiří Hojer</w:t>
    </w:r>
    <w:r w:rsidRPr="00697EEE">
      <w:rPr>
        <w:sz w:val="20"/>
      </w:rPr>
      <w:t xml:space="preserve"> Zpracoval: Ing. Zdeňka Veselá</w:t>
    </w:r>
    <w:r>
      <w:rPr>
        <w:sz w:val="20"/>
      </w:rPr>
      <w:t xml:space="preserve">                                                                                                                                 Ing. Juraj </w:t>
    </w:r>
    <w:proofErr w:type="spellStart"/>
    <w:r>
      <w:rPr>
        <w:sz w:val="20"/>
      </w:rPr>
      <w:t>Saksún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B53" w:rsidRDefault="00483B53" w:rsidP="00CC65A3">
      <w:pPr>
        <w:pStyle w:val="POZNMKA"/>
      </w:pPr>
      <w:r>
        <w:separator/>
      </w:r>
    </w:p>
  </w:footnote>
  <w:footnote w:type="continuationSeparator" w:id="0">
    <w:p w:rsidR="00483B53" w:rsidRDefault="00483B53" w:rsidP="00CC65A3">
      <w:pPr>
        <w:pStyle w:val="POZNMKA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4681"/>
    <w:multiLevelType w:val="hybridMultilevel"/>
    <w:tmpl w:val="0B287CF6"/>
    <w:lvl w:ilvl="0" w:tplc="55F299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E6493"/>
    <w:multiLevelType w:val="hybridMultilevel"/>
    <w:tmpl w:val="571C4B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5C0F01"/>
    <w:multiLevelType w:val="hybridMultilevel"/>
    <w:tmpl w:val="A0182B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0F0F3B"/>
    <w:multiLevelType w:val="hybridMultilevel"/>
    <w:tmpl w:val="F1EEC2A2"/>
    <w:lvl w:ilvl="0" w:tplc="FFD89F20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A064DE"/>
    <w:multiLevelType w:val="hybridMultilevel"/>
    <w:tmpl w:val="1CC63A82"/>
    <w:lvl w:ilvl="0" w:tplc="E18AEB0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04E16"/>
    <w:multiLevelType w:val="hybridMultilevel"/>
    <w:tmpl w:val="4E8EF21C"/>
    <w:lvl w:ilvl="0" w:tplc="F09295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C2E76"/>
    <w:multiLevelType w:val="hybridMultilevel"/>
    <w:tmpl w:val="E9920802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4E583B"/>
    <w:multiLevelType w:val="hybridMultilevel"/>
    <w:tmpl w:val="206C3E24"/>
    <w:lvl w:ilvl="0" w:tplc="00028B2E">
      <w:start w:val="54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C41A04"/>
    <w:multiLevelType w:val="hybridMultilevel"/>
    <w:tmpl w:val="21E809FC"/>
    <w:lvl w:ilvl="0" w:tplc="96D86E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42003E"/>
    <w:multiLevelType w:val="hybridMultilevel"/>
    <w:tmpl w:val="0C3A63F8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615925"/>
    <w:multiLevelType w:val="hybridMultilevel"/>
    <w:tmpl w:val="6F209928"/>
    <w:lvl w:ilvl="0" w:tplc="B06CA0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40754C"/>
    <w:multiLevelType w:val="hybridMultilevel"/>
    <w:tmpl w:val="EC365822"/>
    <w:lvl w:ilvl="0" w:tplc="9D347062">
      <w:start w:val="1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763D02"/>
    <w:multiLevelType w:val="hybridMultilevel"/>
    <w:tmpl w:val="722A328E"/>
    <w:lvl w:ilvl="0" w:tplc="C0D2BA88">
      <w:start w:val="1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14C71F2"/>
    <w:multiLevelType w:val="hybridMultilevel"/>
    <w:tmpl w:val="C6428A5A"/>
    <w:lvl w:ilvl="0" w:tplc="00028B2E">
      <w:start w:val="9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1C7BE7"/>
    <w:multiLevelType w:val="hybridMultilevel"/>
    <w:tmpl w:val="662C3D96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D72D91"/>
    <w:multiLevelType w:val="hybridMultilevel"/>
    <w:tmpl w:val="13BA3F24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DE11BD"/>
    <w:multiLevelType w:val="hybridMultilevel"/>
    <w:tmpl w:val="5F3E50E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DF1016F"/>
    <w:multiLevelType w:val="hybridMultilevel"/>
    <w:tmpl w:val="F500A1D6"/>
    <w:lvl w:ilvl="0" w:tplc="FCDACA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A524E2"/>
    <w:multiLevelType w:val="hybridMultilevel"/>
    <w:tmpl w:val="57BAE696"/>
    <w:lvl w:ilvl="0" w:tplc="2B0CB3F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>
    <w:nsid w:val="7AFA1A3F"/>
    <w:multiLevelType w:val="hybridMultilevel"/>
    <w:tmpl w:val="16CCF16C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14"/>
  </w:num>
  <w:num w:numId="7">
    <w:abstractNumId w:val="7"/>
  </w:num>
  <w:num w:numId="8">
    <w:abstractNumId w:val="13"/>
  </w:num>
  <w:num w:numId="9">
    <w:abstractNumId w:val="9"/>
  </w:num>
  <w:num w:numId="10">
    <w:abstractNumId w:val="15"/>
  </w:num>
  <w:num w:numId="11">
    <w:abstractNumId w:val="19"/>
  </w:num>
  <w:num w:numId="12">
    <w:abstractNumId w:val="0"/>
  </w:num>
  <w:num w:numId="13">
    <w:abstractNumId w:val="18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4"/>
  </w:num>
  <w:num w:numId="19">
    <w:abstractNumId w:val="11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6AF"/>
    <w:rsid w:val="00000F1E"/>
    <w:rsid w:val="000019CE"/>
    <w:rsid w:val="00002C77"/>
    <w:rsid w:val="000049A0"/>
    <w:rsid w:val="000055CA"/>
    <w:rsid w:val="00007195"/>
    <w:rsid w:val="00007C41"/>
    <w:rsid w:val="000106CE"/>
    <w:rsid w:val="00012F42"/>
    <w:rsid w:val="00013C17"/>
    <w:rsid w:val="000150E6"/>
    <w:rsid w:val="00016B58"/>
    <w:rsid w:val="000204FD"/>
    <w:rsid w:val="00021C9C"/>
    <w:rsid w:val="00022B6B"/>
    <w:rsid w:val="0002348D"/>
    <w:rsid w:val="000235A4"/>
    <w:rsid w:val="000246C4"/>
    <w:rsid w:val="000254E0"/>
    <w:rsid w:val="00031078"/>
    <w:rsid w:val="000318B5"/>
    <w:rsid w:val="0003197D"/>
    <w:rsid w:val="00031EE4"/>
    <w:rsid w:val="00031F89"/>
    <w:rsid w:val="0003494F"/>
    <w:rsid w:val="0003547D"/>
    <w:rsid w:val="00035859"/>
    <w:rsid w:val="00035A55"/>
    <w:rsid w:val="00035EDA"/>
    <w:rsid w:val="00037590"/>
    <w:rsid w:val="00041E21"/>
    <w:rsid w:val="00043F99"/>
    <w:rsid w:val="00052EC9"/>
    <w:rsid w:val="0005309F"/>
    <w:rsid w:val="00057EC8"/>
    <w:rsid w:val="0006023F"/>
    <w:rsid w:val="00067180"/>
    <w:rsid w:val="00070D27"/>
    <w:rsid w:val="00074A94"/>
    <w:rsid w:val="000751BE"/>
    <w:rsid w:val="00075744"/>
    <w:rsid w:val="00083C39"/>
    <w:rsid w:val="00083F92"/>
    <w:rsid w:val="00086B4B"/>
    <w:rsid w:val="00093FC1"/>
    <w:rsid w:val="00095002"/>
    <w:rsid w:val="00095191"/>
    <w:rsid w:val="000A014B"/>
    <w:rsid w:val="000A1231"/>
    <w:rsid w:val="000A323E"/>
    <w:rsid w:val="000A4D6F"/>
    <w:rsid w:val="000A7511"/>
    <w:rsid w:val="000B244A"/>
    <w:rsid w:val="000B2702"/>
    <w:rsid w:val="000B309D"/>
    <w:rsid w:val="000B3CC0"/>
    <w:rsid w:val="000C0488"/>
    <w:rsid w:val="000C230D"/>
    <w:rsid w:val="000C342C"/>
    <w:rsid w:val="000C3B02"/>
    <w:rsid w:val="000D007A"/>
    <w:rsid w:val="000D0E8F"/>
    <w:rsid w:val="000D1CC3"/>
    <w:rsid w:val="000D3C92"/>
    <w:rsid w:val="000D434B"/>
    <w:rsid w:val="000D5752"/>
    <w:rsid w:val="000D5DDD"/>
    <w:rsid w:val="000D6050"/>
    <w:rsid w:val="000D7AE1"/>
    <w:rsid w:val="000E23BE"/>
    <w:rsid w:val="000E5024"/>
    <w:rsid w:val="000E5623"/>
    <w:rsid w:val="000E66B8"/>
    <w:rsid w:val="000F006B"/>
    <w:rsid w:val="000F2F4D"/>
    <w:rsid w:val="000F3DC4"/>
    <w:rsid w:val="000F5255"/>
    <w:rsid w:val="000F6240"/>
    <w:rsid w:val="000F6AC7"/>
    <w:rsid w:val="001005DD"/>
    <w:rsid w:val="0010140F"/>
    <w:rsid w:val="001031E4"/>
    <w:rsid w:val="00103784"/>
    <w:rsid w:val="00104DAC"/>
    <w:rsid w:val="0010523F"/>
    <w:rsid w:val="00106D95"/>
    <w:rsid w:val="00110D86"/>
    <w:rsid w:val="00114F7A"/>
    <w:rsid w:val="00120728"/>
    <w:rsid w:val="0012088B"/>
    <w:rsid w:val="00126559"/>
    <w:rsid w:val="00127B6F"/>
    <w:rsid w:val="00130949"/>
    <w:rsid w:val="0013178A"/>
    <w:rsid w:val="0013239D"/>
    <w:rsid w:val="001326C3"/>
    <w:rsid w:val="00133F4A"/>
    <w:rsid w:val="0013447D"/>
    <w:rsid w:val="001356B8"/>
    <w:rsid w:val="00137BA9"/>
    <w:rsid w:val="00142BE6"/>
    <w:rsid w:val="00144ECC"/>
    <w:rsid w:val="001478F0"/>
    <w:rsid w:val="001479E3"/>
    <w:rsid w:val="001514E2"/>
    <w:rsid w:val="00157A92"/>
    <w:rsid w:val="00165A73"/>
    <w:rsid w:val="0016687B"/>
    <w:rsid w:val="001675D5"/>
    <w:rsid w:val="001704CF"/>
    <w:rsid w:val="00170C55"/>
    <w:rsid w:val="00171C8B"/>
    <w:rsid w:val="001735B8"/>
    <w:rsid w:val="001747EF"/>
    <w:rsid w:val="001751FD"/>
    <w:rsid w:val="001758D9"/>
    <w:rsid w:val="001772BE"/>
    <w:rsid w:val="001776BB"/>
    <w:rsid w:val="001803CF"/>
    <w:rsid w:val="00181582"/>
    <w:rsid w:val="00182114"/>
    <w:rsid w:val="00184FB8"/>
    <w:rsid w:val="0019001D"/>
    <w:rsid w:val="0019057A"/>
    <w:rsid w:val="001907A3"/>
    <w:rsid w:val="00192AB0"/>
    <w:rsid w:val="00194DAF"/>
    <w:rsid w:val="001A43F7"/>
    <w:rsid w:val="001A490F"/>
    <w:rsid w:val="001A6466"/>
    <w:rsid w:val="001A6A20"/>
    <w:rsid w:val="001A6C5C"/>
    <w:rsid w:val="001B0F0C"/>
    <w:rsid w:val="001B2961"/>
    <w:rsid w:val="001C107D"/>
    <w:rsid w:val="001C14F3"/>
    <w:rsid w:val="001C5DF9"/>
    <w:rsid w:val="001C7D81"/>
    <w:rsid w:val="001D0301"/>
    <w:rsid w:val="001D371C"/>
    <w:rsid w:val="001D60D6"/>
    <w:rsid w:val="001D6DFD"/>
    <w:rsid w:val="001E5A13"/>
    <w:rsid w:val="001E66F3"/>
    <w:rsid w:val="001F2767"/>
    <w:rsid w:val="001F548D"/>
    <w:rsid w:val="001F5B53"/>
    <w:rsid w:val="00200EDE"/>
    <w:rsid w:val="00202F7A"/>
    <w:rsid w:val="002056B1"/>
    <w:rsid w:val="0021076D"/>
    <w:rsid w:val="00211C25"/>
    <w:rsid w:val="00216855"/>
    <w:rsid w:val="00224FE0"/>
    <w:rsid w:val="002251BE"/>
    <w:rsid w:val="00227A59"/>
    <w:rsid w:val="0023608B"/>
    <w:rsid w:val="002413B9"/>
    <w:rsid w:val="00241A17"/>
    <w:rsid w:val="002454BF"/>
    <w:rsid w:val="00247465"/>
    <w:rsid w:val="00250969"/>
    <w:rsid w:val="002566ED"/>
    <w:rsid w:val="002567B0"/>
    <w:rsid w:val="00260F75"/>
    <w:rsid w:val="002646E5"/>
    <w:rsid w:val="002662AE"/>
    <w:rsid w:val="002711C5"/>
    <w:rsid w:val="00272382"/>
    <w:rsid w:val="002725B2"/>
    <w:rsid w:val="00276DF1"/>
    <w:rsid w:val="00281B69"/>
    <w:rsid w:val="00282125"/>
    <w:rsid w:val="002824C4"/>
    <w:rsid w:val="002847D2"/>
    <w:rsid w:val="002908B7"/>
    <w:rsid w:val="00291D3E"/>
    <w:rsid w:val="002A03B3"/>
    <w:rsid w:val="002A27D3"/>
    <w:rsid w:val="002A7068"/>
    <w:rsid w:val="002B0C7A"/>
    <w:rsid w:val="002B2318"/>
    <w:rsid w:val="002B3AAA"/>
    <w:rsid w:val="002B5AAB"/>
    <w:rsid w:val="002B69E4"/>
    <w:rsid w:val="002B6D43"/>
    <w:rsid w:val="002B6EEC"/>
    <w:rsid w:val="002C0FB7"/>
    <w:rsid w:val="002C1156"/>
    <w:rsid w:val="002C4513"/>
    <w:rsid w:val="002C60F9"/>
    <w:rsid w:val="002C6D93"/>
    <w:rsid w:val="002D076E"/>
    <w:rsid w:val="002D135B"/>
    <w:rsid w:val="002D2689"/>
    <w:rsid w:val="002D313C"/>
    <w:rsid w:val="002D4C36"/>
    <w:rsid w:val="002D5179"/>
    <w:rsid w:val="002D6217"/>
    <w:rsid w:val="002E3858"/>
    <w:rsid w:val="002E40F4"/>
    <w:rsid w:val="002E6EF3"/>
    <w:rsid w:val="002F0103"/>
    <w:rsid w:val="002F11F3"/>
    <w:rsid w:val="002F1F57"/>
    <w:rsid w:val="002F228E"/>
    <w:rsid w:val="002F46AE"/>
    <w:rsid w:val="002F6C39"/>
    <w:rsid w:val="002F77AC"/>
    <w:rsid w:val="00301D61"/>
    <w:rsid w:val="00304834"/>
    <w:rsid w:val="00310967"/>
    <w:rsid w:val="00311A72"/>
    <w:rsid w:val="00314FC9"/>
    <w:rsid w:val="003174B0"/>
    <w:rsid w:val="003232DC"/>
    <w:rsid w:val="00323549"/>
    <w:rsid w:val="00325DE3"/>
    <w:rsid w:val="00330CEB"/>
    <w:rsid w:val="0033194C"/>
    <w:rsid w:val="00331B80"/>
    <w:rsid w:val="0033227D"/>
    <w:rsid w:val="00334026"/>
    <w:rsid w:val="00335269"/>
    <w:rsid w:val="00335A7A"/>
    <w:rsid w:val="00337CAA"/>
    <w:rsid w:val="00341B13"/>
    <w:rsid w:val="003511A0"/>
    <w:rsid w:val="00351458"/>
    <w:rsid w:val="00352B06"/>
    <w:rsid w:val="00355FB5"/>
    <w:rsid w:val="0035731C"/>
    <w:rsid w:val="003617D9"/>
    <w:rsid w:val="00363513"/>
    <w:rsid w:val="003652AC"/>
    <w:rsid w:val="00371AF8"/>
    <w:rsid w:val="00372287"/>
    <w:rsid w:val="003741E5"/>
    <w:rsid w:val="00374245"/>
    <w:rsid w:val="00374857"/>
    <w:rsid w:val="00374E59"/>
    <w:rsid w:val="00381C8F"/>
    <w:rsid w:val="00384133"/>
    <w:rsid w:val="0039318D"/>
    <w:rsid w:val="00394C2C"/>
    <w:rsid w:val="00395423"/>
    <w:rsid w:val="003A1122"/>
    <w:rsid w:val="003A42A4"/>
    <w:rsid w:val="003B47C3"/>
    <w:rsid w:val="003B710E"/>
    <w:rsid w:val="003C37BD"/>
    <w:rsid w:val="003C5319"/>
    <w:rsid w:val="003C652E"/>
    <w:rsid w:val="003C7191"/>
    <w:rsid w:val="003C72DA"/>
    <w:rsid w:val="003D0558"/>
    <w:rsid w:val="003D0F05"/>
    <w:rsid w:val="003D13B5"/>
    <w:rsid w:val="003E1701"/>
    <w:rsid w:val="003E222D"/>
    <w:rsid w:val="003E2F84"/>
    <w:rsid w:val="003E5FB8"/>
    <w:rsid w:val="003E6F2B"/>
    <w:rsid w:val="003E7DE7"/>
    <w:rsid w:val="003F211F"/>
    <w:rsid w:val="003F31B9"/>
    <w:rsid w:val="003F4FB3"/>
    <w:rsid w:val="00403358"/>
    <w:rsid w:val="00404981"/>
    <w:rsid w:val="00404A66"/>
    <w:rsid w:val="0041173E"/>
    <w:rsid w:val="0041286D"/>
    <w:rsid w:val="00414B37"/>
    <w:rsid w:val="004151D2"/>
    <w:rsid w:val="004174AE"/>
    <w:rsid w:val="00422C1B"/>
    <w:rsid w:val="00424775"/>
    <w:rsid w:val="004249DB"/>
    <w:rsid w:val="00425178"/>
    <w:rsid w:val="00431C68"/>
    <w:rsid w:val="0043218B"/>
    <w:rsid w:val="00432CBE"/>
    <w:rsid w:val="004341FB"/>
    <w:rsid w:val="004376CA"/>
    <w:rsid w:val="004419D1"/>
    <w:rsid w:val="00446238"/>
    <w:rsid w:val="00452675"/>
    <w:rsid w:val="00452EB2"/>
    <w:rsid w:val="00457CC5"/>
    <w:rsid w:val="00462136"/>
    <w:rsid w:val="00463A91"/>
    <w:rsid w:val="00463AB7"/>
    <w:rsid w:val="00464794"/>
    <w:rsid w:val="00465DA7"/>
    <w:rsid w:val="0047133F"/>
    <w:rsid w:val="004715FD"/>
    <w:rsid w:val="004736C3"/>
    <w:rsid w:val="00474B9F"/>
    <w:rsid w:val="00475539"/>
    <w:rsid w:val="0047597F"/>
    <w:rsid w:val="00477C67"/>
    <w:rsid w:val="00477E5D"/>
    <w:rsid w:val="00480C96"/>
    <w:rsid w:val="00480F1D"/>
    <w:rsid w:val="00483B53"/>
    <w:rsid w:val="00483D14"/>
    <w:rsid w:val="00483E99"/>
    <w:rsid w:val="00493015"/>
    <w:rsid w:val="0049568B"/>
    <w:rsid w:val="00496485"/>
    <w:rsid w:val="00497C1A"/>
    <w:rsid w:val="004A3039"/>
    <w:rsid w:val="004A3DB8"/>
    <w:rsid w:val="004A696D"/>
    <w:rsid w:val="004B4DAE"/>
    <w:rsid w:val="004B60E8"/>
    <w:rsid w:val="004C1993"/>
    <w:rsid w:val="004C1E3C"/>
    <w:rsid w:val="004C494B"/>
    <w:rsid w:val="004C7E97"/>
    <w:rsid w:val="004D0CD1"/>
    <w:rsid w:val="004D2F1D"/>
    <w:rsid w:val="004D409F"/>
    <w:rsid w:val="004E1BB4"/>
    <w:rsid w:val="004E286D"/>
    <w:rsid w:val="004E3443"/>
    <w:rsid w:val="004E44C8"/>
    <w:rsid w:val="004E4504"/>
    <w:rsid w:val="004E7073"/>
    <w:rsid w:val="004E759E"/>
    <w:rsid w:val="004F2583"/>
    <w:rsid w:val="0050229B"/>
    <w:rsid w:val="00504B82"/>
    <w:rsid w:val="00505897"/>
    <w:rsid w:val="00507D72"/>
    <w:rsid w:val="00507F6B"/>
    <w:rsid w:val="005119C9"/>
    <w:rsid w:val="00513E3A"/>
    <w:rsid w:val="00515726"/>
    <w:rsid w:val="00521010"/>
    <w:rsid w:val="00521317"/>
    <w:rsid w:val="005230C4"/>
    <w:rsid w:val="00523DBB"/>
    <w:rsid w:val="00526A0B"/>
    <w:rsid w:val="0053092E"/>
    <w:rsid w:val="00533F9B"/>
    <w:rsid w:val="005358A6"/>
    <w:rsid w:val="00536577"/>
    <w:rsid w:val="005368D8"/>
    <w:rsid w:val="00537CE3"/>
    <w:rsid w:val="005421B0"/>
    <w:rsid w:val="005440E9"/>
    <w:rsid w:val="00544F47"/>
    <w:rsid w:val="00545FBF"/>
    <w:rsid w:val="005507D8"/>
    <w:rsid w:val="00551163"/>
    <w:rsid w:val="00551452"/>
    <w:rsid w:val="005546BF"/>
    <w:rsid w:val="00556D9B"/>
    <w:rsid w:val="00556F7A"/>
    <w:rsid w:val="00561A6A"/>
    <w:rsid w:val="00566062"/>
    <w:rsid w:val="00566C85"/>
    <w:rsid w:val="00570070"/>
    <w:rsid w:val="00571880"/>
    <w:rsid w:val="0057273C"/>
    <w:rsid w:val="00573C0F"/>
    <w:rsid w:val="0057436F"/>
    <w:rsid w:val="00575B7B"/>
    <w:rsid w:val="005807F3"/>
    <w:rsid w:val="00581B1B"/>
    <w:rsid w:val="0058467D"/>
    <w:rsid w:val="00584FE9"/>
    <w:rsid w:val="00587FB4"/>
    <w:rsid w:val="005922A8"/>
    <w:rsid w:val="00595C60"/>
    <w:rsid w:val="00596961"/>
    <w:rsid w:val="005A0163"/>
    <w:rsid w:val="005A3EFF"/>
    <w:rsid w:val="005A452B"/>
    <w:rsid w:val="005A617B"/>
    <w:rsid w:val="005A683B"/>
    <w:rsid w:val="005A7ACC"/>
    <w:rsid w:val="005B0503"/>
    <w:rsid w:val="005B2483"/>
    <w:rsid w:val="005B2F89"/>
    <w:rsid w:val="005C34E5"/>
    <w:rsid w:val="005C52D0"/>
    <w:rsid w:val="005C6D9E"/>
    <w:rsid w:val="005D2893"/>
    <w:rsid w:val="005D3E9E"/>
    <w:rsid w:val="005D4285"/>
    <w:rsid w:val="005D7D18"/>
    <w:rsid w:val="005E4F91"/>
    <w:rsid w:val="005E5B1F"/>
    <w:rsid w:val="005E5BFA"/>
    <w:rsid w:val="005E6467"/>
    <w:rsid w:val="005E7F92"/>
    <w:rsid w:val="005F11E7"/>
    <w:rsid w:val="005F1923"/>
    <w:rsid w:val="005F1DE1"/>
    <w:rsid w:val="005F332A"/>
    <w:rsid w:val="005F44D0"/>
    <w:rsid w:val="005F689A"/>
    <w:rsid w:val="005F71E5"/>
    <w:rsid w:val="005F726E"/>
    <w:rsid w:val="00601189"/>
    <w:rsid w:val="0060155F"/>
    <w:rsid w:val="00603849"/>
    <w:rsid w:val="00605AC3"/>
    <w:rsid w:val="006063BC"/>
    <w:rsid w:val="00610748"/>
    <w:rsid w:val="006141EB"/>
    <w:rsid w:val="00617473"/>
    <w:rsid w:val="00620B35"/>
    <w:rsid w:val="00621049"/>
    <w:rsid w:val="00630BC2"/>
    <w:rsid w:val="006408F8"/>
    <w:rsid w:val="0064101A"/>
    <w:rsid w:val="0064212A"/>
    <w:rsid w:val="00644DF7"/>
    <w:rsid w:val="00644E71"/>
    <w:rsid w:val="0064522D"/>
    <w:rsid w:val="00646816"/>
    <w:rsid w:val="006514FC"/>
    <w:rsid w:val="00651C48"/>
    <w:rsid w:val="00651D90"/>
    <w:rsid w:val="0065304A"/>
    <w:rsid w:val="00653C74"/>
    <w:rsid w:val="00663301"/>
    <w:rsid w:val="00666C78"/>
    <w:rsid w:val="00672F03"/>
    <w:rsid w:val="00673DE1"/>
    <w:rsid w:val="006753A3"/>
    <w:rsid w:val="0068003E"/>
    <w:rsid w:val="00681F89"/>
    <w:rsid w:val="006822A0"/>
    <w:rsid w:val="00682355"/>
    <w:rsid w:val="006842A5"/>
    <w:rsid w:val="006845EE"/>
    <w:rsid w:val="00684B04"/>
    <w:rsid w:val="00687BBA"/>
    <w:rsid w:val="00691FB0"/>
    <w:rsid w:val="00694813"/>
    <w:rsid w:val="006950FD"/>
    <w:rsid w:val="00697619"/>
    <w:rsid w:val="00697EEE"/>
    <w:rsid w:val="006A366B"/>
    <w:rsid w:val="006A37AA"/>
    <w:rsid w:val="006A4068"/>
    <w:rsid w:val="006A4906"/>
    <w:rsid w:val="006B0C38"/>
    <w:rsid w:val="006B2128"/>
    <w:rsid w:val="006B64D0"/>
    <w:rsid w:val="006B7492"/>
    <w:rsid w:val="006C226C"/>
    <w:rsid w:val="006C37CF"/>
    <w:rsid w:val="006C652D"/>
    <w:rsid w:val="006C749E"/>
    <w:rsid w:val="006D1AFE"/>
    <w:rsid w:val="006D685D"/>
    <w:rsid w:val="006E05BA"/>
    <w:rsid w:val="006E457B"/>
    <w:rsid w:val="006E4AE1"/>
    <w:rsid w:val="006E770F"/>
    <w:rsid w:val="006F331D"/>
    <w:rsid w:val="006F3459"/>
    <w:rsid w:val="006F6071"/>
    <w:rsid w:val="00703221"/>
    <w:rsid w:val="00704398"/>
    <w:rsid w:val="00710E31"/>
    <w:rsid w:val="00712004"/>
    <w:rsid w:val="0072124F"/>
    <w:rsid w:val="007213A1"/>
    <w:rsid w:val="00722318"/>
    <w:rsid w:val="007223D1"/>
    <w:rsid w:val="00724BC3"/>
    <w:rsid w:val="007277E0"/>
    <w:rsid w:val="00732A66"/>
    <w:rsid w:val="00732EE7"/>
    <w:rsid w:val="00734413"/>
    <w:rsid w:val="007355C4"/>
    <w:rsid w:val="00735893"/>
    <w:rsid w:val="007371A4"/>
    <w:rsid w:val="007407BC"/>
    <w:rsid w:val="00742144"/>
    <w:rsid w:val="007432FB"/>
    <w:rsid w:val="00743984"/>
    <w:rsid w:val="00744D67"/>
    <w:rsid w:val="00746768"/>
    <w:rsid w:val="0075281D"/>
    <w:rsid w:val="00752C16"/>
    <w:rsid w:val="00752E44"/>
    <w:rsid w:val="00753E13"/>
    <w:rsid w:val="0075462E"/>
    <w:rsid w:val="0075482B"/>
    <w:rsid w:val="007554B3"/>
    <w:rsid w:val="00756F10"/>
    <w:rsid w:val="00760078"/>
    <w:rsid w:val="00761190"/>
    <w:rsid w:val="0076142F"/>
    <w:rsid w:val="007622A6"/>
    <w:rsid w:val="007657DE"/>
    <w:rsid w:val="007747CF"/>
    <w:rsid w:val="007747FA"/>
    <w:rsid w:val="00775B2D"/>
    <w:rsid w:val="007775C8"/>
    <w:rsid w:val="00780382"/>
    <w:rsid w:val="00784AB1"/>
    <w:rsid w:val="00790174"/>
    <w:rsid w:val="0079183E"/>
    <w:rsid w:val="0079369B"/>
    <w:rsid w:val="00793C3E"/>
    <w:rsid w:val="007952AF"/>
    <w:rsid w:val="007976F3"/>
    <w:rsid w:val="007A030E"/>
    <w:rsid w:val="007A33C9"/>
    <w:rsid w:val="007A5D6A"/>
    <w:rsid w:val="007A62DD"/>
    <w:rsid w:val="007B30F6"/>
    <w:rsid w:val="007B3926"/>
    <w:rsid w:val="007B426C"/>
    <w:rsid w:val="007B5101"/>
    <w:rsid w:val="007B53DC"/>
    <w:rsid w:val="007B55A5"/>
    <w:rsid w:val="007C4C8F"/>
    <w:rsid w:val="007C7489"/>
    <w:rsid w:val="007D1A78"/>
    <w:rsid w:val="007D3526"/>
    <w:rsid w:val="007D4748"/>
    <w:rsid w:val="007D5483"/>
    <w:rsid w:val="007D61DB"/>
    <w:rsid w:val="007E190A"/>
    <w:rsid w:val="007E1CA7"/>
    <w:rsid w:val="007E2B98"/>
    <w:rsid w:val="007E2C94"/>
    <w:rsid w:val="007E2F1C"/>
    <w:rsid w:val="007E4F80"/>
    <w:rsid w:val="007E55A1"/>
    <w:rsid w:val="007E5CE5"/>
    <w:rsid w:val="007E6E63"/>
    <w:rsid w:val="007E73F6"/>
    <w:rsid w:val="007F1C33"/>
    <w:rsid w:val="007F44F8"/>
    <w:rsid w:val="007F4880"/>
    <w:rsid w:val="00801ECA"/>
    <w:rsid w:val="00807605"/>
    <w:rsid w:val="0081026B"/>
    <w:rsid w:val="008118BD"/>
    <w:rsid w:val="00811DCE"/>
    <w:rsid w:val="00812162"/>
    <w:rsid w:val="008133AE"/>
    <w:rsid w:val="00813478"/>
    <w:rsid w:val="00816290"/>
    <w:rsid w:val="00817E2D"/>
    <w:rsid w:val="008215A7"/>
    <w:rsid w:val="00823EF7"/>
    <w:rsid w:val="00824E36"/>
    <w:rsid w:val="00826D4E"/>
    <w:rsid w:val="00830060"/>
    <w:rsid w:val="00830538"/>
    <w:rsid w:val="00830FE3"/>
    <w:rsid w:val="0083258D"/>
    <w:rsid w:val="00832C81"/>
    <w:rsid w:val="0083798F"/>
    <w:rsid w:val="00840271"/>
    <w:rsid w:val="008420FC"/>
    <w:rsid w:val="008421AF"/>
    <w:rsid w:val="0084273A"/>
    <w:rsid w:val="00843E2A"/>
    <w:rsid w:val="00844D1D"/>
    <w:rsid w:val="0084538A"/>
    <w:rsid w:val="008477C0"/>
    <w:rsid w:val="008541BB"/>
    <w:rsid w:val="00856284"/>
    <w:rsid w:val="0085644D"/>
    <w:rsid w:val="0085714B"/>
    <w:rsid w:val="00860C08"/>
    <w:rsid w:val="0086440C"/>
    <w:rsid w:val="00864D8E"/>
    <w:rsid w:val="0086576E"/>
    <w:rsid w:val="00865F5E"/>
    <w:rsid w:val="0086621B"/>
    <w:rsid w:val="008670F9"/>
    <w:rsid w:val="00870DD8"/>
    <w:rsid w:val="00872C8C"/>
    <w:rsid w:val="00873B7C"/>
    <w:rsid w:val="00874EC2"/>
    <w:rsid w:val="00874ECC"/>
    <w:rsid w:val="00875038"/>
    <w:rsid w:val="00875F88"/>
    <w:rsid w:val="00876469"/>
    <w:rsid w:val="00876C7E"/>
    <w:rsid w:val="008778F8"/>
    <w:rsid w:val="0087791F"/>
    <w:rsid w:val="008800F8"/>
    <w:rsid w:val="00882F2D"/>
    <w:rsid w:val="008847E9"/>
    <w:rsid w:val="0088599E"/>
    <w:rsid w:val="00891AD2"/>
    <w:rsid w:val="00892320"/>
    <w:rsid w:val="00893D43"/>
    <w:rsid w:val="0089464E"/>
    <w:rsid w:val="00896AD9"/>
    <w:rsid w:val="008A0BF6"/>
    <w:rsid w:val="008A3EBB"/>
    <w:rsid w:val="008B10C6"/>
    <w:rsid w:val="008B19B1"/>
    <w:rsid w:val="008B7A8A"/>
    <w:rsid w:val="008C0C77"/>
    <w:rsid w:val="008C71D8"/>
    <w:rsid w:val="008C7B77"/>
    <w:rsid w:val="008C7EDD"/>
    <w:rsid w:val="008D0207"/>
    <w:rsid w:val="008D2024"/>
    <w:rsid w:val="008D27FE"/>
    <w:rsid w:val="008D48DF"/>
    <w:rsid w:val="008D577C"/>
    <w:rsid w:val="008D593B"/>
    <w:rsid w:val="008E3B84"/>
    <w:rsid w:val="00901331"/>
    <w:rsid w:val="00902DCF"/>
    <w:rsid w:val="00910C7E"/>
    <w:rsid w:val="009167C6"/>
    <w:rsid w:val="0091769E"/>
    <w:rsid w:val="009212F5"/>
    <w:rsid w:val="00923D6B"/>
    <w:rsid w:val="00924FCA"/>
    <w:rsid w:val="00932C0B"/>
    <w:rsid w:val="00932FC2"/>
    <w:rsid w:val="00933544"/>
    <w:rsid w:val="00935513"/>
    <w:rsid w:val="0094050D"/>
    <w:rsid w:val="00940F0D"/>
    <w:rsid w:val="0094304D"/>
    <w:rsid w:val="00945099"/>
    <w:rsid w:val="00954576"/>
    <w:rsid w:val="00955D0A"/>
    <w:rsid w:val="00956FF7"/>
    <w:rsid w:val="009574AB"/>
    <w:rsid w:val="0096712F"/>
    <w:rsid w:val="00972FE2"/>
    <w:rsid w:val="00973CA8"/>
    <w:rsid w:val="009763E6"/>
    <w:rsid w:val="00981700"/>
    <w:rsid w:val="00983303"/>
    <w:rsid w:val="0098477D"/>
    <w:rsid w:val="00985D84"/>
    <w:rsid w:val="00986DB2"/>
    <w:rsid w:val="00990C60"/>
    <w:rsid w:val="0099270D"/>
    <w:rsid w:val="009975E5"/>
    <w:rsid w:val="00997AE8"/>
    <w:rsid w:val="009A018E"/>
    <w:rsid w:val="009A75B7"/>
    <w:rsid w:val="009B2A77"/>
    <w:rsid w:val="009B4731"/>
    <w:rsid w:val="009C08CD"/>
    <w:rsid w:val="009C190A"/>
    <w:rsid w:val="009C379C"/>
    <w:rsid w:val="009C39BA"/>
    <w:rsid w:val="009C54BB"/>
    <w:rsid w:val="009D06C4"/>
    <w:rsid w:val="009D1466"/>
    <w:rsid w:val="009D2FBA"/>
    <w:rsid w:val="009D638D"/>
    <w:rsid w:val="009E28AE"/>
    <w:rsid w:val="009E2910"/>
    <w:rsid w:val="009E5E40"/>
    <w:rsid w:val="009E7303"/>
    <w:rsid w:val="009F040B"/>
    <w:rsid w:val="009F426B"/>
    <w:rsid w:val="009F63A5"/>
    <w:rsid w:val="009F6FE7"/>
    <w:rsid w:val="009F79DB"/>
    <w:rsid w:val="00A00766"/>
    <w:rsid w:val="00A1084E"/>
    <w:rsid w:val="00A10F79"/>
    <w:rsid w:val="00A1140D"/>
    <w:rsid w:val="00A11E5F"/>
    <w:rsid w:val="00A12DF0"/>
    <w:rsid w:val="00A13554"/>
    <w:rsid w:val="00A14426"/>
    <w:rsid w:val="00A17083"/>
    <w:rsid w:val="00A17A21"/>
    <w:rsid w:val="00A17F26"/>
    <w:rsid w:val="00A232BD"/>
    <w:rsid w:val="00A23B7C"/>
    <w:rsid w:val="00A276AF"/>
    <w:rsid w:val="00A3205E"/>
    <w:rsid w:val="00A33711"/>
    <w:rsid w:val="00A343B7"/>
    <w:rsid w:val="00A360FF"/>
    <w:rsid w:val="00A37E38"/>
    <w:rsid w:val="00A4214E"/>
    <w:rsid w:val="00A42EB1"/>
    <w:rsid w:val="00A449CB"/>
    <w:rsid w:val="00A50895"/>
    <w:rsid w:val="00A50C58"/>
    <w:rsid w:val="00A553BD"/>
    <w:rsid w:val="00A61276"/>
    <w:rsid w:val="00A612D8"/>
    <w:rsid w:val="00A62D5E"/>
    <w:rsid w:val="00A65B3F"/>
    <w:rsid w:val="00A67E64"/>
    <w:rsid w:val="00A74525"/>
    <w:rsid w:val="00A7656F"/>
    <w:rsid w:val="00A80247"/>
    <w:rsid w:val="00A81110"/>
    <w:rsid w:val="00A84222"/>
    <w:rsid w:val="00A85789"/>
    <w:rsid w:val="00A93732"/>
    <w:rsid w:val="00A941B3"/>
    <w:rsid w:val="00A97BFA"/>
    <w:rsid w:val="00AA02BC"/>
    <w:rsid w:val="00AA1A40"/>
    <w:rsid w:val="00AA24B8"/>
    <w:rsid w:val="00AA24C0"/>
    <w:rsid w:val="00AA3755"/>
    <w:rsid w:val="00AA5E13"/>
    <w:rsid w:val="00AA6A46"/>
    <w:rsid w:val="00AA73CA"/>
    <w:rsid w:val="00AB033E"/>
    <w:rsid w:val="00AC024D"/>
    <w:rsid w:val="00AC2CC1"/>
    <w:rsid w:val="00AC6342"/>
    <w:rsid w:val="00AC7D1C"/>
    <w:rsid w:val="00AD153D"/>
    <w:rsid w:val="00AD1D21"/>
    <w:rsid w:val="00AD46A6"/>
    <w:rsid w:val="00AD5B1D"/>
    <w:rsid w:val="00AE0E1B"/>
    <w:rsid w:val="00AE47FF"/>
    <w:rsid w:val="00AE62EB"/>
    <w:rsid w:val="00AF1680"/>
    <w:rsid w:val="00AF17BA"/>
    <w:rsid w:val="00AF2291"/>
    <w:rsid w:val="00AF304E"/>
    <w:rsid w:val="00AF4896"/>
    <w:rsid w:val="00AF4FA0"/>
    <w:rsid w:val="00AF5783"/>
    <w:rsid w:val="00AF637E"/>
    <w:rsid w:val="00AF753B"/>
    <w:rsid w:val="00B005BA"/>
    <w:rsid w:val="00B00EEE"/>
    <w:rsid w:val="00B01CAA"/>
    <w:rsid w:val="00B03D2E"/>
    <w:rsid w:val="00B07B42"/>
    <w:rsid w:val="00B14E1E"/>
    <w:rsid w:val="00B1717D"/>
    <w:rsid w:val="00B204C7"/>
    <w:rsid w:val="00B22989"/>
    <w:rsid w:val="00B22D11"/>
    <w:rsid w:val="00B24C2B"/>
    <w:rsid w:val="00B277D3"/>
    <w:rsid w:val="00B31D41"/>
    <w:rsid w:val="00B338B3"/>
    <w:rsid w:val="00B4000A"/>
    <w:rsid w:val="00B4112B"/>
    <w:rsid w:val="00B42775"/>
    <w:rsid w:val="00B43AF0"/>
    <w:rsid w:val="00B46D93"/>
    <w:rsid w:val="00B5645D"/>
    <w:rsid w:val="00B57AB3"/>
    <w:rsid w:val="00B6586F"/>
    <w:rsid w:val="00B67573"/>
    <w:rsid w:val="00B75249"/>
    <w:rsid w:val="00B76EAA"/>
    <w:rsid w:val="00B81D7F"/>
    <w:rsid w:val="00B83EEE"/>
    <w:rsid w:val="00B84F48"/>
    <w:rsid w:val="00B85074"/>
    <w:rsid w:val="00B86047"/>
    <w:rsid w:val="00B87847"/>
    <w:rsid w:val="00B90414"/>
    <w:rsid w:val="00B90EC4"/>
    <w:rsid w:val="00B91862"/>
    <w:rsid w:val="00B91BC9"/>
    <w:rsid w:val="00B92383"/>
    <w:rsid w:val="00B9542B"/>
    <w:rsid w:val="00B957B5"/>
    <w:rsid w:val="00B96B87"/>
    <w:rsid w:val="00B96E66"/>
    <w:rsid w:val="00B974FE"/>
    <w:rsid w:val="00B9795B"/>
    <w:rsid w:val="00BA098D"/>
    <w:rsid w:val="00BA1FE1"/>
    <w:rsid w:val="00BA4814"/>
    <w:rsid w:val="00BB093D"/>
    <w:rsid w:val="00BB19BB"/>
    <w:rsid w:val="00BB4094"/>
    <w:rsid w:val="00BB4C8D"/>
    <w:rsid w:val="00BB708F"/>
    <w:rsid w:val="00BC21B1"/>
    <w:rsid w:val="00BC3AE6"/>
    <w:rsid w:val="00BD5DF1"/>
    <w:rsid w:val="00BE23F2"/>
    <w:rsid w:val="00BE722E"/>
    <w:rsid w:val="00BF1DD7"/>
    <w:rsid w:val="00BF4BBA"/>
    <w:rsid w:val="00BF5B82"/>
    <w:rsid w:val="00BF6060"/>
    <w:rsid w:val="00BF67F1"/>
    <w:rsid w:val="00BF749F"/>
    <w:rsid w:val="00C0096E"/>
    <w:rsid w:val="00C01A7D"/>
    <w:rsid w:val="00C01C12"/>
    <w:rsid w:val="00C02146"/>
    <w:rsid w:val="00C03B3A"/>
    <w:rsid w:val="00C03CC7"/>
    <w:rsid w:val="00C10346"/>
    <w:rsid w:val="00C1184C"/>
    <w:rsid w:val="00C13DE7"/>
    <w:rsid w:val="00C15A28"/>
    <w:rsid w:val="00C200CB"/>
    <w:rsid w:val="00C203E0"/>
    <w:rsid w:val="00C21969"/>
    <w:rsid w:val="00C3124A"/>
    <w:rsid w:val="00C31349"/>
    <w:rsid w:val="00C32D62"/>
    <w:rsid w:val="00C342BC"/>
    <w:rsid w:val="00C35EEC"/>
    <w:rsid w:val="00C36F52"/>
    <w:rsid w:val="00C371A5"/>
    <w:rsid w:val="00C42905"/>
    <w:rsid w:val="00C42D3C"/>
    <w:rsid w:val="00C4420E"/>
    <w:rsid w:val="00C445A9"/>
    <w:rsid w:val="00C51D9B"/>
    <w:rsid w:val="00C53947"/>
    <w:rsid w:val="00C56C17"/>
    <w:rsid w:val="00C628F4"/>
    <w:rsid w:val="00C632FC"/>
    <w:rsid w:val="00C636D7"/>
    <w:rsid w:val="00C643BC"/>
    <w:rsid w:val="00C66521"/>
    <w:rsid w:val="00C67C8B"/>
    <w:rsid w:val="00C67D02"/>
    <w:rsid w:val="00C739CE"/>
    <w:rsid w:val="00C81738"/>
    <w:rsid w:val="00C821FD"/>
    <w:rsid w:val="00C84239"/>
    <w:rsid w:val="00C86CAA"/>
    <w:rsid w:val="00C87344"/>
    <w:rsid w:val="00C87A70"/>
    <w:rsid w:val="00C87FDA"/>
    <w:rsid w:val="00C914CD"/>
    <w:rsid w:val="00C95C8F"/>
    <w:rsid w:val="00CA233D"/>
    <w:rsid w:val="00CA2B80"/>
    <w:rsid w:val="00CA409D"/>
    <w:rsid w:val="00CA462A"/>
    <w:rsid w:val="00CA494E"/>
    <w:rsid w:val="00CA68AB"/>
    <w:rsid w:val="00CA6EF3"/>
    <w:rsid w:val="00CB3F95"/>
    <w:rsid w:val="00CB6101"/>
    <w:rsid w:val="00CC5885"/>
    <w:rsid w:val="00CC5BA5"/>
    <w:rsid w:val="00CC5BB9"/>
    <w:rsid w:val="00CC65A3"/>
    <w:rsid w:val="00CD08B6"/>
    <w:rsid w:val="00CD6515"/>
    <w:rsid w:val="00CD7824"/>
    <w:rsid w:val="00CE04A8"/>
    <w:rsid w:val="00CE1DD3"/>
    <w:rsid w:val="00CE2451"/>
    <w:rsid w:val="00CE2C96"/>
    <w:rsid w:val="00CE46B3"/>
    <w:rsid w:val="00CE544F"/>
    <w:rsid w:val="00CE59ED"/>
    <w:rsid w:val="00CE70B7"/>
    <w:rsid w:val="00CE7673"/>
    <w:rsid w:val="00CF2FB0"/>
    <w:rsid w:val="00CF3BB9"/>
    <w:rsid w:val="00CF497B"/>
    <w:rsid w:val="00CF4ED8"/>
    <w:rsid w:val="00CF7364"/>
    <w:rsid w:val="00CF7728"/>
    <w:rsid w:val="00CF7A31"/>
    <w:rsid w:val="00D03413"/>
    <w:rsid w:val="00D07E65"/>
    <w:rsid w:val="00D12A12"/>
    <w:rsid w:val="00D162D9"/>
    <w:rsid w:val="00D20E8E"/>
    <w:rsid w:val="00D22A24"/>
    <w:rsid w:val="00D24C2F"/>
    <w:rsid w:val="00D25591"/>
    <w:rsid w:val="00D305CC"/>
    <w:rsid w:val="00D30A96"/>
    <w:rsid w:val="00D31746"/>
    <w:rsid w:val="00D33B74"/>
    <w:rsid w:val="00D33D1C"/>
    <w:rsid w:val="00D354E8"/>
    <w:rsid w:val="00D361B2"/>
    <w:rsid w:val="00D366C4"/>
    <w:rsid w:val="00D36CCC"/>
    <w:rsid w:val="00D42458"/>
    <w:rsid w:val="00D454A2"/>
    <w:rsid w:val="00D45F07"/>
    <w:rsid w:val="00D46BEE"/>
    <w:rsid w:val="00D46DE1"/>
    <w:rsid w:val="00D500D3"/>
    <w:rsid w:val="00D520EE"/>
    <w:rsid w:val="00D53E2B"/>
    <w:rsid w:val="00D53EA2"/>
    <w:rsid w:val="00D55F94"/>
    <w:rsid w:val="00D624D2"/>
    <w:rsid w:val="00D63791"/>
    <w:rsid w:val="00D63C56"/>
    <w:rsid w:val="00D65B00"/>
    <w:rsid w:val="00D66B6A"/>
    <w:rsid w:val="00D67408"/>
    <w:rsid w:val="00D70536"/>
    <w:rsid w:val="00D715FE"/>
    <w:rsid w:val="00D759DD"/>
    <w:rsid w:val="00D837AF"/>
    <w:rsid w:val="00D85ED5"/>
    <w:rsid w:val="00D86E38"/>
    <w:rsid w:val="00D87532"/>
    <w:rsid w:val="00D91B87"/>
    <w:rsid w:val="00D9257C"/>
    <w:rsid w:val="00D926D2"/>
    <w:rsid w:val="00D92ED3"/>
    <w:rsid w:val="00D9321F"/>
    <w:rsid w:val="00D93B91"/>
    <w:rsid w:val="00D95B65"/>
    <w:rsid w:val="00DA02B4"/>
    <w:rsid w:val="00DA1297"/>
    <w:rsid w:val="00DA525A"/>
    <w:rsid w:val="00DA5938"/>
    <w:rsid w:val="00DB632D"/>
    <w:rsid w:val="00DC2929"/>
    <w:rsid w:val="00DC5191"/>
    <w:rsid w:val="00DC6137"/>
    <w:rsid w:val="00DC6E33"/>
    <w:rsid w:val="00DD1175"/>
    <w:rsid w:val="00DD71AC"/>
    <w:rsid w:val="00DE002A"/>
    <w:rsid w:val="00DE35D2"/>
    <w:rsid w:val="00DE52D3"/>
    <w:rsid w:val="00DE5369"/>
    <w:rsid w:val="00DE64FA"/>
    <w:rsid w:val="00DF1492"/>
    <w:rsid w:val="00DF320F"/>
    <w:rsid w:val="00DF5BFB"/>
    <w:rsid w:val="00DF682C"/>
    <w:rsid w:val="00E00EA6"/>
    <w:rsid w:val="00E02140"/>
    <w:rsid w:val="00E035E9"/>
    <w:rsid w:val="00E07167"/>
    <w:rsid w:val="00E11EF4"/>
    <w:rsid w:val="00E12877"/>
    <w:rsid w:val="00E164E0"/>
    <w:rsid w:val="00E21441"/>
    <w:rsid w:val="00E22318"/>
    <w:rsid w:val="00E23F13"/>
    <w:rsid w:val="00E32833"/>
    <w:rsid w:val="00E329E2"/>
    <w:rsid w:val="00E34EB1"/>
    <w:rsid w:val="00E40F98"/>
    <w:rsid w:val="00E43F1B"/>
    <w:rsid w:val="00E46121"/>
    <w:rsid w:val="00E46D45"/>
    <w:rsid w:val="00E51EAF"/>
    <w:rsid w:val="00E608C4"/>
    <w:rsid w:val="00E6172E"/>
    <w:rsid w:val="00E641DE"/>
    <w:rsid w:val="00E64D0B"/>
    <w:rsid w:val="00E64FE2"/>
    <w:rsid w:val="00E65FBD"/>
    <w:rsid w:val="00E73C54"/>
    <w:rsid w:val="00E773FC"/>
    <w:rsid w:val="00E8059B"/>
    <w:rsid w:val="00E841C3"/>
    <w:rsid w:val="00E851DD"/>
    <w:rsid w:val="00E85E18"/>
    <w:rsid w:val="00E8667A"/>
    <w:rsid w:val="00E86DB8"/>
    <w:rsid w:val="00E90B9B"/>
    <w:rsid w:val="00E91E1F"/>
    <w:rsid w:val="00E94314"/>
    <w:rsid w:val="00EB4140"/>
    <w:rsid w:val="00EB4FA6"/>
    <w:rsid w:val="00EC0614"/>
    <w:rsid w:val="00EC26FE"/>
    <w:rsid w:val="00ED5E4D"/>
    <w:rsid w:val="00ED758A"/>
    <w:rsid w:val="00EE5038"/>
    <w:rsid w:val="00EF16AB"/>
    <w:rsid w:val="00EF5015"/>
    <w:rsid w:val="00EF596D"/>
    <w:rsid w:val="00F017D7"/>
    <w:rsid w:val="00F02916"/>
    <w:rsid w:val="00F0325D"/>
    <w:rsid w:val="00F03765"/>
    <w:rsid w:val="00F051A1"/>
    <w:rsid w:val="00F12897"/>
    <w:rsid w:val="00F12F31"/>
    <w:rsid w:val="00F21922"/>
    <w:rsid w:val="00F22A42"/>
    <w:rsid w:val="00F27960"/>
    <w:rsid w:val="00F31578"/>
    <w:rsid w:val="00F3693D"/>
    <w:rsid w:val="00F36B50"/>
    <w:rsid w:val="00F429F9"/>
    <w:rsid w:val="00F42AE8"/>
    <w:rsid w:val="00F432DD"/>
    <w:rsid w:val="00F436A5"/>
    <w:rsid w:val="00F444FF"/>
    <w:rsid w:val="00F459C4"/>
    <w:rsid w:val="00F47B5E"/>
    <w:rsid w:val="00F51CD0"/>
    <w:rsid w:val="00F52448"/>
    <w:rsid w:val="00F548D7"/>
    <w:rsid w:val="00F57EDE"/>
    <w:rsid w:val="00F63656"/>
    <w:rsid w:val="00F63A3C"/>
    <w:rsid w:val="00F64598"/>
    <w:rsid w:val="00F65DDF"/>
    <w:rsid w:val="00F671EF"/>
    <w:rsid w:val="00F71DA8"/>
    <w:rsid w:val="00F72CC7"/>
    <w:rsid w:val="00F73E94"/>
    <w:rsid w:val="00F7537B"/>
    <w:rsid w:val="00F81023"/>
    <w:rsid w:val="00F818BD"/>
    <w:rsid w:val="00F82D6A"/>
    <w:rsid w:val="00F82D9B"/>
    <w:rsid w:val="00F83875"/>
    <w:rsid w:val="00F8569E"/>
    <w:rsid w:val="00F86BFA"/>
    <w:rsid w:val="00F86F1F"/>
    <w:rsid w:val="00F87123"/>
    <w:rsid w:val="00F90469"/>
    <w:rsid w:val="00F93445"/>
    <w:rsid w:val="00F9396F"/>
    <w:rsid w:val="00F93A14"/>
    <w:rsid w:val="00F942E3"/>
    <w:rsid w:val="00F94A30"/>
    <w:rsid w:val="00FA4F21"/>
    <w:rsid w:val="00FA7C11"/>
    <w:rsid w:val="00FB28E9"/>
    <w:rsid w:val="00FB415F"/>
    <w:rsid w:val="00FB4251"/>
    <w:rsid w:val="00FC35E4"/>
    <w:rsid w:val="00FC4A93"/>
    <w:rsid w:val="00FD1979"/>
    <w:rsid w:val="00FD1F71"/>
    <w:rsid w:val="00FD2DF5"/>
    <w:rsid w:val="00FD64FA"/>
    <w:rsid w:val="00FD6689"/>
    <w:rsid w:val="00FE101B"/>
    <w:rsid w:val="00FF018F"/>
    <w:rsid w:val="00FF1C01"/>
    <w:rsid w:val="00FF5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8674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F7728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CF7728"/>
    <w:pPr>
      <w:keepNext/>
      <w:outlineLvl w:val="0"/>
    </w:pPr>
  </w:style>
  <w:style w:type="paragraph" w:styleId="Nadpis2">
    <w:name w:val="heading 2"/>
    <w:basedOn w:val="Normln"/>
    <w:next w:val="Normln"/>
    <w:link w:val="Nadpis2Char"/>
    <w:qFormat/>
    <w:rsid w:val="00D65B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CF7728"/>
    <w:pPr>
      <w:keepNext/>
      <w:outlineLvl w:val="2"/>
    </w:pPr>
    <w:rPr>
      <w:b/>
      <w:sz w:val="20"/>
    </w:rPr>
  </w:style>
  <w:style w:type="paragraph" w:styleId="Nadpis4">
    <w:name w:val="heading 4"/>
    <w:basedOn w:val="Normln"/>
    <w:next w:val="Normln"/>
    <w:link w:val="Nadpis4Char"/>
    <w:qFormat/>
    <w:rsid w:val="00CF7728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qFormat/>
    <w:rsid w:val="00CF7728"/>
    <w:pPr>
      <w:keepNext/>
      <w:outlineLvl w:val="4"/>
    </w:pPr>
  </w:style>
  <w:style w:type="paragraph" w:styleId="Nadpis8">
    <w:name w:val="heading 8"/>
    <w:basedOn w:val="Normln"/>
    <w:next w:val="Normln"/>
    <w:link w:val="Nadpis8Char"/>
    <w:qFormat/>
    <w:rsid w:val="00CF7728"/>
    <w:pPr>
      <w:keepNext/>
      <w:spacing w:before="120"/>
      <w:outlineLvl w:val="7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4117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locked/>
    <w:rsid w:val="0041173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locked/>
    <w:rsid w:val="0041173E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locked/>
    <w:rsid w:val="0041173E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locked/>
    <w:rsid w:val="0041173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semiHidden/>
    <w:locked/>
    <w:rsid w:val="0041173E"/>
    <w:rPr>
      <w:rFonts w:ascii="Calibri" w:hAnsi="Calibri" w:cs="Times New Roman"/>
      <w:i/>
      <w:iCs/>
      <w:sz w:val="24"/>
      <w:szCs w:val="24"/>
    </w:rPr>
  </w:style>
  <w:style w:type="paragraph" w:customStyle="1" w:styleId="Normln0">
    <w:name w:val="Norm‡ln’"/>
    <w:rsid w:val="00CF7728"/>
  </w:style>
  <w:style w:type="paragraph" w:customStyle="1" w:styleId="POZNMKA">
    <w:name w:val="POZNÁMKA"/>
    <w:basedOn w:val="Normln"/>
    <w:rsid w:val="00CF7728"/>
    <w:pPr>
      <w:spacing w:line="200" w:lineRule="exact"/>
    </w:pPr>
    <w:rPr>
      <w:kern w:val="18"/>
      <w:sz w:val="18"/>
    </w:rPr>
  </w:style>
  <w:style w:type="paragraph" w:customStyle="1" w:styleId="SVSnadpis1">
    <w:name w:val="SVS nadpis 1"/>
    <w:rsid w:val="00CF7728"/>
    <w:pPr>
      <w:jc w:val="both"/>
    </w:pPr>
    <w:rPr>
      <w:b/>
      <w:sz w:val="24"/>
    </w:rPr>
  </w:style>
  <w:style w:type="paragraph" w:customStyle="1" w:styleId="SVSpramen">
    <w:name w:val="SVS pramen"/>
    <w:autoRedefine/>
    <w:rsid w:val="00AD1D21"/>
    <w:pPr>
      <w:jc w:val="both"/>
    </w:pPr>
    <w:rPr>
      <w:bCs/>
      <w:i/>
      <w:noProof/>
    </w:rPr>
  </w:style>
  <w:style w:type="paragraph" w:customStyle="1" w:styleId="Zkladntext21">
    <w:name w:val="Základní text 21"/>
    <w:basedOn w:val="Normln"/>
    <w:rsid w:val="00CF7728"/>
    <w:pPr>
      <w:jc w:val="both"/>
    </w:pPr>
    <w:rPr>
      <w:sz w:val="18"/>
    </w:rPr>
  </w:style>
  <w:style w:type="paragraph" w:styleId="Titulek">
    <w:name w:val="caption"/>
    <w:basedOn w:val="Normln"/>
    <w:next w:val="Normln"/>
    <w:qFormat/>
    <w:rsid w:val="00CF7728"/>
    <w:rPr>
      <w:i/>
      <w:sz w:val="18"/>
    </w:rPr>
  </w:style>
  <w:style w:type="paragraph" w:customStyle="1" w:styleId="NADTABULKOU">
    <w:name w:val="NAD TABULKOU"/>
    <w:basedOn w:val="Normln"/>
    <w:rsid w:val="00CF7728"/>
    <w:pPr>
      <w:spacing w:before="120" w:after="40" w:line="260" w:lineRule="exact"/>
      <w:outlineLvl w:val="0"/>
    </w:pPr>
    <w:rPr>
      <w:b/>
      <w:kern w:val="18"/>
      <w:sz w:val="22"/>
    </w:rPr>
  </w:style>
  <w:style w:type="paragraph" w:customStyle="1" w:styleId="PRAMEN">
    <w:name w:val="PRAMEN"/>
    <w:basedOn w:val="Normln"/>
    <w:rsid w:val="00CF7728"/>
    <w:pPr>
      <w:spacing w:before="20" w:line="260" w:lineRule="exact"/>
    </w:pPr>
    <w:rPr>
      <w:i/>
      <w:kern w:val="18"/>
      <w:sz w:val="18"/>
    </w:rPr>
  </w:style>
  <w:style w:type="paragraph" w:customStyle="1" w:styleId="Normlnzleva">
    <w:name w:val="Normální zleva"/>
    <w:basedOn w:val="Normln"/>
    <w:rsid w:val="00CF7728"/>
    <w:pPr>
      <w:spacing w:line="360" w:lineRule="auto"/>
      <w:jc w:val="both"/>
    </w:pPr>
  </w:style>
  <w:style w:type="paragraph" w:customStyle="1" w:styleId="CharCharChar1CharCharCharCharCharCharCharCharChar1Char1">
    <w:name w:val="Char Char Char1 Char Char Char Char Char Char Char Char Char1 Char1"/>
    <w:basedOn w:val="Normln"/>
    <w:rsid w:val="00AF753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022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VStabulka">
    <w:name w:val="SVS tabulka"/>
    <w:autoRedefine/>
    <w:rsid w:val="00477C67"/>
    <w:rPr>
      <w:sz w:val="18"/>
    </w:rPr>
  </w:style>
  <w:style w:type="paragraph" w:customStyle="1" w:styleId="Styl7">
    <w:name w:val="Styl7"/>
    <w:basedOn w:val="Normln"/>
    <w:autoRedefine/>
    <w:rsid w:val="003B710E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32"/>
      <w:szCs w:val="24"/>
    </w:rPr>
  </w:style>
  <w:style w:type="paragraph" w:customStyle="1" w:styleId="Styl3">
    <w:name w:val="Styl3"/>
    <w:basedOn w:val="Nadpis1"/>
    <w:autoRedefine/>
    <w:rsid w:val="00157A92"/>
    <w:pPr>
      <w:numPr>
        <w:numId w:val="1"/>
      </w:numPr>
      <w:spacing w:line="360" w:lineRule="auto"/>
      <w:jc w:val="both"/>
    </w:pPr>
    <w:rPr>
      <w:rFonts w:ascii="Arial" w:hAnsi="Arial" w:cs="Arial"/>
      <w:b/>
      <w:bCs/>
      <w:sz w:val="32"/>
      <w:szCs w:val="24"/>
    </w:rPr>
  </w:style>
  <w:style w:type="paragraph" w:styleId="Textbubliny">
    <w:name w:val="Balloon Text"/>
    <w:basedOn w:val="Normln"/>
    <w:link w:val="TextbublinyChar"/>
    <w:semiHidden/>
    <w:rsid w:val="00DE35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DE35D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5846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F3459"/>
    <w:rPr>
      <w:rFonts w:cs="Times New Roman"/>
      <w:sz w:val="20"/>
      <w:szCs w:val="20"/>
    </w:rPr>
  </w:style>
  <w:style w:type="character" w:styleId="slostrnky">
    <w:name w:val="page number"/>
    <w:basedOn w:val="Standardnpsmoodstavce"/>
    <w:rsid w:val="0058467D"/>
    <w:rPr>
      <w:rFonts w:cs="Times New Roman"/>
    </w:rPr>
  </w:style>
  <w:style w:type="paragraph" w:styleId="Rozvrendokumentu">
    <w:name w:val="Document Map"/>
    <w:basedOn w:val="Normln"/>
    <w:link w:val="RozvrendokumentuChar"/>
    <w:rsid w:val="00007195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rsid w:val="00007195"/>
    <w:rPr>
      <w:rFonts w:ascii="Tahoma" w:hAnsi="Tahoma" w:cs="Tahoma"/>
      <w:sz w:val="16"/>
      <w:szCs w:val="16"/>
    </w:rPr>
  </w:style>
  <w:style w:type="table" w:styleId="Elegantntabulka">
    <w:name w:val="Table Elegant"/>
    <w:basedOn w:val="Normlntabulka"/>
    <w:rsid w:val="001014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rsid w:val="000C048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rsid w:val="000C048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link w:val="ZhlavChar"/>
    <w:rsid w:val="00697E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7EEE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3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_graf__201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cs-CZ"/>
              <a:t>Vývoj početních stavů krav dle kategorií v kusech ke dni 1. 4. příslušného kalendářního roku                                 (Pramen: ČSÚ)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List1!$K$4</c:f>
              <c:strCache>
                <c:ptCount val="1"/>
                <c:pt idx="0">
                  <c:v>dojnice </c:v>
                </c:pt>
              </c:strCache>
            </c:strRef>
          </c:tx>
          <c:dLbls>
            <c:dLbl>
              <c:idx val="0"/>
              <c:layout>
                <c:manualLayout>
                  <c:x val="-3.8215224360765472E-2"/>
                  <c:y val="3.5847524984928082E-2"/>
                </c:manualLayout>
              </c:layout>
              <c:showVal val="1"/>
            </c:dLbl>
            <c:dLbl>
              <c:idx val="1"/>
              <c:layout>
                <c:manualLayout>
                  <c:x val="-6.4146983748428657E-2"/>
                  <c:y val="3.5847524984928082E-2"/>
                </c:manualLayout>
              </c:layout>
              <c:showVal val="1"/>
            </c:dLbl>
            <c:dLbl>
              <c:idx val="2"/>
              <c:layout>
                <c:manualLayout>
                  <c:x val="-6.6876642631339578E-2"/>
                  <c:y val="2.3195457343188276E-2"/>
                </c:manualLayout>
              </c:layout>
              <c:showVal val="1"/>
            </c:dLbl>
            <c:dLbl>
              <c:idx val="3"/>
              <c:layout>
                <c:manualLayout>
                  <c:x val="-6.8241472072795475E-2"/>
                  <c:y val="1.8978101462609122E-2"/>
                </c:manualLayout>
              </c:layout>
              <c:showVal val="1"/>
            </c:dLbl>
            <c:dLbl>
              <c:idx val="4"/>
              <c:layout>
                <c:manualLayout>
                  <c:x val="-6.6876750098224733E-2"/>
                  <c:y val="2.3195457343188276E-2"/>
                </c:manualLayout>
              </c:layout>
              <c:showVal val="1"/>
            </c:dLbl>
            <c:dLbl>
              <c:idx val="5"/>
              <c:layout>
                <c:manualLayout>
                  <c:x val="-5.8687665982604074E-2"/>
                  <c:y val="2.5304135283478652E-2"/>
                </c:manualLayout>
              </c:layout>
              <c:showVal val="1"/>
            </c:dLbl>
            <c:dLbl>
              <c:idx val="6"/>
              <c:layout>
                <c:manualLayout>
                  <c:x val="-4.2309712685133324E-2"/>
                  <c:y val="3.5847524984928082E-2"/>
                </c:manualLayout>
              </c:layout>
              <c:showVal val="1"/>
            </c:dLbl>
            <c:dLbl>
              <c:idx val="7"/>
              <c:layout>
                <c:manualLayout>
                  <c:x val="-4.5039371568045022E-2"/>
                  <c:y val="3.3738847044638066E-2"/>
                </c:manualLayout>
              </c:layout>
              <c:showVal val="1"/>
            </c:dLbl>
            <c:dLbl>
              <c:idx val="8"/>
              <c:layout>
                <c:manualLayout>
                  <c:x val="-5.0498689333869133E-2"/>
                  <c:y val="3.7956202925218244E-2"/>
                </c:manualLayout>
              </c:layout>
              <c:showVal val="1"/>
            </c:dLbl>
            <c:dLbl>
              <c:idx val="9"/>
              <c:layout>
                <c:manualLayout>
                  <c:x val="-5.3228348216779756E-2"/>
                  <c:y val="3.7956202925218244E-2"/>
                </c:manualLayout>
              </c:layout>
              <c:showVal val="1"/>
            </c:dLbl>
            <c:dLbl>
              <c:idx val="10"/>
              <c:layout>
                <c:manualLayout>
                  <c:x val="-5.4593285125122556E-2"/>
                  <c:y val="3.1630169104348196E-2"/>
                </c:manualLayout>
              </c:layout>
              <c:showVal val="1"/>
            </c:dLbl>
            <c:dLbl>
              <c:idx val="11"/>
              <c:layout>
                <c:manualLayout>
                  <c:x val="-5.1863518775324566E-2"/>
                  <c:y val="4.8499592626667212E-2"/>
                </c:manualLayout>
              </c:layout>
              <c:showVal val="1"/>
            </c:dLbl>
            <c:showVal val="1"/>
          </c:dLbls>
          <c:cat>
            <c:numRef>
              <c:f>List1!$J$5:$J$16</c:f>
              <c:numCache>
                <c:formatCode>General</c:formatCode>
                <c:ptCount val="12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</c:numCache>
            </c:numRef>
          </c:cat>
          <c:val>
            <c:numRef>
              <c:f>List1!$K$5:$K$16</c:f>
              <c:numCache>
                <c:formatCode>#,##0</c:formatCode>
                <c:ptCount val="12"/>
                <c:pt idx="0">
                  <c:v>547493</c:v>
                </c:pt>
                <c:pt idx="1">
                  <c:v>529138</c:v>
                </c:pt>
                <c:pt idx="2">
                  <c:v>495962</c:v>
                </c:pt>
                <c:pt idx="3">
                  <c:v>466173</c:v>
                </c:pt>
                <c:pt idx="4">
                  <c:v>436806</c:v>
                </c:pt>
                <c:pt idx="5">
                  <c:v>432578</c:v>
                </c:pt>
                <c:pt idx="6">
                  <c:v>424017</c:v>
                </c:pt>
                <c:pt idx="7">
                  <c:v>410349</c:v>
                </c:pt>
                <c:pt idx="8">
                  <c:v>405532</c:v>
                </c:pt>
                <c:pt idx="9">
                  <c:v>399518</c:v>
                </c:pt>
                <c:pt idx="10">
                  <c:v>383523</c:v>
                </c:pt>
                <c:pt idx="11">
                  <c:v>373832</c:v>
                </c:pt>
              </c:numCache>
            </c:numRef>
          </c:val>
        </c:ser>
        <c:ser>
          <c:idx val="1"/>
          <c:order val="1"/>
          <c:tx>
            <c:strRef>
              <c:f>List1!$L$4</c:f>
              <c:strCache>
                <c:ptCount val="1"/>
                <c:pt idx="0">
                  <c:v>KBTPM</c:v>
                </c:pt>
              </c:strCache>
            </c:strRef>
          </c:tx>
          <c:dLbls>
            <c:dLbl>
              <c:idx val="0"/>
              <c:layout>
                <c:manualLayout>
                  <c:x val="-3.8215224360765472E-2"/>
                  <c:y val="-3.5847524984928082E-2"/>
                </c:manualLayout>
              </c:layout>
              <c:showVal val="1"/>
            </c:dLbl>
            <c:dLbl>
              <c:idx val="1"/>
              <c:layout>
                <c:manualLayout>
                  <c:x val="-4.7769030450957532E-2"/>
                  <c:y val="-4.2173558805797567E-2"/>
                </c:manualLayout>
              </c:layout>
              <c:showVal val="1"/>
            </c:dLbl>
            <c:dLbl>
              <c:idx val="2"/>
              <c:layout>
                <c:manualLayout>
                  <c:x val="-5.3228348216779756E-2"/>
                  <c:y val="-3.7956202925218244E-2"/>
                </c:manualLayout>
              </c:layout>
              <c:showVal val="1"/>
            </c:dLbl>
            <c:dLbl>
              <c:idx val="3"/>
              <c:layout>
                <c:manualLayout>
                  <c:x val="-5.1863518775324566E-2"/>
                  <c:y val="-2.9521491164058177E-2"/>
                </c:manualLayout>
              </c:layout>
              <c:showVal val="1"/>
            </c:dLbl>
            <c:dLbl>
              <c:idx val="4"/>
              <c:layout>
                <c:manualLayout>
                  <c:x val="-5.4593285125122591E-2"/>
                  <c:y val="-4.2173558805797567E-2"/>
                </c:manualLayout>
              </c:layout>
              <c:showVal val="1"/>
            </c:dLbl>
            <c:dLbl>
              <c:idx val="5"/>
              <c:layout>
                <c:manualLayout>
                  <c:x val="-6.1417324865516966E-2"/>
                  <c:y val="-5.2716948507247792E-2"/>
                </c:manualLayout>
              </c:layout>
              <c:showVal val="1"/>
            </c:dLbl>
            <c:dLbl>
              <c:idx val="6"/>
              <c:layout>
                <c:manualLayout>
                  <c:x val="-4.9133859892412833E-2"/>
                  <c:y val="-4.0064880865507822E-2"/>
                </c:manualLayout>
              </c:layout>
              <c:showVal val="1"/>
            </c:dLbl>
            <c:dLbl>
              <c:idx val="7"/>
              <c:layout>
                <c:manualLayout>
                  <c:x val="-5.4593177658237541E-2"/>
                  <c:y val="-3.584769102256144E-2"/>
                </c:manualLayout>
              </c:layout>
              <c:showVal val="1"/>
            </c:dLbl>
            <c:dLbl>
              <c:idx val="8"/>
              <c:layout>
                <c:manualLayout>
                  <c:x val="-6.5511813189883694E-2"/>
                  <c:y val="-3.373901308227166E-2"/>
                </c:manualLayout>
              </c:layout>
              <c:showVal val="1"/>
            </c:dLbl>
            <c:dLbl>
              <c:idx val="9"/>
              <c:layout>
                <c:manualLayout>
                  <c:x val="-5.4593177658237541E-2"/>
                  <c:y val="-4.2173724843431952E-2"/>
                </c:manualLayout>
              </c:layout>
              <c:showVal val="1"/>
            </c:dLbl>
            <c:dLbl>
              <c:idx val="10"/>
              <c:layout>
                <c:manualLayout>
                  <c:x val="-5.1863626242210567E-2"/>
                  <c:y val="-4.4282402783720538E-2"/>
                </c:manualLayout>
              </c:layout>
              <c:showVal val="1"/>
            </c:dLbl>
            <c:dLbl>
              <c:idx val="11"/>
              <c:layout>
                <c:manualLayout>
                  <c:x val="-4.0944883243677295E-2"/>
                  <c:y val="-5.9043148365749677E-2"/>
                </c:manualLayout>
              </c:layout>
              <c:showVal val="1"/>
            </c:dLbl>
            <c:showVal val="1"/>
          </c:dLbls>
          <c:cat>
            <c:numRef>
              <c:f>List1!$J$5:$J$16</c:f>
              <c:numCache>
                <c:formatCode>General</c:formatCode>
                <c:ptCount val="12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</c:numCache>
            </c:numRef>
          </c:cat>
          <c:val>
            <c:numRef>
              <c:f>List1!$L$5:$L$16</c:f>
              <c:numCache>
                <c:formatCode>#,##0</c:formatCode>
                <c:ptCount val="12"/>
                <c:pt idx="0">
                  <c:v>67294</c:v>
                </c:pt>
                <c:pt idx="1">
                  <c:v>82257</c:v>
                </c:pt>
                <c:pt idx="2">
                  <c:v>100333</c:v>
                </c:pt>
                <c:pt idx="3">
                  <c:v>124149</c:v>
                </c:pt>
                <c:pt idx="4">
                  <c:v>136081</c:v>
                </c:pt>
                <c:pt idx="5">
                  <c:v>141146</c:v>
                </c:pt>
                <c:pt idx="6">
                  <c:v>139706</c:v>
                </c:pt>
                <c:pt idx="7">
                  <c:v>154337</c:v>
                </c:pt>
                <c:pt idx="8">
                  <c:v>163163</c:v>
                </c:pt>
                <c:pt idx="9">
                  <c:v>160285</c:v>
                </c:pt>
                <c:pt idx="10">
                  <c:v>167722</c:v>
                </c:pt>
                <c:pt idx="11">
                  <c:v>177704</c:v>
                </c:pt>
              </c:numCache>
            </c:numRef>
          </c:val>
        </c:ser>
        <c:marker val="1"/>
        <c:axId val="109522304"/>
        <c:axId val="109540480"/>
      </c:lineChart>
      <c:catAx>
        <c:axId val="109522304"/>
        <c:scaling>
          <c:orientation val="minMax"/>
        </c:scaling>
        <c:axPos val="b"/>
        <c:numFmt formatCode="General" sourceLinked="1"/>
        <c:tickLblPos val="nextTo"/>
        <c:crossAx val="109540480"/>
        <c:crosses val="autoZero"/>
        <c:auto val="1"/>
        <c:lblAlgn val="ctr"/>
        <c:lblOffset val="100"/>
      </c:catAx>
      <c:valAx>
        <c:axId val="109540480"/>
        <c:scaling>
          <c:orientation val="minMax"/>
          <c:max val="600000"/>
          <c:min val="50000"/>
        </c:scaling>
        <c:axPos val="l"/>
        <c:majorGridlines/>
        <c:title>
          <c:tx>
            <c:rich>
              <a:bodyPr rot="0" vert="wordArtVert"/>
              <a:lstStyle/>
              <a:p>
                <a:pPr>
                  <a:defRPr/>
                </a:pPr>
                <a:r>
                  <a:rPr lang="en-US"/>
                  <a:t>kusy</a:t>
                </a:r>
              </a:p>
            </c:rich>
          </c:tx>
        </c:title>
        <c:numFmt formatCode="#,##0" sourceLinked="1"/>
        <c:tickLblPos val="nextTo"/>
        <c:txPr>
          <a:bodyPr/>
          <a:lstStyle/>
          <a:p>
            <a:pPr>
              <a:defRPr sz="700"/>
            </a:pPr>
            <a:endParaRPr lang="cs-CZ"/>
          </a:p>
        </c:txPr>
        <c:crossAx val="109522304"/>
        <c:crosses val="autoZero"/>
        <c:crossBetween val="between"/>
      </c:valAx>
      <c:spPr>
        <a:solidFill>
          <a:schemeClr val="bg1"/>
        </a:solidFill>
        <a:ln w="25400">
          <a:solidFill>
            <a:sysClr val="windowText" lastClr="000000"/>
          </a:solidFill>
        </a:ln>
      </c:spPr>
    </c:plotArea>
    <c:legend>
      <c:legendPos val="b"/>
    </c:legend>
    <c:plotVisOnly val="1"/>
  </c:chart>
  <c:spPr>
    <a:solidFill>
      <a:schemeClr val="accent5">
        <a:lumMod val="20000"/>
        <a:lumOff val="80000"/>
      </a:schemeClr>
    </a:solidFill>
    <a:ln>
      <a:solidFill>
        <a:schemeClr val="tx1"/>
      </a:solidFill>
    </a:ln>
  </c:spPr>
  <c:txPr>
    <a:bodyPr/>
    <a:lstStyle/>
    <a:p>
      <a:pPr>
        <a:defRPr sz="800" baseline="0"/>
      </a:pPr>
      <a:endParaRPr lang="cs-CZ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 sz="800"/>
            </a:pPr>
            <a:r>
              <a:rPr lang="en-US" sz="800"/>
              <a:t>Vývoj CZV mléka I.tř.jak. a vývoj CPV a SC polotučného trvanlivého mléka</a:t>
            </a:r>
            <a:endParaRPr lang="cs-CZ" sz="800"/>
          </a:p>
          <a:p>
            <a:pPr>
              <a:defRPr sz="800"/>
            </a:pPr>
            <a:r>
              <a:rPr lang="en-US" sz="500"/>
              <a:t> (Pramen: rezortní statistika Mlék (MZe) 6 - 12, ČSÚ)</a:t>
            </a:r>
          </a:p>
        </c:rich>
      </c:tx>
    </c:title>
    <c:plotArea>
      <c:layout>
        <c:manualLayout>
          <c:layoutTarget val="inner"/>
          <c:xMode val="edge"/>
          <c:yMode val="edge"/>
          <c:x val="0.15930391948224323"/>
          <c:y val="0.20190557261423403"/>
          <c:w val="0.74697995818885365"/>
          <c:h val="0.63739519046605664"/>
        </c:manualLayout>
      </c:layout>
      <c:lineChart>
        <c:grouping val="standard"/>
        <c:ser>
          <c:idx val="0"/>
          <c:order val="0"/>
          <c:tx>
            <c:strRef>
              <c:f>List1!$H$136</c:f>
              <c:strCache>
                <c:ptCount val="1"/>
                <c:pt idx="0">
                  <c:v>CZV</c:v>
                </c:pt>
              </c:strCache>
            </c:strRef>
          </c:tx>
          <c:marker>
            <c:symbol val="diamond"/>
            <c:size val="4"/>
          </c:marker>
          <c:cat>
            <c:strRef>
              <c:f>List1!$G$137:$G$255</c:f>
              <c:strCache>
                <c:ptCount val="119"/>
                <c:pt idx="0">
                  <c:v>I.02</c:v>
                </c:pt>
                <c:pt idx="1">
                  <c:v>II.02</c:v>
                </c:pt>
                <c:pt idx="2">
                  <c:v>III.02</c:v>
                </c:pt>
                <c:pt idx="3">
                  <c:v>IV.02</c:v>
                </c:pt>
                <c:pt idx="4">
                  <c:v>V.02</c:v>
                </c:pt>
                <c:pt idx="5">
                  <c:v>VI.02</c:v>
                </c:pt>
                <c:pt idx="6">
                  <c:v>VII.02</c:v>
                </c:pt>
                <c:pt idx="7">
                  <c:v>VIII.02</c:v>
                </c:pt>
                <c:pt idx="8">
                  <c:v>IX.02</c:v>
                </c:pt>
                <c:pt idx="9">
                  <c:v>X.02</c:v>
                </c:pt>
                <c:pt idx="10">
                  <c:v>XI.02</c:v>
                </c:pt>
                <c:pt idx="11">
                  <c:v>XII.02</c:v>
                </c:pt>
                <c:pt idx="12">
                  <c:v>I.03</c:v>
                </c:pt>
                <c:pt idx="13">
                  <c:v>II.03</c:v>
                </c:pt>
                <c:pt idx="14">
                  <c:v>III.03</c:v>
                </c:pt>
                <c:pt idx="15">
                  <c:v>IV.03</c:v>
                </c:pt>
                <c:pt idx="16">
                  <c:v>V.03</c:v>
                </c:pt>
                <c:pt idx="17">
                  <c:v>VI.03</c:v>
                </c:pt>
                <c:pt idx="18">
                  <c:v>VII.03</c:v>
                </c:pt>
                <c:pt idx="19">
                  <c:v>VIII.03</c:v>
                </c:pt>
                <c:pt idx="20">
                  <c:v>IX.03</c:v>
                </c:pt>
                <c:pt idx="21">
                  <c:v>X.03</c:v>
                </c:pt>
                <c:pt idx="22">
                  <c:v>XI.03</c:v>
                </c:pt>
                <c:pt idx="23">
                  <c:v>XII.03</c:v>
                </c:pt>
                <c:pt idx="24">
                  <c:v>I.04</c:v>
                </c:pt>
                <c:pt idx="25">
                  <c:v>II.04</c:v>
                </c:pt>
                <c:pt idx="26">
                  <c:v>III.04</c:v>
                </c:pt>
                <c:pt idx="27">
                  <c:v>IV.04</c:v>
                </c:pt>
                <c:pt idx="28">
                  <c:v>V.04</c:v>
                </c:pt>
                <c:pt idx="29">
                  <c:v>VI.04</c:v>
                </c:pt>
                <c:pt idx="30">
                  <c:v>VII.04</c:v>
                </c:pt>
                <c:pt idx="31">
                  <c:v>VIII.04</c:v>
                </c:pt>
                <c:pt idx="32">
                  <c:v>IX.04</c:v>
                </c:pt>
                <c:pt idx="33">
                  <c:v>X.04</c:v>
                </c:pt>
                <c:pt idx="34">
                  <c:v>XI.04</c:v>
                </c:pt>
                <c:pt idx="35">
                  <c:v>XII.04</c:v>
                </c:pt>
                <c:pt idx="36">
                  <c:v>I.05</c:v>
                </c:pt>
                <c:pt idx="37">
                  <c:v>II.05</c:v>
                </c:pt>
                <c:pt idx="38">
                  <c:v>III.05</c:v>
                </c:pt>
                <c:pt idx="39">
                  <c:v>IV.05</c:v>
                </c:pt>
                <c:pt idx="40">
                  <c:v>V.05</c:v>
                </c:pt>
                <c:pt idx="41">
                  <c:v>VI.05</c:v>
                </c:pt>
                <c:pt idx="42">
                  <c:v>VII.05</c:v>
                </c:pt>
                <c:pt idx="43">
                  <c:v>VIII.05</c:v>
                </c:pt>
                <c:pt idx="44">
                  <c:v>IX.05</c:v>
                </c:pt>
                <c:pt idx="45">
                  <c:v>X.05</c:v>
                </c:pt>
                <c:pt idx="46">
                  <c:v>XI.05</c:v>
                </c:pt>
                <c:pt idx="47">
                  <c:v>XII.05</c:v>
                </c:pt>
                <c:pt idx="48">
                  <c:v>I.06</c:v>
                </c:pt>
                <c:pt idx="49">
                  <c:v>II.06</c:v>
                </c:pt>
                <c:pt idx="50">
                  <c:v>III.06</c:v>
                </c:pt>
                <c:pt idx="51">
                  <c:v>IV.06</c:v>
                </c:pt>
                <c:pt idx="52">
                  <c:v>V.06</c:v>
                </c:pt>
                <c:pt idx="53">
                  <c:v>VI.06</c:v>
                </c:pt>
                <c:pt idx="54">
                  <c:v>VII.06</c:v>
                </c:pt>
                <c:pt idx="55">
                  <c:v>VIII.06</c:v>
                </c:pt>
                <c:pt idx="56">
                  <c:v>IX.06</c:v>
                </c:pt>
                <c:pt idx="57">
                  <c:v>X.06</c:v>
                </c:pt>
                <c:pt idx="58">
                  <c:v>XI.06</c:v>
                </c:pt>
                <c:pt idx="59">
                  <c:v>XII.06</c:v>
                </c:pt>
                <c:pt idx="60">
                  <c:v>I.07</c:v>
                </c:pt>
                <c:pt idx="61">
                  <c:v>II.07</c:v>
                </c:pt>
                <c:pt idx="62">
                  <c:v>III.07</c:v>
                </c:pt>
                <c:pt idx="63">
                  <c:v>IV.07</c:v>
                </c:pt>
                <c:pt idx="64">
                  <c:v>V.07</c:v>
                </c:pt>
                <c:pt idx="65">
                  <c:v>VI.07</c:v>
                </c:pt>
                <c:pt idx="66">
                  <c:v>VII.07</c:v>
                </c:pt>
                <c:pt idx="67">
                  <c:v>VIII.07</c:v>
                </c:pt>
                <c:pt idx="68">
                  <c:v>IX.07</c:v>
                </c:pt>
                <c:pt idx="69">
                  <c:v>X.07</c:v>
                </c:pt>
                <c:pt idx="70">
                  <c:v>XI.07</c:v>
                </c:pt>
                <c:pt idx="71">
                  <c:v>XII.07</c:v>
                </c:pt>
                <c:pt idx="72">
                  <c:v>I.08</c:v>
                </c:pt>
                <c:pt idx="73">
                  <c:v>II.08</c:v>
                </c:pt>
                <c:pt idx="74">
                  <c:v>III.08</c:v>
                </c:pt>
                <c:pt idx="75">
                  <c:v>IV.08</c:v>
                </c:pt>
                <c:pt idx="76">
                  <c:v>V.08</c:v>
                </c:pt>
                <c:pt idx="77">
                  <c:v>VI.08</c:v>
                </c:pt>
                <c:pt idx="78">
                  <c:v>VII.08</c:v>
                </c:pt>
                <c:pt idx="79">
                  <c:v>VIII.08</c:v>
                </c:pt>
                <c:pt idx="80">
                  <c:v>IX.08</c:v>
                </c:pt>
                <c:pt idx="81">
                  <c:v>X.08</c:v>
                </c:pt>
                <c:pt idx="82">
                  <c:v>XI.08</c:v>
                </c:pt>
                <c:pt idx="83">
                  <c:v>XII.08</c:v>
                </c:pt>
                <c:pt idx="84">
                  <c:v>I.09</c:v>
                </c:pt>
                <c:pt idx="85">
                  <c:v>II.09</c:v>
                </c:pt>
                <c:pt idx="86">
                  <c:v>III.09</c:v>
                </c:pt>
                <c:pt idx="87">
                  <c:v>IV.09</c:v>
                </c:pt>
                <c:pt idx="88">
                  <c:v>V.09</c:v>
                </c:pt>
                <c:pt idx="89">
                  <c:v>VI.09</c:v>
                </c:pt>
                <c:pt idx="90">
                  <c:v>VII.09</c:v>
                </c:pt>
                <c:pt idx="91">
                  <c:v>VIII.09</c:v>
                </c:pt>
                <c:pt idx="92">
                  <c:v>IX.09</c:v>
                </c:pt>
                <c:pt idx="93">
                  <c:v>X.09</c:v>
                </c:pt>
                <c:pt idx="94">
                  <c:v>XI.09</c:v>
                </c:pt>
                <c:pt idx="95">
                  <c:v>XII.09</c:v>
                </c:pt>
                <c:pt idx="96">
                  <c:v>I.10</c:v>
                </c:pt>
                <c:pt idx="97">
                  <c:v>II.10</c:v>
                </c:pt>
                <c:pt idx="98">
                  <c:v>III.10</c:v>
                </c:pt>
                <c:pt idx="99">
                  <c:v>IV.10</c:v>
                </c:pt>
                <c:pt idx="100">
                  <c:v>V.10</c:v>
                </c:pt>
                <c:pt idx="101">
                  <c:v>VI.10</c:v>
                </c:pt>
                <c:pt idx="102">
                  <c:v>VII.10</c:v>
                </c:pt>
                <c:pt idx="103">
                  <c:v>VIII.10</c:v>
                </c:pt>
                <c:pt idx="104">
                  <c:v>IX.10</c:v>
                </c:pt>
                <c:pt idx="105">
                  <c:v>X.10</c:v>
                </c:pt>
                <c:pt idx="106">
                  <c:v>XI.10</c:v>
                </c:pt>
                <c:pt idx="107">
                  <c:v>XII.10</c:v>
                </c:pt>
                <c:pt idx="108">
                  <c:v>I.11</c:v>
                </c:pt>
                <c:pt idx="109">
                  <c:v>II.11</c:v>
                </c:pt>
                <c:pt idx="110">
                  <c:v>III.11</c:v>
                </c:pt>
                <c:pt idx="111">
                  <c:v>IV.11</c:v>
                </c:pt>
                <c:pt idx="112">
                  <c:v>V.11</c:v>
                </c:pt>
                <c:pt idx="113">
                  <c:v>VI.11</c:v>
                </c:pt>
                <c:pt idx="114">
                  <c:v>VII.11</c:v>
                </c:pt>
                <c:pt idx="115">
                  <c:v>VIII.11</c:v>
                </c:pt>
                <c:pt idx="116">
                  <c:v>IX.11</c:v>
                </c:pt>
                <c:pt idx="117">
                  <c:v>X.11</c:v>
                </c:pt>
                <c:pt idx="118">
                  <c:v>XI.11</c:v>
                </c:pt>
              </c:strCache>
            </c:strRef>
          </c:cat>
          <c:val>
            <c:numRef>
              <c:f>List1!$H$137:$H$255</c:f>
              <c:numCache>
                <c:formatCode>General</c:formatCode>
                <c:ptCount val="119"/>
                <c:pt idx="0">
                  <c:v>8.27</c:v>
                </c:pt>
                <c:pt idx="1">
                  <c:v>8.26</c:v>
                </c:pt>
                <c:pt idx="2">
                  <c:v>8.25</c:v>
                </c:pt>
                <c:pt idx="3">
                  <c:v>8.2000000000000011</c:v>
                </c:pt>
                <c:pt idx="4">
                  <c:v>8.18</c:v>
                </c:pt>
                <c:pt idx="5">
                  <c:v>8.1399999999999988</c:v>
                </c:pt>
                <c:pt idx="6">
                  <c:v>8.09</c:v>
                </c:pt>
                <c:pt idx="7">
                  <c:v>8.06</c:v>
                </c:pt>
                <c:pt idx="8">
                  <c:v>8.09</c:v>
                </c:pt>
                <c:pt idx="9">
                  <c:v>8.08</c:v>
                </c:pt>
                <c:pt idx="10">
                  <c:v>8.1</c:v>
                </c:pt>
                <c:pt idx="11">
                  <c:v>8.1</c:v>
                </c:pt>
                <c:pt idx="12">
                  <c:v>8.0400000000000009</c:v>
                </c:pt>
                <c:pt idx="13">
                  <c:v>8.0300000000000011</c:v>
                </c:pt>
                <c:pt idx="14">
                  <c:v>7.96</c:v>
                </c:pt>
                <c:pt idx="15">
                  <c:v>7.85</c:v>
                </c:pt>
                <c:pt idx="16">
                  <c:v>7.78</c:v>
                </c:pt>
                <c:pt idx="17">
                  <c:v>7.75</c:v>
                </c:pt>
                <c:pt idx="18">
                  <c:v>7.6899999999999995</c:v>
                </c:pt>
                <c:pt idx="19">
                  <c:v>7.7</c:v>
                </c:pt>
                <c:pt idx="20">
                  <c:v>7.73</c:v>
                </c:pt>
                <c:pt idx="21">
                  <c:v>7.7700000000000014</c:v>
                </c:pt>
                <c:pt idx="22">
                  <c:v>7.79</c:v>
                </c:pt>
                <c:pt idx="23">
                  <c:v>7.84</c:v>
                </c:pt>
                <c:pt idx="24">
                  <c:v>7.92</c:v>
                </c:pt>
                <c:pt idx="25">
                  <c:v>7.92</c:v>
                </c:pt>
                <c:pt idx="26">
                  <c:v>7.96</c:v>
                </c:pt>
                <c:pt idx="27">
                  <c:v>7.96</c:v>
                </c:pt>
                <c:pt idx="28">
                  <c:v>8</c:v>
                </c:pt>
                <c:pt idx="29">
                  <c:v>8.0300000000000011</c:v>
                </c:pt>
                <c:pt idx="30">
                  <c:v>8.0300000000000011</c:v>
                </c:pt>
                <c:pt idx="31">
                  <c:v>8.08</c:v>
                </c:pt>
                <c:pt idx="32">
                  <c:v>8.120000000000001</c:v>
                </c:pt>
                <c:pt idx="33">
                  <c:v>8.25</c:v>
                </c:pt>
                <c:pt idx="34">
                  <c:v>8.32</c:v>
                </c:pt>
                <c:pt idx="35">
                  <c:v>8.3500000000000068</c:v>
                </c:pt>
                <c:pt idx="36">
                  <c:v>8.43</c:v>
                </c:pt>
                <c:pt idx="37">
                  <c:v>8.44</c:v>
                </c:pt>
                <c:pt idx="38">
                  <c:v>8.4500000000000028</c:v>
                </c:pt>
                <c:pt idx="39">
                  <c:v>8.3800000000000008</c:v>
                </c:pt>
                <c:pt idx="40">
                  <c:v>8.33</c:v>
                </c:pt>
                <c:pt idx="41">
                  <c:v>8.3000000000000007</c:v>
                </c:pt>
                <c:pt idx="42">
                  <c:v>8.2200000000000024</c:v>
                </c:pt>
                <c:pt idx="43">
                  <c:v>8.26</c:v>
                </c:pt>
                <c:pt idx="44">
                  <c:v>8.2200000000000024</c:v>
                </c:pt>
                <c:pt idx="45">
                  <c:v>8.2200000000000024</c:v>
                </c:pt>
                <c:pt idx="46">
                  <c:v>8.2200000000000024</c:v>
                </c:pt>
                <c:pt idx="47">
                  <c:v>8.19</c:v>
                </c:pt>
                <c:pt idx="48">
                  <c:v>8.1399999999999988</c:v>
                </c:pt>
                <c:pt idx="49">
                  <c:v>8.09</c:v>
                </c:pt>
                <c:pt idx="50">
                  <c:v>8.07</c:v>
                </c:pt>
                <c:pt idx="51">
                  <c:v>7.96</c:v>
                </c:pt>
                <c:pt idx="52">
                  <c:v>7.88</c:v>
                </c:pt>
                <c:pt idx="53">
                  <c:v>7.78</c:v>
                </c:pt>
                <c:pt idx="54">
                  <c:v>7.63</c:v>
                </c:pt>
                <c:pt idx="55">
                  <c:v>7.6199999999999966</c:v>
                </c:pt>
                <c:pt idx="56">
                  <c:v>7.64</c:v>
                </c:pt>
                <c:pt idx="57">
                  <c:v>7.67</c:v>
                </c:pt>
                <c:pt idx="58">
                  <c:v>7.72</c:v>
                </c:pt>
                <c:pt idx="59">
                  <c:v>7.79</c:v>
                </c:pt>
                <c:pt idx="60">
                  <c:v>7.8199999999999985</c:v>
                </c:pt>
                <c:pt idx="61">
                  <c:v>7.81</c:v>
                </c:pt>
                <c:pt idx="62">
                  <c:v>7.8</c:v>
                </c:pt>
                <c:pt idx="63">
                  <c:v>7.8</c:v>
                </c:pt>
                <c:pt idx="64">
                  <c:v>7.81</c:v>
                </c:pt>
                <c:pt idx="65">
                  <c:v>7.8</c:v>
                </c:pt>
                <c:pt idx="66">
                  <c:v>7.9</c:v>
                </c:pt>
                <c:pt idx="67">
                  <c:v>8.11</c:v>
                </c:pt>
                <c:pt idx="68">
                  <c:v>8.48</c:v>
                </c:pt>
                <c:pt idx="69">
                  <c:v>9.3700000000000028</c:v>
                </c:pt>
                <c:pt idx="70">
                  <c:v>9.99</c:v>
                </c:pt>
                <c:pt idx="71">
                  <c:v>9.99</c:v>
                </c:pt>
                <c:pt idx="72">
                  <c:v>10.08</c:v>
                </c:pt>
                <c:pt idx="73">
                  <c:v>9.9700000000000006</c:v>
                </c:pt>
                <c:pt idx="74">
                  <c:v>9.66</c:v>
                </c:pt>
                <c:pt idx="75">
                  <c:v>9.19</c:v>
                </c:pt>
                <c:pt idx="76">
                  <c:v>8.7299999999999986</c:v>
                </c:pt>
                <c:pt idx="77">
                  <c:v>8.44</c:v>
                </c:pt>
                <c:pt idx="78">
                  <c:v>8.08</c:v>
                </c:pt>
                <c:pt idx="79">
                  <c:v>7.9</c:v>
                </c:pt>
                <c:pt idx="80">
                  <c:v>7.74</c:v>
                </c:pt>
                <c:pt idx="81">
                  <c:v>7.46</c:v>
                </c:pt>
                <c:pt idx="82">
                  <c:v>7.13</c:v>
                </c:pt>
                <c:pt idx="83">
                  <c:v>6.83</c:v>
                </c:pt>
                <c:pt idx="84">
                  <c:v>6.4300000000000024</c:v>
                </c:pt>
                <c:pt idx="85">
                  <c:v>6.1599999999999975</c:v>
                </c:pt>
                <c:pt idx="86">
                  <c:v>6.08</c:v>
                </c:pt>
                <c:pt idx="87">
                  <c:v>6.06</c:v>
                </c:pt>
                <c:pt idx="88">
                  <c:v>6.03</c:v>
                </c:pt>
                <c:pt idx="89">
                  <c:v>5.96</c:v>
                </c:pt>
                <c:pt idx="90">
                  <c:v>5.9</c:v>
                </c:pt>
                <c:pt idx="91">
                  <c:v>5.92</c:v>
                </c:pt>
                <c:pt idx="92">
                  <c:v>6.01</c:v>
                </c:pt>
                <c:pt idx="93">
                  <c:v>6.1899999999999995</c:v>
                </c:pt>
                <c:pt idx="94">
                  <c:v>6.4</c:v>
                </c:pt>
                <c:pt idx="95">
                  <c:v>6.67</c:v>
                </c:pt>
                <c:pt idx="96">
                  <c:v>6.92</c:v>
                </c:pt>
                <c:pt idx="97">
                  <c:v>7.1</c:v>
                </c:pt>
                <c:pt idx="98">
                  <c:v>7.17</c:v>
                </c:pt>
                <c:pt idx="99">
                  <c:v>7.26</c:v>
                </c:pt>
                <c:pt idx="100">
                  <c:v>7.33</c:v>
                </c:pt>
                <c:pt idx="101">
                  <c:v>7.35</c:v>
                </c:pt>
                <c:pt idx="102">
                  <c:v>7.41</c:v>
                </c:pt>
                <c:pt idx="103">
                  <c:v>7.5</c:v>
                </c:pt>
                <c:pt idx="104">
                  <c:v>7.64</c:v>
                </c:pt>
                <c:pt idx="105">
                  <c:v>7.78</c:v>
                </c:pt>
                <c:pt idx="106">
                  <c:v>7.9</c:v>
                </c:pt>
                <c:pt idx="107">
                  <c:v>8.0300000000000011</c:v>
                </c:pt>
                <c:pt idx="108">
                  <c:v>8.1</c:v>
                </c:pt>
                <c:pt idx="109">
                  <c:v>8.17</c:v>
                </c:pt>
                <c:pt idx="110">
                  <c:v>8.2200000000000024</c:v>
                </c:pt>
                <c:pt idx="111">
                  <c:v>8.27</c:v>
                </c:pt>
                <c:pt idx="112">
                  <c:v>8.3000000000000007</c:v>
                </c:pt>
                <c:pt idx="113">
                  <c:v>8.32</c:v>
                </c:pt>
                <c:pt idx="114">
                  <c:v>8.33</c:v>
                </c:pt>
                <c:pt idx="115">
                  <c:v>8.32</c:v>
                </c:pt>
                <c:pt idx="116">
                  <c:v>8.32</c:v>
                </c:pt>
                <c:pt idx="117">
                  <c:v>8.3500000000000068</c:v>
                </c:pt>
                <c:pt idx="118">
                  <c:v>8.3800000000000008</c:v>
                </c:pt>
              </c:numCache>
            </c:numRef>
          </c:val>
        </c:ser>
        <c:ser>
          <c:idx val="1"/>
          <c:order val="1"/>
          <c:tx>
            <c:strRef>
              <c:f>List1!$I$136</c:f>
              <c:strCache>
                <c:ptCount val="1"/>
                <c:pt idx="0">
                  <c:v>CPV</c:v>
                </c:pt>
              </c:strCache>
            </c:strRef>
          </c:tx>
          <c:marker>
            <c:symbol val="square"/>
            <c:size val="4"/>
          </c:marker>
          <c:cat>
            <c:strRef>
              <c:f>List1!$G$137:$G$255</c:f>
              <c:strCache>
                <c:ptCount val="119"/>
                <c:pt idx="0">
                  <c:v>I.02</c:v>
                </c:pt>
                <c:pt idx="1">
                  <c:v>II.02</c:v>
                </c:pt>
                <c:pt idx="2">
                  <c:v>III.02</c:v>
                </c:pt>
                <c:pt idx="3">
                  <c:v>IV.02</c:v>
                </c:pt>
                <c:pt idx="4">
                  <c:v>V.02</c:v>
                </c:pt>
                <c:pt idx="5">
                  <c:v>VI.02</c:v>
                </c:pt>
                <c:pt idx="6">
                  <c:v>VII.02</c:v>
                </c:pt>
                <c:pt idx="7">
                  <c:v>VIII.02</c:v>
                </c:pt>
                <c:pt idx="8">
                  <c:v>IX.02</c:v>
                </c:pt>
                <c:pt idx="9">
                  <c:v>X.02</c:v>
                </c:pt>
                <c:pt idx="10">
                  <c:v>XI.02</c:v>
                </c:pt>
                <c:pt idx="11">
                  <c:v>XII.02</c:v>
                </c:pt>
                <c:pt idx="12">
                  <c:v>I.03</c:v>
                </c:pt>
                <c:pt idx="13">
                  <c:v>II.03</c:v>
                </c:pt>
                <c:pt idx="14">
                  <c:v>III.03</c:v>
                </c:pt>
                <c:pt idx="15">
                  <c:v>IV.03</c:v>
                </c:pt>
                <c:pt idx="16">
                  <c:v>V.03</c:v>
                </c:pt>
                <c:pt idx="17">
                  <c:v>VI.03</c:v>
                </c:pt>
                <c:pt idx="18">
                  <c:v>VII.03</c:v>
                </c:pt>
                <c:pt idx="19">
                  <c:v>VIII.03</c:v>
                </c:pt>
                <c:pt idx="20">
                  <c:v>IX.03</c:v>
                </c:pt>
                <c:pt idx="21">
                  <c:v>X.03</c:v>
                </c:pt>
                <c:pt idx="22">
                  <c:v>XI.03</c:v>
                </c:pt>
                <c:pt idx="23">
                  <c:v>XII.03</c:v>
                </c:pt>
                <c:pt idx="24">
                  <c:v>I.04</c:v>
                </c:pt>
                <c:pt idx="25">
                  <c:v>II.04</c:v>
                </c:pt>
                <c:pt idx="26">
                  <c:v>III.04</c:v>
                </c:pt>
                <c:pt idx="27">
                  <c:v>IV.04</c:v>
                </c:pt>
                <c:pt idx="28">
                  <c:v>V.04</c:v>
                </c:pt>
                <c:pt idx="29">
                  <c:v>VI.04</c:v>
                </c:pt>
                <c:pt idx="30">
                  <c:v>VII.04</c:v>
                </c:pt>
                <c:pt idx="31">
                  <c:v>VIII.04</c:v>
                </c:pt>
                <c:pt idx="32">
                  <c:v>IX.04</c:v>
                </c:pt>
                <c:pt idx="33">
                  <c:v>X.04</c:v>
                </c:pt>
                <c:pt idx="34">
                  <c:v>XI.04</c:v>
                </c:pt>
                <c:pt idx="35">
                  <c:v>XII.04</c:v>
                </c:pt>
                <c:pt idx="36">
                  <c:v>I.05</c:v>
                </c:pt>
                <c:pt idx="37">
                  <c:v>II.05</c:v>
                </c:pt>
                <c:pt idx="38">
                  <c:v>III.05</c:v>
                </c:pt>
                <c:pt idx="39">
                  <c:v>IV.05</c:v>
                </c:pt>
                <c:pt idx="40">
                  <c:v>V.05</c:v>
                </c:pt>
                <c:pt idx="41">
                  <c:v>VI.05</c:v>
                </c:pt>
                <c:pt idx="42">
                  <c:v>VII.05</c:v>
                </c:pt>
                <c:pt idx="43">
                  <c:v>VIII.05</c:v>
                </c:pt>
                <c:pt idx="44">
                  <c:v>IX.05</c:v>
                </c:pt>
                <c:pt idx="45">
                  <c:v>X.05</c:v>
                </c:pt>
                <c:pt idx="46">
                  <c:v>XI.05</c:v>
                </c:pt>
                <c:pt idx="47">
                  <c:v>XII.05</c:v>
                </c:pt>
                <c:pt idx="48">
                  <c:v>I.06</c:v>
                </c:pt>
                <c:pt idx="49">
                  <c:v>II.06</c:v>
                </c:pt>
                <c:pt idx="50">
                  <c:v>III.06</c:v>
                </c:pt>
                <c:pt idx="51">
                  <c:v>IV.06</c:v>
                </c:pt>
                <c:pt idx="52">
                  <c:v>V.06</c:v>
                </c:pt>
                <c:pt idx="53">
                  <c:v>VI.06</c:v>
                </c:pt>
                <c:pt idx="54">
                  <c:v>VII.06</c:v>
                </c:pt>
                <c:pt idx="55">
                  <c:v>VIII.06</c:v>
                </c:pt>
                <c:pt idx="56">
                  <c:v>IX.06</c:v>
                </c:pt>
                <c:pt idx="57">
                  <c:v>X.06</c:v>
                </c:pt>
                <c:pt idx="58">
                  <c:v>XI.06</c:v>
                </c:pt>
                <c:pt idx="59">
                  <c:v>XII.06</c:v>
                </c:pt>
                <c:pt idx="60">
                  <c:v>I.07</c:v>
                </c:pt>
                <c:pt idx="61">
                  <c:v>II.07</c:v>
                </c:pt>
                <c:pt idx="62">
                  <c:v>III.07</c:v>
                </c:pt>
                <c:pt idx="63">
                  <c:v>IV.07</c:v>
                </c:pt>
                <c:pt idx="64">
                  <c:v>V.07</c:v>
                </c:pt>
                <c:pt idx="65">
                  <c:v>VI.07</c:v>
                </c:pt>
                <c:pt idx="66">
                  <c:v>VII.07</c:v>
                </c:pt>
                <c:pt idx="67">
                  <c:v>VIII.07</c:v>
                </c:pt>
                <c:pt idx="68">
                  <c:v>IX.07</c:v>
                </c:pt>
                <c:pt idx="69">
                  <c:v>X.07</c:v>
                </c:pt>
                <c:pt idx="70">
                  <c:v>XI.07</c:v>
                </c:pt>
                <c:pt idx="71">
                  <c:v>XII.07</c:v>
                </c:pt>
                <c:pt idx="72">
                  <c:v>I.08</c:v>
                </c:pt>
                <c:pt idx="73">
                  <c:v>II.08</c:v>
                </c:pt>
                <c:pt idx="74">
                  <c:v>III.08</c:v>
                </c:pt>
                <c:pt idx="75">
                  <c:v>IV.08</c:v>
                </c:pt>
                <c:pt idx="76">
                  <c:v>V.08</c:v>
                </c:pt>
                <c:pt idx="77">
                  <c:v>VI.08</c:v>
                </c:pt>
                <c:pt idx="78">
                  <c:v>VII.08</c:v>
                </c:pt>
                <c:pt idx="79">
                  <c:v>VIII.08</c:v>
                </c:pt>
                <c:pt idx="80">
                  <c:v>IX.08</c:v>
                </c:pt>
                <c:pt idx="81">
                  <c:v>X.08</c:v>
                </c:pt>
                <c:pt idx="82">
                  <c:v>XI.08</c:v>
                </c:pt>
                <c:pt idx="83">
                  <c:v>XII.08</c:v>
                </c:pt>
                <c:pt idx="84">
                  <c:v>I.09</c:v>
                </c:pt>
                <c:pt idx="85">
                  <c:v>II.09</c:v>
                </c:pt>
                <c:pt idx="86">
                  <c:v>III.09</c:v>
                </c:pt>
                <c:pt idx="87">
                  <c:v>IV.09</c:v>
                </c:pt>
                <c:pt idx="88">
                  <c:v>V.09</c:v>
                </c:pt>
                <c:pt idx="89">
                  <c:v>VI.09</c:v>
                </c:pt>
                <c:pt idx="90">
                  <c:v>VII.09</c:v>
                </c:pt>
                <c:pt idx="91">
                  <c:v>VIII.09</c:v>
                </c:pt>
                <c:pt idx="92">
                  <c:v>IX.09</c:v>
                </c:pt>
                <c:pt idx="93">
                  <c:v>X.09</c:v>
                </c:pt>
                <c:pt idx="94">
                  <c:v>XI.09</c:v>
                </c:pt>
                <c:pt idx="95">
                  <c:v>XII.09</c:v>
                </c:pt>
                <c:pt idx="96">
                  <c:v>I.10</c:v>
                </c:pt>
                <c:pt idx="97">
                  <c:v>II.10</c:v>
                </c:pt>
                <c:pt idx="98">
                  <c:v>III.10</c:v>
                </c:pt>
                <c:pt idx="99">
                  <c:v>IV.10</c:v>
                </c:pt>
                <c:pt idx="100">
                  <c:v>V.10</c:v>
                </c:pt>
                <c:pt idx="101">
                  <c:v>VI.10</c:v>
                </c:pt>
                <c:pt idx="102">
                  <c:v>VII.10</c:v>
                </c:pt>
                <c:pt idx="103">
                  <c:v>VIII.10</c:v>
                </c:pt>
                <c:pt idx="104">
                  <c:v>IX.10</c:v>
                </c:pt>
                <c:pt idx="105">
                  <c:v>X.10</c:v>
                </c:pt>
                <c:pt idx="106">
                  <c:v>XI.10</c:v>
                </c:pt>
                <c:pt idx="107">
                  <c:v>XII.10</c:v>
                </c:pt>
                <c:pt idx="108">
                  <c:v>I.11</c:v>
                </c:pt>
                <c:pt idx="109">
                  <c:v>II.11</c:v>
                </c:pt>
                <c:pt idx="110">
                  <c:v>III.11</c:v>
                </c:pt>
                <c:pt idx="111">
                  <c:v>IV.11</c:v>
                </c:pt>
                <c:pt idx="112">
                  <c:v>V.11</c:v>
                </c:pt>
                <c:pt idx="113">
                  <c:v>VI.11</c:v>
                </c:pt>
                <c:pt idx="114">
                  <c:v>VII.11</c:v>
                </c:pt>
                <c:pt idx="115">
                  <c:v>VIII.11</c:v>
                </c:pt>
                <c:pt idx="116">
                  <c:v>IX.11</c:v>
                </c:pt>
                <c:pt idx="117">
                  <c:v>X.11</c:v>
                </c:pt>
                <c:pt idx="118">
                  <c:v>XI.11</c:v>
                </c:pt>
              </c:strCache>
            </c:strRef>
          </c:cat>
          <c:val>
            <c:numRef>
              <c:f>List1!$I$137:$I$255</c:f>
              <c:numCache>
                <c:formatCode>General</c:formatCode>
                <c:ptCount val="119"/>
                <c:pt idx="0">
                  <c:v>11.9</c:v>
                </c:pt>
                <c:pt idx="1">
                  <c:v>11.9</c:v>
                </c:pt>
                <c:pt idx="2">
                  <c:v>11.860000000000019</c:v>
                </c:pt>
                <c:pt idx="3">
                  <c:v>11.739999999999998</c:v>
                </c:pt>
                <c:pt idx="4">
                  <c:v>11.59</c:v>
                </c:pt>
                <c:pt idx="5">
                  <c:v>11.239999999999998</c:v>
                </c:pt>
                <c:pt idx="6">
                  <c:v>11.1</c:v>
                </c:pt>
                <c:pt idx="7">
                  <c:v>10.739999999999998</c:v>
                </c:pt>
                <c:pt idx="8">
                  <c:v>10.729999999999999</c:v>
                </c:pt>
                <c:pt idx="9">
                  <c:v>10.56</c:v>
                </c:pt>
                <c:pt idx="10">
                  <c:v>10.5</c:v>
                </c:pt>
                <c:pt idx="11">
                  <c:v>10.57</c:v>
                </c:pt>
                <c:pt idx="12">
                  <c:v>10.47</c:v>
                </c:pt>
                <c:pt idx="13">
                  <c:v>10.31</c:v>
                </c:pt>
                <c:pt idx="14">
                  <c:v>10.43</c:v>
                </c:pt>
                <c:pt idx="15">
                  <c:v>10.350000000000019</c:v>
                </c:pt>
                <c:pt idx="16">
                  <c:v>10.15</c:v>
                </c:pt>
                <c:pt idx="17">
                  <c:v>9.9600000000000026</c:v>
                </c:pt>
                <c:pt idx="18">
                  <c:v>9.84</c:v>
                </c:pt>
                <c:pt idx="19">
                  <c:v>9.8700000000000028</c:v>
                </c:pt>
                <c:pt idx="20">
                  <c:v>9.94</c:v>
                </c:pt>
                <c:pt idx="21">
                  <c:v>10.200000000000001</c:v>
                </c:pt>
                <c:pt idx="22">
                  <c:v>10.49</c:v>
                </c:pt>
                <c:pt idx="23">
                  <c:v>10.68</c:v>
                </c:pt>
                <c:pt idx="24">
                  <c:v>10.66</c:v>
                </c:pt>
                <c:pt idx="25">
                  <c:v>10.709999999999999</c:v>
                </c:pt>
                <c:pt idx="26">
                  <c:v>10.84</c:v>
                </c:pt>
                <c:pt idx="27">
                  <c:v>10.88</c:v>
                </c:pt>
                <c:pt idx="28">
                  <c:v>10.83</c:v>
                </c:pt>
                <c:pt idx="29">
                  <c:v>10.92</c:v>
                </c:pt>
                <c:pt idx="30">
                  <c:v>10.860000000000019</c:v>
                </c:pt>
                <c:pt idx="31">
                  <c:v>10.860000000000019</c:v>
                </c:pt>
                <c:pt idx="32">
                  <c:v>10.860000000000019</c:v>
                </c:pt>
                <c:pt idx="33">
                  <c:v>11.1</c:v>
                </c:pt>
                <c:pt idx="34">
                  <c:v>11.3</c:v>
                </c:pt>
                <c:pt idx="35">
                  <c:v>11.229999999999999</c:v>
                </c:pt>
                <c:pt idx="36">
                  <c:v>11.15</c:v>
                </c:pt>
                <c:pt idx="37">
                  <c:v>11.129999999999999</c:v>
                </c:pt>
                <c:pt idx="38">
                  <c:v>11.03</c:v>
                </c:pt>
                <c:pt idx="39">
                  <c:v>10.96</c:v>
                </c:pt>
                <c:pt idx="40">
                  <c:v>10.78</c:v>
                </c:pt>
                <c:pt idx="41">
                  <c:v>10.58</c:v>
                </c:pt>
                <c:pt idx="42">
                  <c:v>10.58</c:v>
                </c:pt>
                <c:pt idx="43">
                  <c:v>10.450000000000006</c:v>
                </c:pt>
                <c:pt idx="44">
                  <c:v>10.59</c:v>
                </c:pt>
                <c:pt idx="45">
                  <c:v>10.5</c:v>
                </c:pt>
                <c:pt idx="46">
                  <c:v>10.43</c:v>
                </c:pt>
                <c:pt idx="47">
                  <c:v>10.17</c:v>
                </c:pt>
                <c:pt idx="48">
                  <c:v>10.29</c:v>
                </c:pt>
                <c:pt idx="49">
                  <c:v>10.239999999999998</c:v>
                </c:pt>
                <c:pt idx="50">
                  <c:v>10.18</c:v>
                </c:pt>
                <c:pt idx="51">
                  <c:v>10.130000000000001</c:v>
                </c:pt>
                <c:pt idx="52">
                  <c:v>9.98</c:v>
                </c:pt>
                <c:pt idx="53">
                  <c:v>9.67</c:v>
                </c:pt>
                <c:pt idx="54">
                  <c:v>9.620000000000001</c:v>
                </c:pt>
                <c:pt idx="55">
                  <c:v>9.56</c:v>
                </c:pt>
                <c:pt idx="56">
                  <c:v>9.5300000000000011</c:v>
                </c:pt>
                <c:pt idx="57">
                  <c:v>9.8600000000000048</c:v>
                </c:pt>
                <c:pt idx="58">
                  <c:v>9.8700000000000028</c:v>
                </c:pt>
                <c:pt idx="59">
                  <c:v>10.040000000000001</c:v>
                </c:pt>
                <c:pt idx="60">
                  <c:v>9.9700000000000006</c:v>
                </c:pt>
                <c:pt idx="61">
                  <c:v>9.91</c:v>
                </c:pt>
                <c:pt idx="62">
                  <c:v>9.93</c:v>
                </c:pt>
                <c:pt idx="63">
                  <c:v>9.91</c:v>
                </c:pt>
                <c:pt idx="64">
                  <c:v>9.98</c:v>
                </c:pt>
                <c:pt idx="65">
                  <c:v>10.78</c:v>
                </c:pt>
                <c:pt idx="66">
                  <c:v>11.06</c:v>
                </c:pt>
                <c:pt idx="67">
                  <c:v>11.4</c:v>
                </c:pt>
                <c:pt idx="68">
                  <c:v>11.52</c:v>
                </c:pt>
                <c:pt idx="69">
                  <c:v>12.639999999999999</c:v>
                </c:pt>
                <c:pt idx="70">
                  <c:v>13.02</c:v>
                </c:pt>
                <c:pt idx="71">
                  <c:v>13.11</c:v>
                </c:pt>
                <c:pt idx="72">
                  <c:v>13.19</c:v>
                </c:pt>
                <c:pt idx="73">
                  <c:v>12.99</c:v>
                </c:pt>
                <c:pt idx="74">
                  <c:v>12.729999999999999</c:v>
                </c:pt>
                <c:pt idx="75">
                  <c:v>11.88</c:v>
                </c:pt>
                <c:pt idx="76">
                  <c:v>10.67</c:v>
                </c:pt>
                <c:pt idx="77">
                  <c:v>10.47</c:v>
                </c:pt>
                <c:pt idx="78">
                  <c:v>10.370000000000006</c:v>
                </c:pt>
                <c:pt idx="79">
                  <c:v>10.61</c:v>
                </c:pt>
                <c:pt idx="80">
                  <c:v>10.29</c:v>
                </c:pt>
                <c:pt idx="81">
                  <c:v>9.81</c:v>
                </c:pt>
                <c:pt idx="82">
                  <c:v>9.75</c:v>
                </c:pt>
                <c:pt idx="83">
                  <c:v>9.629999999999999</c:v>
                </c:pt>
                <c:pt idx="84">
                  <c:v>9.09</c:v>
                </c:pt>
                <c:pt idx="85">
                  <c:v>8.83</c:v>
                </c:pt>
                <c:pt idx="86">
                  <c:v>8.65</c:v>
                </c:pt>
                <c:pt idx="87">
                  <c:v>8.68</c:v>
                </c:pt>
                <c:pt idx="88">
                  <c:v>8.26</c:v>
                </c:pt>
                <c:pt idx="89">
                  <c:v>8.0300000000000011</c:v>
                </c:pt>
                <c:pt idx="90">
                  <c:v>7.9</c:v>
                </c:pt>
                <c:pt idx="91">
                  <c:v>7.85</c:v>
                </c:pt>
                <c:pt idx="92">
                  <c:v>8.0400000000000009</c:v>
                </c:pt>
                <c:pt idx="93">
                  <c:v>8.52</c:v>
                </c:pt>
                <c:pt idx="94">
                  <c:v>9.1</c:v>
                </c:pt>
                <c:pt idx="95">
                  <c:v>9.3700000000000028</c:v>
                </c:pt>
                <c:pt idx="96">
                  <c:v>9.5</c:v>
                </c:pt>
                <c:pt idx="97">
                  <c:v>9.34</c:v>
                </c:pt>
                <c:pt idx="98">
                  <c:v>9.31</c:v>
                </c:pt>
                <c:pt idx="99">
                  <c:v>9.41</c:v>
                </c:pt>
                <c:pt idx="100">
                  <c:v>9.629999999999999</c:v>
                </c:pt>
                <c:pt idx="101">
                  <c:v>10.02</c:v>
                </c:pt>
                <c:pt idx="102">
                  <c:v>9.9700000000000006</c:v>
                </c:pt>
                <c:pt idx="103">
                  <c:v>10.02</c:v>
                </c:pt>
                <c:pt idx="104">
                  <c:v>10.19</c:v>
                </c:pt>
                <c:pt idx="105">
                  <c:v>10.25</c:v>
                </c:pt>
                <c:pt idx="106">
                  <c:v>10.1</c:v>
                </c:pt>
                <c:pt idx="107">
                  <c:v>10.18</c:v>
                </c:pt>
                <c:pt idx="108">
                  <c:v>10.29</c:v>
                </c:pt>
                <c:pt idx="109">
                  <c:v>10.350000000000019</c:v>
                </c:pt>
                <c:pt idx="110">
                  <c:v>10.18</c:v>
                </c:pt>
                <c:pt idx="111">
                  <c:v>10.41</c:v>
                </c:pt>
                <c:pt idx="112">
                  <c:v>10.55</c:v>
                </c:pt>
                <c:pt idx="113">
                  <c:v>10.52</c:v>
                </c:pt>
                <c:pt idx="114">
                  <c:v>10.69</c:v>
                </c:pt>
                <c:pt idx="115">
                  <c:v>10.030000000000001</c:v>
                </c:pt>
                <c:pt idx="116">
                  <c:v>10.15</c:v>
                </c:pt>
                <c:pt idx="117">
                  <c:v>10.15</c:v>
                </c:pt>
                <c:pt idx="118">
                  <c:v>10.25</c:v>
                </c:pt>
              </c:numCache>
            </c:numRef>
          </c:val>
        </c:ser>
        <c:ser>
          <c:idx val="2"/>
          <c:order val="2"/>
          <c:tx>
            <c:strRef>
              <c:f>List1!$J$136</c:f>
              <c:strCache>
                <c:ptCount val="1"/>
                <c:pt idx="0">
                  <c:v>SC</c:v>
                </c:pt>
              </c:strCache>
            </c:strRef>
          </c:tx>
          <c:marker>
            <c:symbol val="triangle"/>
            <c:size val="4"/>
          </c:marker>
          <c:cat>
            <c:strRef>
              <c:f>List1!$G$137:$G$255</c:f>
              <c:strCache>
                <c:ptCount val="119"/>
                <c:pt idx="0">
                  <c:v>I.02</c:v>
                </c:pt>
                <c:pt idx="1">
                  <c:v>II.02</c:v>
                </c:pt>
                <c:pt idx="2">
                  <c:v>III.02</c:v>
                </c:pt>
                <c:pt idx="3">
                  <c:v>IV.02</c:v>
                </c:pt>
                <c:pt idx="4">
                  <c:v>V.02</c:v>
                </c:pt>
                <c:pt idx="5">
                  <c:v>VI.02</c:v>
                </c:pt>
                <c:pt idx="6">
                  <c:v>VII.02</c:v>
                </c:pt>
                <c:pt idx="7">
                  <c:v>VIII.02</c:v>
                </c:pt>
                <c:pt idx="8">
                  <c:v>IX.02</c:v>
                </c:pt>
                <c:pt idx="9">
                  <c:v>X.02</c:v>
                </c:pt>
                <c:pt idx="10">
                  <c:v>XI.02</c:v>
                </c:pt>
                <c:pt idx="11">
                  <c:v>XII.02</c:v>
                </c:pt>
                <c:pt idx="12">
                  <c:v>I.03</c:v>
                </c:pt>
                <c:pt idx="13">
                  <c:v>II.03</c:v>
                </c:pt>
                <c:pt idx="14">
                  <c:v>III.03</c:v>
                </c:pt>
                <c:pt idx="15">
                  <c:v>IV.03</c:v>
                </c:pt>
                <c:pt idx="16">
                  <c:v>V.03</c:v>
                </c:pt>
                <c:pt idx="17">
                  <c:v>VI.03</c:v>
                </c:pt>
                <c:pt idx="18">
                  <c:v>VII.03</c:v>
                </c:pt>
                <c:pt idx="19">
                  <c:v>VIII.03</c:v>
                </c:pt>
                <c:pt idx="20">
                  <c:v>IX.03</c:v>
                </c:pt>
                <c:pt idx="21">
                  <c:v>X.03</c:v>
                </c:pt>
                <c:pt idx="22">
                  <c:v>XI.03</c:v>
                </c:pt>
                <c:pt idx="23">
                  <c:v>XII.03</c:v>
                </c:pt>
                <c:pt idx="24">
                  <c:v>I.04</c:v>
                </c:pt>
                <c:pt idx="25">
                  <c:v>II.04</c:v>
                </c:pt>
                <c:pt idx="26">
                  <c:v>III.04</c:v>
                </c:pt>
                <c:pt idx="27">
                  <c:v>IV.04</c:v>
                </c:pt>
                <c:pt idx="28">
                  <c:v>V.04</c:v>
                </c:pt>
                <c:pt idx="29">
                  <c:v>VI.04</c:v>
                </c:pt>
                <c:pt idx="30">
                  <c:v>VII.04</c:v>
                </c:pt>
                <c:pt idx="31">
                  <c:v>VIII.04</c:v>
                </c:pt>
                <c:pt idx="32">
                  <c:v>IX.04</c:v>
                </c:pt>
                <c:pt idx="33">
                  <c:v>X.04</c:v>
                </c:pt>
                <c:pt idx="34">
                  <c:v>XI.04</c:v>
                </c:pt>
                <c:pt idx="35">
                  <c:v>XII.04</c:v>
                </c:pt>
                <c:pt idx="36">
                  <c:v>I.05</c:v>
                </c:pt>
                <c:pt idx="37">
                  <c:v>II.05</c:v>
                </c:pt>
                <c:pt idx="38">
                  <c:v>III.05</c:v>
                </c:pt>
                <c:pt idx="39">
                  <c:v>IV.05</c:v>
                </c:pt>
                <c:pt idx="40">
                  <c:v>V.05</c:v>
                </c:pt>
                <c:pt idx="41">
                  <c:v>VI.05</c:v>
                </c:pt>
                <c:pt idx="42">
                  <c:v>VII.05</c:v>
                </c:pt>
                <c:pt idx="43">
                  <c:v>VIII.05</c:v>
                </c:pt>
                <c:pt idx="44">
                  <c:v>IX.05</c:v>
                </c:pt>
                <c:pt idx="45">
                  <c:v>X.05</c:v>
                </c:pt>
                <c:pt idx="46">
                  <c:v>XI.05</c:v>
                </c:pt>
                <c:pt idx="47">
                  <c:v>XII.05</c:v>
                </c:pt>
                <c:pt idx="48">
                  <c:v>I.06</c:v>
                </c:pt>
                <c:pt idx="49">
                  <c:v>II.06</c:v>
                </c:pt>
                <c:pt idx="50">
                  <c:v>III.06</c:v>
                </c:pt>
                <c:pt idx="51">
                  <c:v>IV.06</c:v>
                </c:pt>
                <c:pt idx="52">
                  <c:v>V.06</c:v>
                </c:pt>
                <c:pt idx="53">
                  <c:v>VI.06</c:v>
                </c:pt>
                <c:pt idx="54">
                  <c:v>VII.06</c:v>
                </c:pt>
                <c:pt idx="55">
                  <c:v>VIII.06</c:v>
                </c:pt>
                <c:pt idx="56">
                  <c:v>IX.06</c:v>
                </c:pt>
                <c:pt idx="57">
                  <c:v>X.06</c:v>
                </c:pt>
                <c:pt idx="58">
                  <c:v>XI.06</c:v>
                </c:pt>
                <c:pt idx="59">
                  <c:v>XII.06</c:v>
                </c:pt>
                <c:pt idx="60">
                  <c:v>I.07</c:v>
                </c:pt>
                <c:pt idx="61">
                  <c:v>II.07</c:v>
                </c:pt>
                <c:pt idx="62">
                  <c:v>III.07</c:v>
                </c:pt>
                <c:pt idx="63">
                  <c:v>IV.07</c:v>
                </c:pt>
                <c:pt idx="64">
                  <c:v>V.07</c:v>
                </c:pt>
                <c:pt idx="65">
                  <c:v>VI.07</c:v>
                </c:pt>
                <c:pt idx="66">
                  <c:v>VII.07</c:v>
                </c:pt>
                <c:pt idx="67">
                  <c:v>VIII.07</c:v>
                </c:pt>
                <c:pt idx="68">
                  <c:v>IX.07</c:v>
                </c:pt>
                <c:pt idx="69">
                  <c:v>X.07</c:v>
                </c:pt>
                <c:pt idx="70">
                  <c:v>XI.07</c:v>
                </c:pt>
                <c:pt idx="71">
                  <c:v>XII.07</c:v>
                </c:pt>
                <c:pt idx="72">
                  <c:v>I.08</c:v>
                </c:pt>
                <c:pt idx="73">
                  <c:v>II.08</c:v>
                </c:pt>
                <c:pt idx="74">
                  <c:v>III.08</c:v>
                </c:pt>
                <c:pt idx="75">
                  <c:v>IV.08</c:v>
                </c:pt>
                <c:pt idx="76">
                  <c:v>V.08</c:v>
                </c:pt>
                <c:pt idx="77">
                  <c:v>VI.08</c:v>
                </c:pt>
                <c:pt idx="78">
                  <c:v>VII.08</c:v>
                </c:pt>
                <c:pt idx="79">
                  <c:v>VIII.08</c:v>
                </c:pt>
                <c:pt idx="80">
                  <c:v>IX.08</c:v>
                </c:pt>
                <c:pt idx="81">
                  <c:v>X.08</c:v>
                </c:pt>
                <c:pt idx="82">
                  <c:v>XI.08</c:v>
                </c:pt>
                <c:pt idx="83">
                  <c:v>XII.08</c:v>
                </c:pt>
                <c:pt idx="84">
                  <c:v>I.09</c:v>
                </c:pt>
                <c:pt idx="85">
                  <c:v>II.09</c:v>
                </c:pt>
                <c:pt idx="86">
                  <c:v>III.09</c:v>
                </c:pt>
                <c:pt idx="87">
                  <c:v>IV.09</c:v>
                </c:pt>
                <c:pt idx="88">
                  <c:v>V.09</c:v>
                </c:pt>
                <c:pt idx="89">
                  <c:v>VI.09</c:v>
                </c:pt>
                <c:pt idx="90">
                  <c:v>VII.09</c:v>
                </c:pt>
                <c:pt idx="91">
                  <c:v>VIII.09</c:v>
                </c:pt>
                <c:pt idx="92">
                  <c:v>IX.09</c:v>
                </c:pt>
                <c:pt idx="93">
                  <c:v>X.09</c:v>
                </c:pt>
                <c:pt idx="94">
                  <c:v>XI.09</c:v>
                </c:pt>
                <c:pt idx="95">
                  <c:v>XII.09</c:v>
                </c:pt>
                <c:pt idx="96">
                  <c:v>I.10</c:v>
                </c:pt>
                <c:pt idx="97">
                  <c:v>II.10</c:v>
                </c:pt>
                <c:pt idx="98">
                  <c:v>III.10</c:v>
                </c:pt>
                <c:pt idx="99">
                  <c:v>IV.10</c:v>
                </c:pt>
                <c:pt idx="100">
                  <c:v>V.10</c:v>
                </c:pt>
                <c:pt idx="101">
                  <c:v>VI.10</c:v>
                </c:pt>
                <c:pt idx="102">
                  <c:v>VII.10</c:v>
                </c:pt>
                <c:pt idx="103">
                  <c:v>VIII.10</c:v>
                </c:pt>
                <c:pt idx="104">
                  <c:v>IX.10</c:v>
                </c:pt>
                <c:pt idx="105">
                  <c:v>X.10</c:v>
                </c:pt>
                <c:pt idx="106">
                  <c:v>XI.10</c:v>
                </c:pt>
                <c:pt idx="107">
                  <c:v>XII.10</c:v>
                </c:pt>
                <c:pt idx="108">
                  <c:v>I.11</c:v>
                </c:pt>
                <c:pt idx="109">
                  <c:v>II.11</c:v>
                </c:pt>
                <c:pt idx="110">
                  <c:v>III.11</c:v>
                </c:pt>
                <c:pt idx="111">
                  <c:v>IV.11</c:v>
                </c:pt>
                <c:pt idx="112">
                  <c:v>V.11</c:v>
                </c:pt>
                <c:pt idx="113">
                  <c:v>VI.11</c:v>
                </c:pt>
                <c:pt idx="114">
                  <c:v>VII.11</c:v>
                </c:pt>
                <c:pt idx="115">
                  <c:v>VIII.11</c:v>
                </c:pt>
                <c:pt idx="116">
                  <c:v>IX.11</c:v>
                </c:pt>
                <c:pt idx="117">
                  <c:v>X.11</c:v>
                </c:pt>
                <c:pt idx="118">
                  <c:v>XI.11</c:v>
                </c:pt>
              </c:strCache>
            </c:strRef>
          </c:cat>
          <c:val>
            <c:numRef>
              <c:f>List1!$J$137:$J$255</c:f>
              <c:numCache>
                <c:formatCode>General</c:formatCode>
                <c:ptCount val="119"/>
                <c:pt idx="0">
                  <c:v>15.02</c:v>
                </c:pt>
                <c:pt idx="1">
                  <c:v>15.05</c:v>
                </c:pt>
                <c:pt idx="2">
                  <c:v>14.76</c:v>
                </c:pt>
                <c:pt idx="3">
                  <c:v>14.83</c:v>
                </c:pt>
                <c:pt idx="4">
                  <c:v>14.739999999999998</c:v>
                </c:pt>
                <c:pt idx="5">
                  <c:v>14.41</c:v>
                </c:pt>
                <c:pt idx="6">
                  <c:v>14.19</c:v>
                </c:pt>
                <c:pt idx="7">
                  <c:v>14.08</c:v>
                </c:pt>
                <c:pt idx="8">
                  <c:v>13.82</c:v>
                </c:pt>
                <c:pt idx="9">
                  <c:v>13.639999999999999</c:v>
                </c:pt>
                <c:pt idx="10">
                  <c:v>13.59</c:v>
                </c:pt>
                <c:pt idx="11">
                  <c:v>13.53</c:v>
                </c:pt>
                <c:pt idx="12">
                  <c:v>13.370000000000006</c:v>
                </c:pt>
                <c:pt idx="13">
                  <c:v>13.25</c:v>
                </c:pt>
                <c:pt idx="14">
                  <c:v>13.28</c:v>
                </c:pt>
                <c:pt idx="15">
                  <c:v>13.11</c:v>
                </c:pt>
                <c:pt idx="16">
                  <c:v>12.91</c:v>
                </c:pt>
                <c:pt idx="17">
                  <c:v>12.950000000000006</c:v>
                </c:pt>
                <c:pt idx="18">
                  <c:v>12.739999999999998</c:v>
                </c:pt>
                <c:pt idx="19">
                  <c:v>12.77</c:v>
                </c:pt>
                <c:pt idx="20">
                  <c:v>12.69</c:v>
                </c:pt>
                <c:pt idx="21">
                  <c:v>12.98</c:v>
                </c:pt>
                <c:pt idx="22">
                  <c:v>13.18</c:v>
                </c:pt>
                <c:pt idx="23">
                  <c:v>13.43</c:v>
                </c:pt>
                <c:pt idx="24">
                  <c:v>13.68</c:v>
                </c:pt>
                <c:pt idx="25">
                  <c:v>13.75</c:v>
                </c:pt>
                <c:pt idx="26">
                  <c:v>13.719999999999999</c:v>
                </c:pt>
                <c:pt idx="27">
                  <c:v>13.7</c:v>
                </c:pt>
                <c:pt idx="28">
                  <c:v>13.65</c:v>
                </c:pt>
                <c:pt idx="29">
                  <c:v>13.57</c:v>
                </c:pt>
                <c:pt idx="30">
                  <c:v>13.53</c:v>
                </c:pt>
                <c:pt idx="31">
                  <c:v>13.57</c:v>
                </c:pt>
                <c:pt idx="32">
                  <c:v>13.78</c:v>
                </c:pt>
                <c:pt idx="33">
                  <c:v>13.97</c:v>
                </c:pt>
                <c:pt idx="34">
                  <c:v>14.1</c:v>
                </c:pt>
                <c:pt idx="35">
                  <c:v>14.209999999999999</c:v>
                </c:pt>
                <c:pt idx="36">
                  <c:v>14.32</c:v>
                </c:pt>
                <c:pt idx="37">
                  <c:v>14.4</c:v>
                </c:pt>
                <c:pt idx="38">
                  <c:v>14.49</c:v>
                </c:pt>
                <c:pt idx="39">
                  <c:v>14.31</c:v>
                </c:pt>
                <c:pt idx="40">
                  <c:v>14.219999999999999</c:v>
                </c:pt>
                <c:pt idx="41">
                  <c:v>13.89</c:v>
                </c:pt>
                <c:pt idx="42">
                  <c:v>13.99</c:v>
                </c:pt>
                <c:pt idx="43">
                  <c:v>14.03</c:v>
                </c:pt>
                <c:pt idx="44">
                  <c:v>13.870000000000006</c:v>
                </c:pt>
                <c:pt idx="45">
                  <c:v>13.77</c:v>
                </c:pt>
                <c:pt idx="46">
                  <c:v>13.739999999999998</c:v>
                </c:pt>
                <c:pt idx="47">
                  <c:v>13.82</c:v>
                </c:pt>
                <c:pt idx="48">
                  <c:v>13.639999999999999</c:v>
                </c:pt>
                <c:pt idx="49">
                  <c:v>13.7</c:v>
                </c:pt>
                <c:pt idx="50">
                  <c:v>13.49</c:v>
                </c:pt>
                <c:pt idx="51">
                  <c:v>13.39</c:v>
                </c:pt>
                <c:pt idx="52">
                  <c:v>13.42</c:v>
                </c:pt>
                <c:pt idx="53">
                  <c:v>13.09</c:v>
                </c:pt>
                <c:pt idx="54">
                  <c:v>13.26</c:v>
                </c:pt>
                <c:pt idx="55">
                  <c:v>13.17</c:v>
                </c:pt>
                <c:pt idx="56">
                  <c:v>13.15</c:v>
                </c:pt>
                <c:pt idx="57">
                  <c:v>13.03</c:v>
                </c:pt>
                <c:pt idx="58">
                  <c:v>13.66</c:v>
                </c:pt>
                <c:pt idx="59">
                  <c:v>13.67</c:v>
                </c:pt>
                <c:pt idx="60">
                  <c:v>13.52</c:v>
                </c:pt>
                <c:pt idx="61">
                  <c:v>13.61</c:v>
                </c:pt>
                <c:pt idx="62">
                  <c:v>13.53</c:v>
                </c:pt>
                <c:pt idx="63">
                  <c:v>13.82</c:v>
                </c:pt>
                <c:pt idx="64">
                  <c:v>13.719999999999999</c:v>
                </c:pt>
                <c:pt idx="65">
                  <c:v>14.04</c:v>
                </c:pt>
                <c:pt idx="66">
                  <c:v>14.59</c:v>
                </c:pt>
                <c:pt idx="67">
                  <c:v>15.229999999999999</c:v>
                </c:pt>
                <c:pt idx="68">
                  <c:v>15.61</c:v>
                </c:pt>
                <c:pt idx="69">
                  <c:v>18.53</c:v>
                </c:pt>
                <c:pt idx="70">
                  <c:v>18.93</c:v>
                </c:pt>
                <c:pt idx="71">
                  <c:v>18.25</c:v>
                </c:pt>
                <c:pt idx="72">
                  <c:v>18.45</c:v>
                </c:pt>
                <c:pt idx="73">
                  <c:v>17.760000000000002</c:v>
                </c:pt>
                <c:pt idx="74">
                  <c:v>17.73</c:v>
                </c:pt>
                <c:pt idx="75">
                  <c:v>17.690000000000001</c:v>
                </c:pt>
                <c:pt idx="76">
                  <c:v>17.75</c:v>
                </c:pt>
                <c:pt idx="77">
                  <c:v>17.12</c:v>
                </c:pt>
                <c:pt idx="78">
                  <c:v>16.459999999999987</c:v>
                </c:pt>
                <c:pt idx="79">
                  <c:v>16.8</c:v>
                </c:pt>
                <c:pt idx="80">
                  <c:v>16.779999999999987</c:v>
                </c:pt>
                <c:pt idx="81">
                  <c:v>15.99</c:v>
                </c:pt>
                <c:pt idx="82">
                  <c:v>16.04</c:v>
                </c:pt>
                <c:pt idx="83">
                  <c:v>15.46</c:v>
                </c:pt>
                <c:pt idx="84">
                  <c:v>15.19</c:v>
                </c:pt>
                <c:pt idx="85">
                  <c:v>13.96</c:v>
                </c:pt>
                <c:pt idx="86">
                  <c:v>14.12</c:v>
                </c:pt>
                <c:pt idx="87">
                  <c:v>14.08</c:v>
                </c:pt>
                <c:pt idx="88">
                  <c:v>14.17</c:v>
                </c:pt>
                <c:pt idx="89">
                  <c:v>13.98</c:v>
                </c:pt>
                <c:pt idx="90">
                  <c:v>13.27</c:v>
                </c:pt>
                <c:pt idx="91">
                  <c:v>13.08</c:v>
                </c:pt>
                <c:pt idx="92">
                  <c:v>13.01</c:v>
                </c:pt>
                <c:pt idx="93">
                  <c:v>13.32</c:v>
                </c:pt>
                <c:pt idx="94">
                  <c:v>13.8</c:v>
                </c:pt>
                <c:pt idx="95">
                  <c:v>14.47</c:v>
                </c:pt>
                <c:pt idx="96">
                  <c:v>14.56</c:v>
                </c:pt>
                <c:pt idx="97">
                  <c:v>14.51</c:v>
                </c:pt>
                <c:pt idx="98">
                  <c:v>14.29</c:v>
                </c:pt>
                <c:pt idx="99">
                  <c:v>14.82</c:v>
                </c:pt>
                <c:pt idx="100">
                  <c:v>14.639999999999999</c:v>
                </c:pt>
                <c:pt idx="101">
                  <c:v>14.69</c:v>
                </c:pt>
                <c:pt idx="102">
                  <c:v>14.739999999999998</c:v>
                </c:pt>
                <c:pt idx="103">
                  <c:v>15.12</c:v>
                </c:pt>
                <c:pt idx="104">
                  <c:v>14.729999999999999</c:v>
                </c:pt>
                <c:pt idx="105">
                  <c:v>15.209999999999999</c:v>
                </c:pt>
                <c:pt idx="106">
                  <c:v>15.19</c:v>
                </c:pt>
                <c:pt idx="107">
                  <c:v>15.18</c:v>
                </c:pt>
                <c:pt idx="108">
                  <c:v>15.6</c:v>
                </c:pt>
                <c:pt idx="109">
                  <c:v>15.31</c:v>
                </c:pt>
                <c:pt idx="110">
                  <c:v>16.29</c:v>
                </c:pt>
                <c:pt idx="111">
                  <c:v>16.459999999999987</c:v>
                </c:pt>
                <c:pt idx="112">
                  <c:v>16.779999999999987</c:v>
                </c:pt>
                <c:pt idx="113">
                  <c:v>16.739999999999988</c:v>
                </c:pt>
                <c:pt idx="114">
                  <c:v>16.59</c:v>
                </c:pt>
                <c:pt idx="115">
                  <c:v>16.71</c:v>
                </c:pt>
                <c:pt idx="116">
                  <c:v>16.670000000000005</c:v>
                </c:pt>
                <c:pt idx="117">
                  <c:v>16.03</c:v>
                </c:pt>
                <c:pt idx="118">
                  <c:v>16.53</c:v>
                </c:pt>
              </c:numCache>
            </c:numRef>
          </c:val>
        </c:ser>
        <c:marker val="1"/>
        <c:axId val="110594688"/>
        <c:axId val="115298688"/>
      </c:lineChart>
      <c:catAx>
        <c:axId val="110594688"/>
        <c:scaling>
          <c:orientation val="minMax"/>
        </c:scaling>
        <c:axPos val="b"/>
        <c:tickLblPos val="nextTo"/>
        <c:txPr>
          <a:bodyPr/>
          <a:lstStyle/>
          <a:p>
            <a:pPr>
              <a:defRPr sz="500"/>
            </a:pPr>
            <a:endParaRPr lang="cs-CZ"/>
          </a:p>
        </c:txPr>
        <c:crossAx val="115298688"/>
        <c:crosses val="autoZero"/>
        <c:auto val="1"/>
        <c:lblAlgn val="ctr"/>
        <c:lblOffset val="100"/>
      </c:catAx>
      <c:valAx>
        <c:axId val="115298688"/>
        <c:scaling>
          <c:orientation val="minMax"/>
          <c:max val="19.5"/>
          <c:min val="5.5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Kč/l</a:t>
                </a:r>
              </a:p>
            </c:rich>
          </c:tx>
        </c:title>
        <c:numFmt formatCode="General" sourceLinked="1"/>
        <c:tickLblPos val="nextTo"/>
        <c:crossAx val="110594688"/>
        <c:crosses val="autoZero"/>
        <c:crossBetween val="between"/>
      </c:valAx>
      <c:spPr>
        <a:solidFill>
          <a:schemeClr val="bg1"/>
        </a:solidFill>
        <a:ln>
          <a:solidFill>
            <a:schemeClr val="tx1"/>
          </a:solidFill>
        </a:ln>
      </c:spPr>
    </c:plotArea>
    <c:legend>
      <c:legendPos val="b"/>
      <c:layout>
        <c:manualLayout>
          <c:xMode val="edge"/>
          <c:yMode val="edge"/>
          <c:x val="0.23144979534041557"/>
          <c:y val="0.92335147295777265"/>
          <c:w val="0.51678217131677007"/>
          <c:h val="7.4272742934160293E-2"/>
        </c:manualLayout>
      </c:layout>
      <c:txPr>
        <a:bodyPr/>
        <a:lstStyle/>
        <a:p>
          <a:pPr>
            <a:defRPr sz="700"/>
          </a:pPr>
          <a:endParaRPr lang="cs-CZ"/>
        </a:p>
      </c:txPr>
    </c:legend>
    <c:plotVisOnly val="1"/>
  </c:chart>
  <c:spPr>
    <a:solidFill>
      <a:schemeClr val="accent6">
        <a:lumMod val="20000"/>
        <a:lumOff val="80000"/>
      </a:schemeClr>
    </a:solidFill>
  </c:spPr>
  <c:txPr>
    <a:bodyPr/>
    <a:lstStyle/>
    <a:p>
      <a:pPr>
        <a:defRPr sz="800"/>
      </a:pPr>
      <a:endParaRPr lang="cs-CZ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cs-CZ"/>
  <c:chart>
    <c:title>
      <c:tx>
        <c:rich>
          <a:bodyPr/>
          <a:lstStyle/>
          <a:p>
            <a:pPr>
              <a:defRPr sz="800"/>
            </a:pPr>
            <a:r>
              <a:rPr lang="en-US" sz="800"/>
              <a:t>Ceny mléka v EU-27 v měsíci </a:t>
            </a:r>
            <a:r>
              <a:rPr lang="cs-CZ" sz="800"/>
              <a:t>říjnu</a:t>
            </a:r>
            <a:r>
              <a:rPr lang="en-US" sz="800"/>
              <a:t> 2010 a 2011 </a:t>
            </a:r>
            <a:endParaRPr lang="cs-CZ" sz="800"/>
          </a:p>
          <a:p>
            <a:pPr>
              <a:defRPr sz="800"/>
            </a:pPr>
            <a:r>
              <a:rPr lang="en-US" sz="500"/>
              <a:t>Pramen: Evropská komise , Milk Market Situation, </a:t>
            </a:r>
            <a:r>
              <a:rPr lang="cs-CZ" sz="500"/>
              <a:t>15</a:t>
            </a:r>
            <a:r>
              <a:rPr lang="cs-CZ" sz="500" baseline="0"/>
              <a:t> December </a:t>
            </a:r>
            <a:r>
              <a:rPr lang="en-US" sz="500"/>
              <a:t>2011</a:t>
            </a:r>
          </a:p>
        </c:rich>
      </c:tx>
    </c:title>
    <c:plotArea>
      <c:layout>
        <c:manualLayout>
          <c:layoutTarget val="inner"/>
          <c:xMode val="edge"/>
          <c:yMode val="edge"/>
          <c:x val="0.14021708683473474"/>
          <c:y val="0.19129622310724695"/>
          <c:w val="0.82924124649860342"/>
          <c:h val="0.55648638514780113"/>
        </c:manualLayout>
      </c:layout>
      <c:barChart>
        <c:barDir val="col"/>
        <c:grouping val="clustered"/>
        <c:ser>
          <c:idx val="0"/>
          <c:order val="0"/>
          <c:tx>
            <c:strRef>
              <c:f>List1!$P$5</c:f>
              <c:strCache>
                <c:ptCount val="1"/>
                <c:pt idx="0">
                  <c:v>2010</c:v>
                </c:pt>
              </c:strCache>
            </c:strRef>
          </c:tx>
          <c:cat>
            <c:strRef>
              <c:f>List1!$O$6:$O$33</c:f>
              <c:strCache>
                <c:ptCount val="28"/>
                <c:pt idx="0">
                  <c:v>Kypr</c:v>
                </c:pt>
                <c:pt idx="1">
                  <c:v>Malta</c:v>
                </c:pt>
                <c:pt idx="2">
                  <c:v>Finsko</c:v>
                </c:pt>
                <c:pt idx="3">
                  <c:v>Řecko</c:v>
                </c:pt>
                <c:pt idx="4">
                  <c:v>Itálie</c:v>
                </c:pt>
                <c:pt idx="5">
                  <c:v>Irsko</c:v>
                </c:pt>
                <c:pt idx="6">
                  <c:v>Rakousko</c:v>
                </c:pt>
                <c:pt idx="7">
                  <c:v>Nizozemsko</c:v>
                </c:pt>
                <c:pt idx="8">
                  <c:v>Švédsko</c:v>
                </c:pt>
                <c:pt idx="9">
                  <c:v>Dánsko</c:v>
                </c:pt>
                <c:pt idx="10">
                  <c:v>Německo</c:v>
                </c:pt>
                <c:pt idx="11">
                  <c:v>Vážený průměr EU-27</c:v>
                </c:pt>
                <c:pt idx="12">
                  <c:v>Francie</c:v>
                </c:pt>
                <c:pt idx="13">
                  <c:v>Lucembursko</c:v>
                </c:pt>
                <c:pt idx="14">
                  <c:v>Belgie</c:v>
                </c:pt>
                <c:pt idx="15">
                  <c:v>Česká republika</c:v>
                </c:pt>
                <c:pt idx="16">
                  <c:v>Bulharsko</c:v>
                </c:pt>
                <c:pt idx="17">
                  <c:v>Spojené království</c:v>
                </c:pt>
                <c:pt idx="18">
                  <c:v>Španělsko</c:v>
                </c:pt>
                <c:pt idx="19">
                  <c:v>Estonsko</c:v>
                </c:pt>
                <c:pt idx="20">
                  <c:v>Slovinsko</c:v>
                </c:pt>
                <c:pt idx="21">
                  <c:v>Slovensko</c:v>
                </c:pt>
                <c:pt idx="22">
                  <c:v>Portugalsko</c:v>
                </c:pt>
                <c:pt idx="23">
                  <c:v>Maďarsko</c:v>
                </c:pt>
                <c:pt idx="24">
                  <c:v>Rumunsko</c:v>
                </c:pt>
                <c:pt idx="25">
                  <c:v>Litva</c:v>
                </c:pt>
                <c:pt idx="26">
                  <c:v>Lotyšsko</c:v>
                </c:pt>
                <c:pt idx="27">
                  <c:v>Polsko</c:v>
                </c:pt>
              </c:strCache>
            </c:strRef>
          </c:cat>
          <c:val>
            <c:numRef>
              <c:f>List1!$P$6:$P$33</c:f>
              <c:numCache>
                <c:formatCode>General</c:formatCode>
                <c:ptCount val="28"/>
                <c:pt idx="0" formatCode="0.00">
                  <c:v>51.46</c:v>
                </c:pt>
                <c:pt idx="1">
                  <c:v>43.87</c:v>
                </c:pt>
                <c:pt idx="2" formatCode="0.00">
                  <c:v>44.41</c:v>
                </c:pt>
                <c:pt idx="3">
                  <c:v>38.11</c:v>
                </c:pt>
                <c:pt idx="4" formatCode="0.00">
                  <c:v>34.770000000000003</c:v>
                </c:pt>
                <c:pt idx="5" formatCode="0.00">
                  <c:v>35.83</c:v>
                </c:pt>
                <c:pt idx="6" formatCode="0.00">
                  <c:v>33.96</c:v>
                </c:pt>
                <c:pt idx="7" formatCode="0.00">
                  <c:v>34.65</c:v>
                </c:pt>
                <c:pt idx="8" formatCode="0.00">
                  <c:v>38.200000000000003</c:v>
                </c:pt>
                <c:pt idx="9" formatCode="0.00">
                  <c:v>34.89</c:v>
                </c:pt>
                <c:pt idx="10" formatCode="0.00">
                  <c:v>34.410000000000004</c:v>
                </c:pt>
                <c:pt idx="11" formatCode="0.00">
                  <c:v>32.9</c:v>
                </c:pt>
                <c:pt idx="12" formatCode="0.00">
                  <c:v>32.83</c:v>
                </c:pt>
                <c:pt idx="13" formatCode="0.00">
                  <c:v>32.349999999999994</c:v>
                </c:pt>
                <c:pt idx="14" formatCode="0.00">
                  <c:v>33.28</c:v>
                </c:pt>
                <c:pt idx="15">
                  <c:v>27.6</c:v>
                </c:pt>
                <c:pt idx="16" formatCode="0.00">
                  <c:v>30.4</c:v>
                </c:pt>
                <c:pt idx="17" formatCode="0.00">
                  <c:v>28.419999999999987</c:v>
                </c:pt>
                <c:pt idx="18" formatCode="0.00">
                  <c:v>30.58</c:v>
                </c:pt>
                <c:pt idx="19" formatCode="0.00">
                  <c:v>29.9</c:v>
                </c:pt>
                <c:pt idx="20" formatCode="0.00">
                  <c:v>28.09</c:v>
                </c:pt>
                <c:pt idx="21" formatCode="0.00">
                  <c:v>29.27</c:v>
                </c:pt>
                <c:pt idx="22" formatCode="0.00">
                  <c:v>30.07</c:v>
                </c:pt>
                <c:pt idx="23" formatCode="0.00">
                  <c:v>28.97</c:v>
                </c:pt>
                <c:pt idx="24" formatCode="0.00">
                  <c:v>25.459999999999987</c:v>
                </c:pt>
                <c:pt idx="25" formatCode="0.00">
                  <c:v>28.67</c:v>
                </c:pt>
                <c:pt idx="26" formatCode="0.00">
                  <c:v>26.419999999999987</c:v>
                </c:pt>
                <c:pt idx="27" formatCode="0.00">
                  <c:v>28.939999999999987</c:v>
                </c:pt>
              </c:numCache>
            </c:numRef>
          </c:val>
        </c:ser>
        <c:ser>
          <c:idx val="1"/>
          <c:order val="1"/>
          <c:tx>
            <c:strRef>
              <c:f>List1!$Q$5</c:f>
              <c:strCache>
                <c:ptCount val="1"/>
                <c:pt idx="0">
                  <c:v>2011</c:v>
                </c:pt>
              </c:strCache>
            </c:strRef>
          </c:tx>
          <c:spPr>
            <a:solidFill>
              <a:schemeClr val="accent2"/>
            </a:solidFill>
          </c:spPr>
          <c:dPt>
            <c:idx val="11"/>
            <c:spPr>
              <a:solidFill>
                <a:schemeClr val="accent2">
                  <a:lumMod val="50000"/>
                </a:schemeClr>
              </a:solidFill>
            </c:spPr>
          </c:dPt>
          <c:dLbls>
            <c:txPr>
              <a:bodyPr rot="-5400000" vert="horz"/>
              <a:lstStyle/>
              <a:p>
                <a:pPr>
                  <a:defRPr sz="500"/>
                </a:pPr>
                <a:endParaRPr lang="cs-CZ"/>
              </a:p>
            </c:txPr>
            <c:showVal val="1"/>
          </c:dLbls>
          <c:cat>
            <c:strRef>
              <c:f>List1!$O$6:$O$33</c:f>
              <c:strCache>
                <c:ptCount val="28"/>
                <c:pt idx="0">
                  <c:v>Kypr</c:v>
                </c:pt>
                <c:pt idx="1">
                  <c:v>Malta</c:v>
                </c:pt>
                <c:pt idx="2">
                  <c:v>Finsko</c:v>
                </c:pt>
                <c:pt idx="3">
                  <c:v>Řecko</c:v>
                </c:pt>
                <c:pt idx="4">
                  <c:v>Itálie</c:v>
                </c:pt>
                <c:pt idx="5">
                  <c:v>Irsko</c:v>
                </c:pt>
                <c:pt idx="6">
                  <c:v>Rakousko</c:v>
                </c:pt>
                <c:pt idx="7">
                  <c:v>Nizozemsko</c:v>
                </c:pt>
                <c:pt idx="8">
                  <c:v>Švédsko</c:v>
                </c:pt>
                <c:pt idx="9">
                  <c:v>Dánsko</c:v>
                </c:pt>
                <c:pt idx="10">
                  <c:v>Německo</c:v>
                </c:pt>
                <c:pt idx="11">
                  <c:v>Vážený průměr EU-27</c:v>
                </c:pt>
                <c:pt idx="12">
                  <c:v>Francie</c:v>
                </c:pt>
                <c:pt idx="13">
                  <c:v>Lucembursko</c:v>
                </c:pt>
                <c:pt idx="14">
                  <c:v>Belgie</c:v>
                </c:pt>
                <c:pt idx="15">
                  <c:v>Česká republika</c:v>
                </c:pt>
                <c:pt idx="16">
                  <c:v>Bulharsko</c:v>
                </c:pt>
                <c:pt idx="17">
                  <c:v>Spojené království</c:v>
                </c:pt>
                <c:pt idx="18">
                  <c:v>Španělsko</c:v>
                </c:pt>
                <c:pt idx="19">
                  <c:v>Estonsko</c:v>
                </c:pt>
                <c:pt idx="20">
                  <c:v>Slovinsko</c:v>
                </c:pt>
                <c:pt idx="21">
                  <c:v>Slovensko</c:v>
                </c:pt>
                <c:pt idx="22">
                  <c:v>Portugalsko</c:v>
                </c:pt>
                <c:pt idx="23">
                  <c:v>Maďarsko</c:v>
                </c:pt>
                <c:pt idx="24">
                  <c:v>Rumunsko</c:v>
                </c:pt>
                <c:pt idx="25">
                  <c:v>Litva</c:v>
                </c:pt>
                <c:pt idx="26">
                  <c:v>Lotyšsko</c:v>
                </c:pt>
                <c:pt idx="27">
                  <c:v>Polsko</c:v>
                </c:pt>
              </c:strCache>
            </c:strRef>
          </c:cat>
          <c:val>
            <c:numRef>
              <c:f>List1!$Q$6:$Q$33</c:f>
              <c:numCache>
                <c:formatCode>General</c:formatCode>
                <c:ptCount val="28"/>
                <c:pt idx="0" formatCode="0.00">
                  <c:v>53.02</c:v>
                </c:pt>
                <c:pt idx="1">
                  <c:v>48.839999999999996</c:v>
                </c:pt>
                <c:pt idx="2" formatCode="0.00">
                  <c:v>47</c:v>
                </c:pt>
                <c:pt idx="3" formatCode="0.00">
                  <c:v>46.339999999999996</c:v>
                </c:pt>
                <c:pt idx="4" formatCode="0.00">
                  <c:v>39.04</c:v>
                </c:pt>
                <c:pt idx="5" formatCode="0.00">
                  <c:v>38.260000000000012</c:v>
                </c:pt>
                <c:pt idx="6" formatCode="0.00">
                  <c:v>36.74</c:v>
                </c:pt>
                <c:pt idx="7" formatCode="0.00">
                  <c:v>37</c:v>
                </c:pt>
                <c:pt idx="8" formatCode="0.00">
                  <c:v>36.809999999999995</c:v>
                </c:pt>
                <c:pt idx="9" formatCode="0.00">
                  <c:v>36.5</c:v>
                </c:pt>
                <c:pt idx="10" formatCode="0.00">
                  <c:v>36.42</c:v>
                </c:pt>
                <c:pt idx="11">
                  <c:v>35.1</c:v>
                </c:pt>
                <c:pt idx="12" formatCode="0.00">
                  <c:v>34.58</c:v>
                </c:pt>
                <c:pt idx="13" formatCode="0.00">
                  <c:v>34.5</c:v>
                </c:pt>
                <c:pt idx="14" formatCode="0.00">
                  <c:v>33.620000000000012</c:v>
                </c:pt>
                <c:pt idx="15" formatCode="0.00">
                  <c:v>32.86</c:v>
                </c:pt>
                <c:pt idx="16" formatCode="0.00">
                  <c:v>32.720000000000013</c:v>
                </c:pt>
                <c:pt idx="17" formatCode="0.00">
                  <c:v>32.370000000000005</c:v>
                </c:pt>
                <c:pt idx="18" formatCode="0.00">
                  <c:v>32.230000000000011</c:v>
                </c:pt>
                <c:pt idx="19" formatCode="0.00">
                  <c:v>32.04</c:v>
                </c:pt>
                <c:pt idx="20" formatCode="0.00">
                  <c:v>32.04</c:v>
                </c:pt>
                <c:pt idx="21" formatCode="0.00">
                  <c:v>32.01</c:v>
                </c:pt>
                <c:pt idx="22" formatCode="0.00">
                  <c:v>31.99</c:v>
                </c:pt>
                <c:pt idx="23" formatCode="0.00">
                  <c:v>30.06</c:v>
                </c:pt>
                <c:pt idx="24">
                  <c:v>29.9</c:v>
                </c:pt>
                <c:pt idx="25" formatCode="0.00">
                  <c:v>29.67</c:v>
                </c:pt>
                <c:pt idx="26" formatCode="0.00">
                  <c:v>29.4</c:v>
                </c:pt>
                <c:pt idx="27" formatCode="0.00">
                  <c:v>28.330000000000005</c:v>
                </c:pt>
              </c:numCache>
            </c:numRef>
          </c:val>
        </c:ser>
        <c:axId val="115333760"/>
        <c:axId val="115335552"/>
      </c:barChart>
      <c:catAx>
        <c:axId val="115333760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500"/>
            </a:pPr>
            <a:endParaRPr lang="cs-CZ"/>
          </a:p>
        </c:txPr>
        <c:crossAx val="115335552"/>
        <c:crosses val="autoZero"/>
        <c:auto val="1"/>
        <c:lblAlgn val="ctr"/>
        <c:lblOffset val="100"/>
      </c:catAx>
      <c:valAx>
        <c:axId val="115335552"/>
        <c:scaling>
          <c:orientation val="minMax"/>
          <c:min val="15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sz="800" baseline="0"/>
                </a:pPr>
                <a:r>
                  <a:rPr lang="en-US" sz="800" baseline="0"/>
                  <a:t>EUR/100 kg</a:t>
                </a:r>
              </a:p>
            </c:rich>
          </c:tx>
          <c:layout>
            <c:manualLayout>
              <c:xMode val="edge"/>
              <c:yMode val="edge"/>
              <c:x val="1.3657163682397181E-3"/>
              <c:y val="0.40471143778907981"/>
            </c:manualLayout>
          </c:layout>
        </c:title>
        <c:numFmt formatCode="0.00" sourceLinked="1"/>
        <c:tickLblPos val="nextTo"/>
        <c:txPr>
          <a:bodyPr/>
          <a:lstStyle/>
          <a:p>
            <a:pPr>
              <a:defRPr sz="500"/>
            </a:pPr>
            <a:endParaRPr lang="cs-CZ"/>
          </a:p>
        </c:txPr>
        <c:crossAx val="11533376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"/>
          <c:y val="0.88790279593429156"/>
          <c:w val="0.32870635804864656"/>
          <c:h val="0.10741130331681513"/>
        </c:manualLayout>
      </c:layout>
      <c:txPr>
        <a:bodyPr/>
        <a:lstStyle/>
        <a:p>
          <a:pPr>
            <a:defRPr sz="800"/>
          </a:pPr>
          <a:endParaRPr lang="cs-CZ"/>
        </a:p>
      </c:txPr>
    </c:legend>
    <c:plotVisOnly val="1"/>
  </c:chart>
  <c:spPr>
    <a:solidFill>
      <a:schemeClr val="accent6">
        <a:lumMod val="40000"/>
        <a:lumOff val="60000"/>
      </a:schemeClr>
    </a:solidFill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200" baseline="0"/>
              <a:t>Vývoz mléčné suroviny z ČR (položka KN 0401 20 99) </a:t>
            </a:r>
            <a:r>
              <a:rPr lang="cs-CZ" sz="1200" baseline="0"/>
              <a:t>                                                                                                                      </a:t>
            </a:r>
            <a:r>
              <a:rPr lang="en-US" sz="900" baseline="0"/>
              <a:t>(Pramen: ČSÚ, databáze zahraničního obchodu)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List1!$H$40</c:f>
              <c:strCache>
                <c:ptCount val="1"/>
                <c:pt idx="0">
                  <c:v>tuny</c:v>
                </c:pt>
              </c:strCache>
            </c:strRef>
          </c:tx>
          <c:cat>
            <c:numRef>
              <c:f>List1!$G$41:$G$131</c:f>
              <c:numCache>
                <c:formatCode>mmm/yy</c:formatCode>
                <c:ptCount val="91"/>
                <c:pt idx="0">
                  <c:v>38108</c:v>
                </c:pt>
                <c:pt idx="1">
                  <c:v>38139</c:v>
                </c:pt>
                <c:pt idx="2">
                  <c:v>38169</c:v>
                </c:pt>
                <c:pt idx="3">
                  <c:v>38200</c:v>
                </c:pt>
                <c:pt idx="4">
                  <c:v>38231</c:v>
                </c:pt>
                <c:pt idx="5">
                  <c:v>38261</c:v>
                </c:pt>
                <c:pt idx="6">
                  <c:v>38292</c:v>
                </c:pt>
                <c:pt idx="7">
                  <c:v>38322</c:v>
                </c:pt>
                <c:pt idx="8">
                  <c:v>38353</c:v>
                </c:pt>
                <c:pt idx="9">
                  <c:v>38384</c:v>
                </c:pt>
                <c:pt idx="10">
                  <c:v>38412</c:v>
                </c:pt>
                <c:pt idx="11">
                  <c:v>38443</c:v>
                </c:pt>
                <c:pt idx="12">
                  <c:v>38473</c:v>
                </c:pt>
                <c:pt idx="13">
                  <c:v>38504</c:v>
                </c:pt>
                <c:pt idx="14">
                  <c:v>38534</c:v>
                </c:pt>
                <c:pt idx="15">
                  <c:v>38565</c:v>
                </c:pt>
                <c:pt idx="16">
                  <c:v>38596</c:v>
                </c:pt>
                <c:pt idx="17">
                  <c:v>38626</c:v>
                </c:pt>
                <c:pt idx="18">
                  <c:v>38657</c:v>
                </c:pt>
                <c:pt idx="19">
                  <c:v>38687</c:v>
                </c:pt>
                <c:pt idx="20">
                  <c:v>38718</c:v>
                </c:pt>
                <c:pt idx="21">
                  <c:v>38749</c:v>
                </c:pt>
                <c:pt idx="22">
                  <c:v>38777</c:v>
                </c:pt>
                <c:pt idx="23">
                  <c:v>38808</c:v>
                </c:pt>
                <c:pt idx="24">
                  <c:v>38838</c:v>
                </c:pt>
                <c:pt idx="25">
                  <c:v>38869</c:v>
                </c:pt>
                <c:pt idx="26">
                  <c:v>38899</c:v>
                </c:pt>
                <c:pt idx="27">
                  <c:v>38930</c:v>
                </c:pt>
                <c:pt idx="28">
                  <c:v>38961</c:v>
                </c:pt>
                <c:pt idx="29">
                  <c:v>38991</c:v>
                </c:pt>
                <c:pt idx="30">
                  <c:v>39022</c:v>
                </c:pt>
                <c:pt idx="31">
                  <c:v>39052</c:v>
                </c:pt>
                <c:pt idx="32">
                  <c:v>39083</c:v>
                </c:pt>
                <c:pt idx="33">
                  <c:v>39114</c:v>
                </c:pt>
                <c:pt idx="34">
                  <c:v>39142</c:v>
                </c:pt>
                <c:pt idx="35">
                  <c:v>39173</c:v>
                </c:pt>
                <c:pt idx="36">
                  <c:v>39203</c:v>
                </c:pt>
                <c:pt idx="37">
                  <c:v>39234</c:v>
                </c:pt>
                <c:pt idx="38">
                  <c:v>39264</c:v>
                </c:pt>
                <c:pt idx="39">
                  <c:v>39295</c:v>
                </c:pt>
                <c:pt idx="40">
                  <c:v>39326</c:v>
                </c:pt>
                <c:pt idx="41">
                  <c:v>39356</c:v>
                </c:pt>
                <c:pt idx="42">
                  <c:v>39387</c:v>
                </c:pt>
                <c:pt idx="43">
                  <c:v>39417</c:v>
                </c:pt>
                <c:pt idx="44">
                  <c:v>39448</c:v>
                </c:pt>
                <c:pt idx="45">
                  <c:v>39479</c:v>
                </c:pt>
                <c:pt idx="46">
                  <c:v>39508</c:v>
                </c:pt>
                <c:pt idx="47">
                  <c:v>39539</c:v>
                </c:pt>
                <c:pt idx="48">
                  <c:v>39569</c:v>
                </c:pt>
                <c:pt idx="49">
                  <c:v>39600</c:v>
                </c:pt>
                <c:pt idx="50">
                  <c:v>39630</c:v>
                </c:pt>
                <c:pt idx="51">
                  <c:v>39661</c:v>
                </c:pt>
                <c:pt idx="52">
                  <c:v>39692</c:v>
                </c:pt>
                <c:pt idx="53">
                  <c:v>39722</c:v>
                </c:pt>
                <c:pt idx="54">
                  <c:v>39753</c:v>
                </c:pt>
                <c:pt idx="55">
                  <c:v>39783</c:v>
                </c:pt>
                <c:pt idx="56">
                  <c:v>39814</c:v>
                </c:pt>
                <c:pt idx="57">
                  <c:v>39845</c:v>
                </c:pt>
                <c:pt idx="58">
                  <c:v>39873</c:v>
                </c:pt>
                <c:pt idx="59">
                  <c:v>39904</c:v>
                </c:pt>
                <c:pt idx="60">
                  <c:v>39934</c:v>
                </c:pt>
                <c:pt idx="61">
                  <c:v>39965</c:v>
                </c:pt>
                <c:pt idx="62">
                  <c:v>39995</c:v>
                </c:pt>
                <c:pt idx="63">
                  <c:v>40026</c:v>
                </c:pt>
                <c:pt idx="64">
                  <c:v>40057</c:v>
                </c:pt>
                <c:pt idx="65">
                  <c:v>40087</c:v>
                </c:pt>
                <c:pt idx="66">
                  <c:v>40118</c:v>
                </c:pt>
                <c:pt idx="67">
                  <c:v>40148</c:v>
                </c:pt>
                <c:pt idx="68">
                  <c:v>40179</c:v>
                </c:pt>
                <c:pt idx="69">
                  <c:v>40210</c:v>
                </c:pt>
                <c:pt idx="70">
                  <c:v>40238</c:v>
                </c:pt>
                <c:pt idx="71">
                  <c:v>40269</c:v>
                </c:pt>
                <c:pt idx="72">
                  <c:v>40299</c:v>
                </c:pt>
                <c:pt idx="73">
                  <c:v>40330</c:v>
                </c:pt>
                <c:pt idx="74">
                  <c:v>40360</c:v>
                </c:pt>
                <c:pt idx="75">
                  <c:v>40391</c:v>
                </c:pt>
                <c:pt idx="76">
                  <c:v>40422</c:v>
                </c:pt>
                <c:pt idx="77">
                  <c:v>40452</c:v>
                </c:pt>
                <c:pt idx="78">
                  <c:v>40483</c:v>
                </c:pt>
                <c:pt idx="79">
                  <c:v>40513</c:v>
                </c:pt>
                <c:pt idx="80">
                  <c:v>40544</c:v>
                </c:pt>
                <c:pt idx="81">
                  <c:v>40575</c:v>
                </c:pt>
                <c:pt idx="82">
                  <c:v>40603</c:v>
                </c:pt>
                <c:pt idx="83">
                  <c:v>40634</c:v>
                </c:pt>
                <c:pt idx="84">
                  <c:v>40664</c:v>
                </c:pt>
                <c:pt idx="85">
                  <c:v>40695</c:v>
                </c:pt>
                <c:pt idx="86">
                  <c:v>40725</c:v>
                </c:pt>
                <c:pt idx="87">
                  <c:v>40756</c:v>
                </c:pt>
                <c:pt idx="88">
                  <c:v>40787</c:v>
                </c:pt>
                <c:pt idx="89">
                  <c:v>40817</c:v>
                </c:pt>
                <c:pt idx="90">
                  <c:v>40848</c:v>
                </c:pt>
              </c:numCache>
            </c:numRef>
          </c:cat>
          <c:val>
            <c:numRef>
              <c:f>List1!$H$41:$H$131</c:f>
              <c:numCache>
                <c:formatCode>General</c:formatCode>
                <c:ptCount val="91"/>
                <c:pt idx="0" formatCode="#,##0.00">
                  <c:v>788</c:v>
                </c:pt>
                <c:pt idx="1">
                  <c:v>2877</c:v>
                </c:pt>
                <c:pt idx="2">
                  <c:v>3255</c:v>
                </c:pt>
                <c:pt idx="3" formatCode="#,##0.00">
                  <c:v>4344</c:v>
                </c:pt>
                <c:pt idx="4" formatCode="#,##0.00">
                  <c:v>5910</c:v>
                </c:pt>
                <c:pt idx="5" formatCode="#,##0.00">
                  <c:v>6665</c:v>
                </c:pt>
                <c:pt idx="6" formatCode="#,##0.00">
                  <c:v>6397</c:v>
                </c:pt>
                <c:pt idx="7" formatCode="#,##0.00">
                  <c:v>6910</c:v>
                </c:pt>
                <c:pt idx="8" formatCode="#,##0.00">
                  <c:v>14847</c:v>
                </c:pt>
                <c:pt idx="9" formatCode="#,##0.00">
                  <c:v>12740</c:v>
                </c:pt>
                <c:pt idx="10" formatCode="#,##0.00">
                  <c:v>14393</c:v>
                </c:pt>
                <c:pt idx="11" formatCode="#,##0.00">
                  <c:v>14421</c:v>
                </c:pt>
                <c:pt idx="12" formatCode="#,##0.00">
                  <c:v>16352</c:v>
                </c:pt>
                <c:pt idx="13" formatCode="#,##0.00">
                  <c:v>16946</c:v>
                </c:pt>
                <c:pt idx="14" formatCode="#,##0.00">
                  <c:v>16089</c:v>
                </c:pt>
                <c:pt idx="15" formatCode="#,##0.00">
                  <c:v>20884</c:v>
                </c:pt>
                <c:pt idx="16" formatCode="#,##0.00">
                  <c:v>19089</c:v>
                </c:pt>
                <c:pt idx="17" formatCode="#,##0.00">
                  <c:v>25704</c:v>
                </c:pt>
                <c:pt idx="18" formatCode="#,##0.00">
                  <c:v>23452</c:v>
                </c:pt>
                <c:pt idx="19" formatCode="#,##0.00">
                  <c:v>21900</c:v>
                </c:pt>
                <c:pt idx="20" formatCode="#,##0.00">
                  <c:v>21415</c:v>
                </c:pt>
                <c:pt idx="21" formatCode="#,##0.00">
                  <c:v>20550</c:v>
                </c:pt>
                <c:pt idx="22" formatCode="#,##0.00">
                  <c:v>23114</c:v>
                </c:pt>
                <c:pt idx="23" formatCode="#,##0.00">
                  <c:v>23779</c:v>
                </c:pt>
                <c:pt idx="24" formatCode="#,##0.00">
                  <c:v>25276</c:v>
                </c:pt>
                <c:pt idx="25" formatCode="#,##0.00">
                  <c:v>26858</c:v>
                </c:pt>
                <c:pt idx="26" formatCode="#,##0.00">
                  <c:v>30827</c:v>
                </c:pt>
                <c:pt idx="27" formatCode="#,##0.00">
                  <c:v>28668</c:v>
                </c:pt>
                <c:pt idx="28" formatCode="#,##0.00">
                  <c:v>28683</c:v>
                </c:pt>
                <c:pt idx="29" formatCode="#,##0.00">
                  <c:v>29490</c:v>
                </c:pt>
                <c:pt idx="30" formatCode="#,##0.00">
                  <c:v>26170</c:v>
                </c:pt>
                <c:pt idx="31" formatCode="#,##0.00">
                  <c:v>27427</c:v>
                </c:pt>
                <c:pt idx="32" formatCode="#,##0.00">
                  <c:v>31393</c:v>
                </c:pt>
                <c:pt idx="33" formatCode="#,##0.00">
                  <c:v>30947</c:v>
                </c:pt>
                <c:pt idx="34" formatCode="#,##0.00">
                  <c:v>34571</c:v>
                </c:pt>
                <c:pt idx="35" formatCode="#,##0.00">
                  <c:v>35626</c:v>
                </c:pt>
                <c:pt idx="36" formatCode="#,##0.00">
                  <c:v>36913</c:v>
                </c:pt>
                <c:pt idx="37" formatCode="#,##0.00">
                  <c:v>34522</c:v>
                </c:pt>
                <c:pt idx="38" formatCode="#,##0.00">
                  <c:v>35432</c:v>
                </c:pt>
                <c:pt idx="39" formatCode="#,##0.00">
                  <c:v>33261</c:v>
                </c:pt>
                <c:pt idx="40" formatCode="#,##0.00">
                  <c:v>31042</c:v>
                </c:pt>
                <c:pt idx="41" formatCode="#,##0.00">
                  <c:v>32735</c:v>
                </c:pt>
                <c:pt idx="42" formatCode="#,##0.00">
                  <c:v>31593</c:v>
                </c:pt>
                <c:pt idx="43" formatCode="#,##0.00">
                  <c:v>33415</c:v>
                </c:pt>
                <c:pt idx="44" formatCode="#,##0.00">
                  <c:v>35710</c:v>
                </c:pt>
                <c:pt idx="45" formatCode="#,##0.00">
                  <c:v>33598</c:v>
                </c:pt>
                <c:pt idx="46" formatCode="#,##0.00">
                  <c:v>38343</c:v>
                </c:pt>
                <c:pt idx="47" formatCode="#,##0.00">
                  <c:v>38099</c:v>
                </c:pt>
                <c:pt idx="48" formatCode="#,##0.00">
                  <c:v>38773</c:v>
                </c:pt>
                <c:pt idx="49" formatCode="#,##0.00">
                  <c:v>38962</c:v>
                </c:pt>
                <c:pt idx="50" formatCode="#,##0.00">
                  <c:v>40991</c:v>
                </c:pt>
                <c:pt idx="51" formatCode="#,##0.00">
                  <c:v>39122</c:v>
                </c:pt>
                <c:pt idx="52" formatCode="#,##0.00">
                  <c:v>36623</c:v>
                </c:pt>
                <c:pt idx="53" formatCode="#,##0.00">
                  <c:v>37832</c:v>
                </c:pt>
                <c:pt idx="54" formatCode="#,##0.00">
                  <c:v>34014</c:v>
                </c:pt>
                <c:pt idx="55" formatCode="#,##0.00">
                  <c:v>36313</c:v>
                </c:pt>
                <c:pt idx="56" formatCode="#,##0.00">
                  <c:v>39698</c:v>
                </c:pt>
                <c:pt idx="57" formatCode="#,##0.00">
                  <c:v>37634</c:v>
                </c:pt>
                <c:pt idx="58" formatCode="#,##0.00">
                  <c:v>40257</c:v>
                </c:pt>
                <c:pt idx="59" formatCode="#,##0.00">
                  <c:v>39199</c:v>
                </c:pt>
                <c:pt idx="60" formatCode="#,##0.00">
                  <c:v>41978</c:v>
                </c:pt>
                <c:pt idx="61" formatCode="#,##0.00">
                  <c:v>40122</c:v>
                </c:pt>
                <c:pt idx="62" formatCode="#,##0.00">
                  <c:v>41730</c:v>
                </c:pt>
                <c:pt idx="63" formatCode="#,##0.00">
                  <c:v>39310</c:v>
                </c:pt>
                <c:pt idx="64" formatCode="#,##0.00">
                  <c:v>38662</c:v>
                </c:pt>
                <c:pt idx="65" formatCode="#,##0.00">
                  <c:v>36571</c:v>
                </c:pt>
                <c:pt idx="66" formatCode="#,##0.00">
                  <c:v>34510</c:v>
                </c:pt>
                <c:pt idx="67" formatCode="#,##0.00">
                  <c:v>36004</c:v>
                </c:pt>
                <c:pt idx="68" formatCode="#,##0.00">
                  <c:v>33864</c:v>
                </c:pt>
                <c:pt idx="69" formatCode="#,##0.00">
                  <c:v>29874</c:v>
                </c:pt>
                <c:pt idx="70" formatCode="#,##0.00">
                  <c:v>32761</c:v>
                </c:pt>
                <c:pt idx="71" formatCode="#,##0.00">
                  <c:v>33206</c:v>
                </c:pt>
                <c:pt idx="72" formatCode="#,##0.00">
                  <c:v>34972</c:v>
                </c:pt>
                <c:pt idx="73" formatCode="#,##0.00">
                  <c:v>38558</c:v>
                </c:pt>
                <c:pt idx="74" formatCode="#,##0.00">
                  <c:v>36506</c:v>
                </c:pt>
                <c:pt idx="75" formatCode="#,##0.00">
                  <c:v>36740</c:v>
                </c:pt>
                <c:pt idx="76" formatCode="#,##0.00">
                  <c:v>31266</c:v>
                </c:pt>
                <c:pt idx="77" formatCode="#,##0.00">
                  <c:v>30661</c:v>
                </c:pt>
                <c:pt idx="78" formatCode="#,##0.00">
                  <c:v>29311</c:v>
                </c:pt>
                <c:pt idx="79" formatCode="#,##0.00">
                  <c:v>30627</c:v>
                </c:pt>
                <c:pt idx="80" formatCode="#,##0.00">
                  <c:v>32007</c:v>
                </c:pt>
                <c:pt idx="81" formatCode="#,##0.00">
                  <c:v>29323</c:v>
                </c:pt>
                <c:pt idx="82" formatCode="#,##0.00">
                  <c:v>25553</c:v>
                </c:pt>
                <c:pt idx="83" formatCode="#,##0.00">
                  <c:v>37655</c:v>
                </c:pt>
                <c:pt idx="84" formatCode="#,##0.00">
                  <c:v>38492</c:v>
                </c:pt>
                <c:pt idx="85" formatCode="#,##0.00">
                  <c:v>41102</c:v>
                </c:pt>
                <c:pt idx="86" formatCode="#,##0.00">
                  <c:v>41615</c:v>
                </c:pt>
                <c:pt idx="87" formatCode="#,##0">
                  <c:v>41290</c:v>
                </c:pt>
                <c:pt idx="88" formatCode="#,##0">
                  <c:v>39326</c:v>
                </c:pt>
                <c:pt idx="89" formatCode="#,##0.00">
                  <c:v>38763</c:v>
                </c:pt>
                <c:pt idx="90" formatCode="#,##0.00">
                  <c:v>36783</c:v>
                </c:pt>
              </c:numCache>
            </c:numRef>
          </c:val>
        </c:ser>
        <c:axId val="115369088"/>
        <c:axId val="115370624"/>
      </c:barChart>
      <c:lineChart>
        <c:grouping val="standard"/>
        <c:ser>
          <c:idx val="1"/>
          <c:order val="1"/>
          <c:tx>
            <c:strRef>
              <c:f>List1!$I$40</c:f>
              <c:strCache>
                <c:ptCount val="1"/>
                <c:pt idx="0">
                  <c:v>Kč/kg</c:v>
                </c:pt>
              </c:strCache>
            </c:strRef>
          </c:tx>
          <c:marker>
            <c:symbol val="square"/>
            <c:size val="5"/>
          </c:marker>
          <c:cat>
            <c:numRef>
              <c:f>List1!$G$41:$G$131</c:f>
              <c:numCache>
                <c:formatCode>mmm/yy</c:formatCode>
                <c:ptCount val="91"/>
                <c:pt idx="0">
                  <c:v>38108</c:v>
                </c:pt>
                <c:pt idx="1">
                  <c:v>38139</c:v>
                </c:pt>
                <c:pt idx="2">
                  <c:v>38169</c:v>
                </c:pt>
                <c:pt idx="3">
                  <c:v>38200</c:v>
                </c:pt>
                <c:pt idx="4">
                  <c:v>38231</c:v>
                </c:pt>
                <c:pt idx="5">
                  <c:v>38261</c:v>
                </c:pt>
                <c:pt idx="6">
                  <c:v>38292</c:v>
                </c:pt>
                <c:pt idx="7">
                  <c:v>38322</c:v>
                </c:pt>
                <c:pt idx="8">
                  <c:v>38353</c:v>
                </c:pt>
                <c:pt idx="9">
                  <c:v>38384</c:v>
                </c:pt>
                <c:pt idx="10">
                  <c:v>38412</c:v>
                </c:pt>
                <c:pt idx="11">
                  <c:v>38443</c:v>
                </c:pt>
                <c:pt idx="12">
                  <c:v>38473</c:v>
                </c:pt>
                <c:pt idx="13">
                  <c:v>38504</c:v>
                </c:pt>
                <c:pt idx="14">
                  <c:v>38534</c:v>
                </c:pt>
                <c:pt idx="15">
                  <c:v>38565</c:v>
                </c:pt>
                <c:pt idx="16">
                  <c:v>38596</c:v>
                </c:pt>
                <c:pt idx="17">
                  <c:v>38626</c:v>
                </c:pt>
                <c:pt idx="18">
                  <c:v>38657</c:v>
                </c:pt>
                <c:pt idx="19">
                  <c:v>38687</c:v>
                </c:pt>
                <c:pt idx="20">
                  <c:v>38718</c:v>
                </c:pt>
                <c:pt idx="21">
                  <c:v>38749</c:v>
                </c:pt>
                <c:pt idx="22">
                  <c:v>38777</c:v>
                </c:pt>
                <c:pt idx="23">
                  <c:v>38808</c:v>
                </c:pt>
                <c:pt idx="24">
                  <c:v>38838</c:v>
                </c:pt>
                <c:pt idx="25">
                  <c:v>38869</c:v>
                </c:pt>
                <c:pt idx="26">
                  <c:v>38899</c:v>
                </c:pt>
                <c:pt idx="27">
                  <c:v>38930</c:v>
                </c:pt>
                <c:pt idx="28">
                  <c:v>38961</c:v>
                </c:pt>
                <c:pt idx="29">
                  <c:v>38991</c:v>
                </c:pt>
                <c:pt idx="30">
                  <c:v>39022</c:v>
                </c:pt>
                <c:pt idx="31">
                  <c:v>39052</c:v>
                </c:pt>
                <c:pt idx="32">
                  <c:v>39083</c:v>
                </c:pt>
                <c:pt idx="33">
                  <c:v>39114</c:v>
                </c:pt>
                <c:pt idx="34">
                  <c:v>39142</c:v>
                </c:pt>
                <c:pt idx="35">
                  <c:v>39173</c:v>
                </c:pt>
                <c:pt idx="36">
                  <c:v>39203</c:v>
                </c:pt>
                <c:pt idx="37">
                  <c:v>39234</c:v>
                </c:pt>
                <c:pt idx="38">
                  <c:v>39264</c:v>
                </c:pt>
                <c:pt idx="39">
                  <c:v>39295</c:v>
                </c:pt>
                <c:pt idx="40">
                  <c:v>39326</c:v>
                </c:pt>
                <c:pt idx="41">
                  <c:v>39356</c:v>
                </c:pt>
                <c:pt idx="42">
                  <c:v>39387</c:v>
                </c:pt>
                <c:pt idx="43">
                  <c:v>39417</c:v>
                </c:pt>
                <c:pt idx="44">
                  <c:v>39448</c:v>
                </c:pt>
                <c:pt idx="45">
                  <c:v>39479</c:v>
                </c:pt>
                <c:pt idx="46">
                  <c:v>39508</c:v>
                </c:pt>
                <c:pt idx="47">
                  <c:v>39539</c:v>
                </c:pt>
                <c:pt idx="48">
                  <c:v>39569</c:v>
                </c:pt>
                <c:pt idx="49">
                  <c:v>39600</c:v>
                </c:pt>
                <c:pt idx="50">
                  <c:v>39630</c:v>
                </c:pt>
                <c:pt idx="51">
                  <c:v>39661</c:v>
                </c:pt>
                <c:pt idx="52">
                  <c:v>39692</c:v>
                </c:pt>
                <c:pt idx="53">
                  <c:v>39722</c:v>
                </c:pt>
                <c:pt idx="54">
                  <c:v>39753</c:v>
                </c:pt>
                <c:pt idx="55">
                  <c:v>39783</c:v>
                </c:pt>
                <c:pt idx="56">
                  <c:v>39814</c:v>
                </c:pt>
                <c:pt idx="57">
                  <c:v>39845</c:v>
                </c:pt>
                <c:pt idx="58">
                  <c:v>39873</c:v>
                </c:pt>
                <c:pt idx="59">
                  <c:v>39904</c:v>
                </c:pt>
                <c:pt idx="60">
                  <c:v>39934</c:v>
                </c:pt>
                <c:pt idx="61">
                  <c:v>39965</c:v>
                </c:pt>
                <c:pt idx="62">
                  <c:v>39995</c:v>
                </c:pt>
                <c:pt idx="63">
                  <c:v>40026</c:v>
                </c:pt>
                <c:pt idx="64">
                  <c:v>40057</c:v>
                </c:pt>
                <c:pt idx="65">
                  <c:v>40087</c:v>
                </c:pt>
                <c:pt idx="66">
                  <c:v>40118</c:v>
                </c:pt>
                <c:pt idx="67">
                  <c:v>40148</c:v>
                </c:pt>
                <c:pt idx="68">
                  <c:v>40179</c:v>
                </c:pt>
                <c:pt idx="69">
                  <c:v>40210</c:v>
                </c:pt>
                <c:pt idx="70">
                  <c:v>40238</c:v>
                </c:pt>
                <c:pt idx="71">
                  <c:v>40269</c:v>
                </c:pt>
                <c:pt idx="72">
                  <c:v>40299</c:v>
                </c:pt>
                <c:pt idx="73">
                  <c:v>40330</c:v>
                </c:pt>
                <c:pt idx="74">
                  <c:v>40360</c:v>
                </c:pt>
                <c:pt idx="75">
                  <c:v>40391</c:v>
                </c:pt>
                <c:pt idx="76">
                  <c:v>40422</c:v>
                </c:pt>
                <c:pt idx="77">
                  <c:v>40452</c:v>
                </c:pt>
                <c:pt idx="78">
                  <c:v>40483</c:v>
                </c:pt>
                <c:pt idx="79">
                  <c:v>40513</c:v>
                </c:pt>
                <c:pt idx="80">
                  <c:v>40544</c:v>
                </c:pt>
                <c:pt idx="81">
                  <c:v>40575</c:v>
                </c:pt>
                <c:pt idx="82">
                  <c:v>40603</c:v>
                </c:pt>
                <c:pt idx="83">
                  <c:v>40634</c:v>
                </c:pt>
                <c:pt idx="84">
                  <c:v>40664</c:v>
                </c:pt>
                <c:pt idx="85">
                  <c:v>40695</c:v>
                </c:pt>
                <c:pt idx="86">
                  <c:v>40725</c:v>
                </c:pt>
                <c:pt idx="87">
                  <c:v>40756</c:v>
                </c:pt>
                <c:pt idx="88">
                  <c:v>40787</c:v>
                </c:pt>
                <c:pt idx="89">
                  <c:v>40817</c:v>
                </c:pt>
                <c:pt idx="90">
                  <c:v>40848</c:v>
                </c:pt>
              </c:numCache>
            </c:numRef>
          </c:cat>
          <c:val>
            <c:numRef>
              <c:f>List1!$I$41:$I$131</c:f>
              <c:numCache>
                <c:formatCode>General</c:formatCode>
                <c:ptCount val="91"/>
                <c:pt idx="0" formatCode="#,##0.00">
                  <c:v>10.28</c:v>
                </c:pt>
                <c:pt idx="1">
                  <c:v>8.7399999999999984</c:v>
                </c:pt>
                <c:pt idx="2">
                  <c:v>9.5</c:v>
                </c:pt>
                <c:pt idx="3" formatCode="#,##0.00">
                  <c:v>9.02</c:v>
                </c:pt>
                <c:pt idx="4" formatCode="#,##0.00">
                  <c:v>9.6399999999999988</c:v>
                </c:pt>
                <c:pt idx="5" formatCode="#,##0.00">
                  <c:v>9.66</c:v>
                </c:pt>
                <c:pt idx="6" formatCode="#,##0.00">
                  <c:v>9.8800000000000008</c:v>
                </c:pt>
                <c:pt idx="7" formatCode="#,##0.00">
                  <c:v>9.66</c:v>
                </c:pt>
                <c:pt idx="8" formatCode="#,##0.00">
                  <c:v>9.5</c:v>
                </c:pt>
                <c:pt idx="9" formatCode="#,##0.00">
                  <c:v>8.9</c:v>
                </c:pt>
                <c:pt idx="10" formatCode="#,##0.00">
                  <c:v>9.6399999999999988</c:v>
                </c:pt>
                <c:pt idx="11" formatCode="#,##0.00">
                  <c:v>8.07</c:v>
                </c:pt>
                <c:pt idx="12" formatCode="#,##0.00">
                  <c:v>8.9</c:v>
                </c:pt>
                <c:pt idx="13" formatCode="#,##0.00">
                  <c:v>8.8500000000000068</c:v>
                </c:pt>
                <c:pt idx="14" formatCode="#,##0.00">
                  <c:v>8.26</c:v>
                </c:pt>
                <c:pt idx="15" formatCode="#,##0.00">
                  <c:v>8.4500000000000028</c:v>
                </c:pt>
                <c:pt idx="16" formatCode="#,##0.00">
                  <c:v>8.43</c:v>
                </c:pt>
                <c:pt idx="17" formatCode="#,##0.00">
                  <c:v>8.7299999999999986</c:v>
                </c:pt>
                <c:pt idx="18" formatCode="#,##0.00">
                  <c:v>8.76</c:v>
                </c:pt>
                <c:pt idx="19" formatCode="#,##0.00">
                  <c:v>8.66</c:v>
                </c:pt>
                <c:pt idx="20" formatCode="#,##0.00">
                  <c:v>8.6</c:v>
                </c:pt>
                <c:pt idx="21" formatCode="#,##0.00">
                  <c:v>8.43</c:v>
                </c:pt>
                <c:pt idx="22" formatCode="#,##0.00">
                  <c:v>8.2200000000000024</c:v>
                </c:pt>
                <c:pt idx="23" formatCode="#,##0.00">
                  <c:v>8.01</c:v>
                </c:pt>
                <c:pt idx="24" formatCode="#,##0.00">
                  <c:v>7.95</c:v>
                </c:pt>
                <c:pt idx="25" formatCode="#,##0.00">
                  <c:v>7.89</c:v>
                </c:pt>
                <c:pt idx="26" formatCode="#,##0.00">
                  <c:v>7.84</c:v>
                </c:pt>
                <c:pt idx="27" formatCode="#,##0.00">
                  <c:v>7.84</c:v>
                </c:pt>
                <c:pt idx="28" formatCode="#,##0.00">
                  <c:v>8.0400000000000009</c:v>
                </c:pt>
                <c:pt idx="29" formatCode="#,##0.00">
                  <c:v>8.19</c:v>
                </c:pt>
                <c:pt idx="30" formatCode="#,##0.00">
                  <c:v>8.3000000000000007</c:v>
                </c:pt>
                <c:pt idx="31" formatCode="#,##0.00">
                  <c:v>8.27</c:v>
                </c:pt>
                <c:pt idx="32" formatCode="#,##0.00">
                  <c:v>8.11</c:v>
                </c:pt>
                <c:pt idx="33" formatCode="#,##0.00">
                  <c:v>8.11</c:v>
                </c:pt>
                <c:pt idx="34" formatCode="#,##0.00">
                  <c:v>8.1399999999999988</c:v>
                </c:pt>
                <c:pt idx="35" formatCode="#,##0.00">
                  <c:v>8.32</c:v>
                </c:pt>
                <c:pt idx="36" formatCode="#,##0.00">
                  <c:v>7.99</c:v>
                </c:pt>
                <c:pt idx="37" formatCode="#,##0.00">
                  <c:v>8.120000000000001</c:v>
                </c:pt>
                <c:pt idx="38" formatCode="#,##0.00">
                  <c:v>8.52</c:v>
                </c:pt>
                <c:pt idx="39" formatCode="#,##0.00">
                  <c:v>8.91</c:v>
                </c:pt>
                <c:pt idx="40" formatCode="#,##0.00">
                  <c:v>9.39</c:v>
                </c:pt>
                <c:pt idx="41" formatCode="#,##0.00">
                  <c:v>10.47</c:v>
                </c:pt>
                <c:pt idx="42" formatCode="#,##0.00">
                  <c:v>10.62</c:v>
                </c:pt>
                <c:pt idx="43" formatCode="#,##0.00">
                  <c:v>10.739999999999998</c:v>
                </c:pt>
                <c:pt idx="44" formatCode="#,##0.00">
                  <c:v>9.9700000000000006</c:v>
                </c:pt>
                <c:pt idx="45" formatCode="#,##0.00">
                  <c:v>10.44</c:v>
                </c:pt>
                <c:pt idx="46" formatCode="#,##0.00">
                  <c:v>10.08</c:v>
                </c:pt>
                <c:pt idx="47" formatCode="#,##0.00">
                  <c:v>9.34</c:v>
                </c:pt>
                <c:pt idx="48" formatCode="#,##0.00">
                  <c:v>8.83</c:v>
                </c:pt>
                <c:pt idx="49" formatCode="#,##0.00">
                  <c:v>8.32</c:v>
                </c:pt>
                <c:pt idx="50" formatCode="#,##0.00">
                  <c:v>8.4600000000000026</c:v>
                </c:pt>
                <c:pt idx="51" formatCode="#,##0.00">
                  <c:v>8.3600000000000048</c:v>
                </c:pt>
                <c:pt idx="52" formatCode="#,##0.00">
                  <c:v>8.27</c:v>
                </c:pt>
                <c:pt idx="53" formatCode="#,##0.00">
                  <c:v>7.8</c:v>
                </c:pt>
                <c:pt idx="54" formatCode="#,##0.00">
                  <c:v>7.8</c:v>
                </c:pt>
                <c:pt idx="55" formatCode="#,##0.00">
                  <c:v>7.31</c:v>
                </c:pt>
                <c:pt idx="56" formatCode="#,##0.00">
                  <c:v>7.1899999999999995</c:v>
                </c:pt>
                <c:pt idx="57" formatCode="#,##0.00">
                  <c:v>7.08</c:v>
                </c:pt>
                <c:pt idx="58" formatCode="#,##0.00">
                  <c:v>6.88</c:v>
                </c:pt>
                <c:pt idx="59" formatCode="#,##0.00">
                  <c:v>6.56</c:v>
                </c:pt>
                <c:pt idx="60" formatCode="#,##0.00">
                  <c:v>6.41</c:v>
                </c:pt>
                <c:pt idx="61" formatCode="#,##0.00">
                  <c:v>6.41</c:v>
                </c:pt>
                <c:pt idx="62" formatCode="#,##0.00">
                  <c:v>6.4300000000000024</c:v>
                </c:pt>
                <c:pt idx="63" formatCode="#,##0.00">
                  <c:v>6.3199999999999985</c:v>
                </c:pt>
                <c:pt idx="64" formatCode="#,##0.00">
                  <c:v>6.51</c:v>
                </c:pt>
                <c:pt idx="65" formatCode="#,##0.00">
                  <c:v>6.72</c:v>
                </c:pt>
                <c:pt idx="66" formatCode="#,##0.00">
                  <c:v>7.04</c:v>
                </c:pt>
                <c:pt idx="67" formatCode="#,##0.00">
                  <c:v>7.1499999999999995</c:v>
                </c:pt>
                <c:pt idx="68" formatCode="#,##0.00">
                  <c:v>7.4</c:v>
                </c:pt>
                <c:pt idx="69" formatCode="#,##0.00">
                  <c:v>7.52</c:v>
                </c:pt>
                <c:pt idx="70" formatCode="#,##0.00">
                  <c:v>7.46</c:v>
                </c:pt>
                <c:pt idx="71" formatCode="#,##0.00">
                  <c:v>7.53</c:v>
                </c:pt>
                <c:pt idx="72" formatCode="#,##0.00">
                  <c:v>7.53</c:v>
                </c:pt>
                <c:pt idx="73" formatCode="#,##0.00">
                  <c:v>7.8199999999999985</c:v>
                </c:pt>
                <c:pt idx="74" formatCode="#,##0.00">
                  <c:v>7.8199999999999985</c:v>
                </c:pt>
                <c:pt idx="75" formatCode="#,##0.00">
                  <c:v>7.91</c:v>
                </c:pt>
                <c:pt idx="76" formatCode="#,##0.00">
                  <c:v>8.3800000000000008</c:v>
                </c:pt>
                <c:pt idx="77" formatCode="#,##0.00">
                  <c:v>8.4700000000000006</c:v>
                </c:pt>
                <c:pt idx="78" formatCode="#,##0.00">
                  <c:v>8.5500000000000007</c:v>
                </c:pt>
                <c:pt idx="79" formatCode="#,##0.00">
                  <c:v>8.61</c:v>
                </c:pt>
                <c:pt idx="80" formatCode="#,##0.00">
                  <c:v>8.61</c:v>
                </c:pt>
                <c:pt idx="81" formatCode="#,##0.00">
                  <c:v>8.4600000000000026</c:v>
                </c:pt>
                <c:pt idx="82" formatCode="#,##0.00">
                  <c:v>8.58</c:v>
                </c:pt>
                <c:pt idx="83" formatCode="#,##0.00">
                  <c:v>8.52</c:v>
                </c:pt>
                <c:pt idx="84" formatCode="#,##0.00">
                  <c:v>8.49</c:v>
                </c:pt>
                <c:pt idx="85" formatCode="#,##0.00">
                  <c:v>8.629999999999999</c:v>
                </c:pt>
                <c:pt idx="86" formatCode="#,##0.00">
                  <c:v>7.63</c:v>
                </c:pt>
                <c:pt idx="87" formatCode="#,##0.00">
                  <c:v>8.69</c:v>
                </c:pt>
                <c:pt idx="88" formatCode="#,##0.00">
                  <c:v>8.7399999999999984</c:v>
                </c:pt>
                <c:pt idx="89" formatCode="#,##0.00">
                  <c:v>9.0500000000000007</c:v>
                </c:pt>
                <c:pt idx="90" formatCode="#,##0.00">
                  <c:v>9.1399999999999988</c:v>
                </c:pt>
              </c:numCache>
            </c:numRef>
          </c:val>
        </c:ser>
        <c:marker val="1"/>
        <c:axId val="115378816"/>
        <c:axId val="115376896"/>
      </c:lineChart>
      <c:dateAx>
        <c:axId val="115369088"/>
        <c:scaling>
          <c:orientation val="minMax"/>
        </c:scaling>
        <c:axPos val="b"/>
        <c:numFmt formatCode="mmm/yy" sourceLinked="1"/>
        <c:tickLblPos val="nextTo"/>
        <c:txPr>
          <a:bodyPr/>
          <a:lstStyle/>
          <a:p>
            <a:pPr>
              <a:defRPr sz="500" baseline="0"/>
            </a:pPr>
            <a:endParaRPr lang="cs-CZ"/>
          </a:p>
        </c:txPr>
        <c:crossAx val="115370624"/>
        <c:crosses val="autoZero"/>
        <c:auto val="1"/>
        <c:lblOffset val="100"/>
      </c:dateAx>
      <c:valAx>
        <c:axId val="11537062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tuny</a:t>
                </a:r>
              </a:p>
            </c:rich>
          </c:tx>
        </c:title>
        <c:numFmt formatCode="#,##0.00" sourceLinked="1"/>
        <c:tickLblPos val="nextTo"/>
        <c:crossAx val="115369088"/>
        <c:crosses val="autoZero"/>
        <c:crossBetween val="between"/>
      </c:valAx>
      <c:valAx>
        <c:axId val="115376896"/>
        <c:scaling>
          <c:orientation val="minMax"/>
          <c:max val="11"/>
          <c:min val="6"/>
        </c:scaling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Kč/kg</a:t>
                </a:r>
              </a:p>
            </c:rich>
          </c:tx>
        </c:title>
        <c:numFmt formatCode="#,##0.00" sourceLinked="1"/>
        <c:tickLblPos val="nextTo"/>
        <c:crossAx val="115378816"/>
        <c:crosses val="max"/>
        <c:crossBetween val="between"/>
      </c:valAx>
      <c:dateAx>
        <c:axId val="115378816"/>
        <c:scaling>
          <c:orientation val="minMax"/>
        </c:scaling>
        <c:delete val="1"/>
        <c:axPos val="b"/>
        <c:numFmt formatCode="mmm/yy" sourceLinked="1"/>
        <c:tickLblPos val="none"/>
        <c:crossAx val="115376896"/>
        <c:crosses val="autoZero"/>
        <c:auto val="1"/>
        <c:lblOffset val="100"/>
      </c:dateAx>
    </c:plotArea>
    <c:legend>
      <c:legendPos val="b"/>
    </c:legend>
    <c:plotVisOnly val="1"/>
    <c:dispBlanksAs val="gap"/>
  </c:chart>
  <c:spPr>
    <a:solidFill>
      <a:schemeClr val="accent6">
        <a:lumMod val="40000"/>
        <a:lumOff val="60000"/>
      </a:schemeClr>
    </a:solidFill>
    <a:ln>
      <a:solidFill>
        <a:schemeClr val="accent6">
          <a:lumMod val="50000"/>
        </a:schemeClr>
      </a:solidFill>
    </a:ln>
  </c:spPr>
  <c:externalData r:id="rId1"/>
</c:chartSpac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75600-21D2-42A7-AA40-1EC01A659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2313</Words>
  <Characters>13647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</vt:lpstr>
    </vt:vector>
  </TitlesOfParts>
  <Company/>
  <LinksUpToDate>false</LinksUpToDate>
  <CharactersWithSpaces>15929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</dc:title>
  <dc:subject/>
  <dc:creator>MZe</dc:creator>
  <cp:keywords/>
  <dc:description/>
  <cp:lastModifiedBy>10000178</cp:lastModifiedBy>
  <cp:revision>2</cp:revision>
  <cp:lastPrinted>2012-01-11T10:54:00Z</cp:lastPrinted>
  <dcterms:created xsi:type="dcterms:W3CDTF">2012-01-13T09:23:00Z</dcterms:created>
  <dcterms:modified xsi:type="dcterms:W3CDTF">2012-01-13T09:23:00Z</dcterms:modified>
</cp:coreProperties>
</file>