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E2680E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344912">
              <w:rPr>
                <w:b/>
                <w:sz w:val="28"/>
              </w:rPr>
              <w:t xml:space="preserve">                   Květen </w:t>
            </w:r>
            <w:r w:rsidR="00E2680E">
              <w:rPr>
                <w:b/>
              </w:rPr>
              <w:t xml:space="preserve"> </w:t>
            </w:r>
            <w:r w:rsidR="00344912">
              <w:rPr>
                <w:b/>
              </w:rPr>
              <w:t>2013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47013D">
              <w:rPr>
                <w:b/>
                <w:sz w:val="28"/>
              </w:rPr>
              <w:t xml:space="preserve">   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FC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D95FE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0C7815" w:rsidRPr="000C7815" w:rsidRDefault="000C7815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2012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0C7815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0C7815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0C7815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0C7815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0C7815" w:rsidRPr="002C020B" w:rsidRDefault="000C7815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0C7815" w:rsidRPr="002C020B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EF560C" w:rsidRPr="00EF560C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043863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2"/>
        <w:gridCol w:w="742"/>
        <w:gridCol w:w="742"/>
        <w:gridCol w:w="742"/>
        <w:gridCol w:w="742"/>
        <w:gridCol w:w="742"/>
        <w:gridCol w:w="742"/>
        <w:gridCol w:w="742"/>
        <w:gridCol w:w="801"/>
        <w:gridCol w:w="792"/>
        <w:gridCol w:w="792"/>
        <w:gridCol w:w="51"/>
      </w:tblGrid>
      <w:tr w:rsidR="00E14253" w:rsidRPr="00B43AF0" w:rsidTr="00E14253">
        <w:trPr>
          <w:trHeight w:val="376"/>
        </w:trPr>
        <w:tc>
          <w:tcPr>
            <w:tcW w:w="10592" w:type="dxa"/>
            <w:gridSpan w:val="12"/>
            <w:shd w:val="clear" w:color="auto" w:fill="B8CCE4"/>
          </w:tcPr>
          <w:p w:rsidR="00E14253" w:rsidRPr="00B43AF0" w:rsidRDefault="00E14253" w:rsidP="00FB58B3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tcBorders>
              <w:top w:val="double" w:sz="4" w:space="0" w:color="auto"/>
              <w:right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01" w:type="dxa"/>
            <w:tcBorders>
              <w:top w:val="double" w:sz="4" w:space="0" w:color="auto"/>
            </w:tcBorders>
          </w:tcPr>
          <w:p w:rsidR="00E14253" w:rsidRPr="00120728" w:rsidRDefault="00E14253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1B15CB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E14253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E14253" w:rsidRDefault="0060057B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 w:rsidR="007B0F9A">
              <w:rPr>
                <w:sz w:val="20"/>
              </w:rPr>
              <w:t>,0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01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01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01" w:type="dxa"/>
            <w:shd w:val="clear" w:color="auto" w:fill="FBD4B4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01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801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33,2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01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9035AF" w:rsidP="000B309D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3574" w:rsidRDefault="00D23574" w:rsidP="000B309D">
      <w:pPr>
        <w:rPr>
          <w:b/>
          <w:noProof/>
        </w:rPr>
      </w:pPr>
      <w:r>
        <w:rPr>
          <w:b/>
          <w:noProof/>
        </w:rPr>
        <w:lastRenderedPageBreak/>
        <w:t>Soupis hospodářských zvířat k 1. 4. 2013</w:t>
      </w:r>
    </w:p>
    <w:p w:rsidR="00D23574" w:rsidRDefault="00D23574" w:rsidP="006B6624">
      <w:pPr>
        <w:jc w:val="both"/>
        <w:rPr>
          <w:b/>
          <w:noProof/>
        </w:rPr>
      </w:pPr>
      <w:r>
        <w:rPr>
          <w:noProof/>
        </w:rPr>
        <w:t xml:space="preserve">Podle soupisu hospodářských zvířat ke dni 1. 4. 2013 došlo v České republice k meziročnímu snížení stavů skotu o 863 ks (tj. o 0,1 %). Celkové stavy krav se zvýšily o 699 ks (tj. o 0,1 %). Na nárůstu celkových stavů krav se podílelo meziroční navýšení krav bez tržní produkce mléka (krávy ostatní) o 6 508 ks (tj. o3,7 %), </w:t>
      </w:r>
      <w:r w:rsidRPr="006B6624">
        <w:rPr>
          <w:b/>
          <w:noProof/>
        </w:rPr>
        <w:t xml:space="preserve">stavy dojných krav k 1. 4. 2013 byly meziročně nižší o 5 809 ks (tj. o </w:t>
      </w:r>
      <w:r w:rsidR="006B6624" w:rsidRPr="006B6624">
        <w:rPr>
          <w:b/>
          <w:noProof/>
        </w:rPr>
        <w:t>1,6 %).</w:t>
      </w:r>
    </w:p>
    <w:p w:rsidR="006B6624" w:rsidRDefault="006B6624" w:rsidP="000B309D">
      <w:pPr>
        <w:rPr>
          <w:b/>
          <w:noProof/>
        </w:rPr>
      </w:pPr>
    </w:p>
    <w:tbl>
      <w:tblPr>
        <w:tblStyle w:val="Mkatabulky"/>
        <w:tblW w:w="0" w:type="auto"/>
        <w:tblLook w:val="04A0"/>
      </w:tblPr>
      <w:tblGrid>
        <w:gridCol w:w="3510"/>
        <w:gridCol w:w="1985"/>
        <w:gridCol w:w="1984"/>
        <w:gridCol w:w="1843"/>
        <w:gridCol w:w="1476"/>
      </w:tblGrid>
      <w:tr w:rsidR="006B6624" w:rsidRPr="006B6624" w:rsidTr="002D5757">
        <w:tc>
          <w:tcPr>
            <w:tcW w:w="3510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Kategorie zvířat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1. 4. 2012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1. 4. 2013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Rozdíl v ks</w:t>
            </w:r>
          </w:p>
        </w:tc>
        <w:tc>
          <w:tcPr>
            <w:tcW w:w="1476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Index v %</w:t>
            </w:r>
          </w:p>
        </w:tc>
      </w:tr>
      <w:tr w:rsidR="006B6624" w:rsidTr="006B6624">
        <w:tc>
          <w:tcPr>
            <w:tcW w:w="3510" w:type="dxa"/>
          </w:tcPr>
          <w:p w:rsidR="006B6624" w:rsidRDefault="006B6624" w:rsidP="006B6624">
            <w:pPr>
              <w:rPr>
                <w:noProof/>
              </w:rPr>
            </w:pPr>
            <w:r>
              <w:rPr>
                <w:noProof/>
              </w:rPr>
              <w:t>Skot celkem</w:t>
            </w:r>
          </w:p>
        </w:tc>
        <w:tc>
          <w:tcPr>
            <w:tcW w:w="1985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1 353 685</w:t>
            </w:r>
          </w:p>
        </w:tc>
        <w:tc>
          <w:tcPr>
            <w:tcW w:w="1984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1 352 822</w:t>
            </w:r>
          </w:p>
        </w:tc>
        <w:tc>
          <w:tcPr>
            <w:tcW w:w="1843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- 863</w:t>
            </w:r>
          </w:p>
        </w:tc>
        <w:tc>
          <w:tcPr>
            <w:tcW w:w="1476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99,9</w:t>
            </w:r>
          </w:p>
        </w:tc>
      </w:tr>
      <w:tr w:rsidR="006B6624" w:rsidTr="006B6624">
        <w:tc>
          <w:tcPr>
            <w:tcW w:w="3510" w:type="dxa"/>
          </w:tcPr>
          <w:p w:rsidR="006B6624" w:rsidRDefault="006B6624" w:rsidP="000B309D">
            <w:pPr>
              <w:rPr>
                <w:noProof/>
              </w:rPr>
            </w:pPr>
            <w:r>
              <w:rPr>
                <w:noProof/>
              </w:rPr>
              <w:t>Z toho krávy celkem</w:t>
            </w:r>
          </w:p>
          <w:p w:rsidR="006B6624" w:rsidRPr="006B6624" w:rsidRDefault="006B6624" w:rsidP="000B309D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-- z toho dojné</w:t>
            </w:r>
          </w:p>
          <w:p w:rsidR="006B6624" w:rsidRDefault="006B6624" w:rsidP="000B309D">
            <w:pPr>
              <w:rPr>
                <w:noProof/>
              </w:rPr>
            </w:pPr>
            <w:r>
              <w:rPr>
                <w:noProof/>
              </w:rPr>
              <w:t xml:space="preserve">               ostatní</w:t>
            </w:r>
          </w:p>
        </w:tc>
        <w:tc>
          <w:tcPr>
            <w:tcW w:w="1985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551 225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373 136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178 089</w:t>
            </w:r>
          </w:p>
        </w:tc>
        <w:tc>
          <w:tcPr>
            <w:tcW w:w="1984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551 924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367 327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184 597</w:t>
            </w:r>
          </w:p>
        </w:tc>
        <w:tc>
          <w:tcPr>
            <w:tcW w:w="1843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+ 699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- 5 809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+ 6 508</w:t>
            </w:r>
          </w:p>
        </w:tc>
        <w:tc>
          <w:tcPr>
            <w:tcW w:w="1476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100,1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98,4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103,7</w:t>
            </w:r>
          </w:p>
        </w:tc>
      </w:tr>
    </w:tbl>
    <w:p w:rsidR="00E553F6" w:rsidRDefault="00E553F6" w:rsidP="00E553F6">
      <w:pPr>
        <w:jc w:val="both"/>
        <w:rPr>
          <w:i/>
          <w:sz w:val="18"/>
        </w:rPr>
      </w:pPr>
      <w:r>
        <w:rPr>
          <w:i/>
          <w:sz w:val="18"/>
        </w:rPr>
        <w:t xml:space="preserve">Pramen: ČSÚ </w:t>
      </w:r>
    </w:p>
    <w:p w:rsidR="001C6242" w:rsidRPr="00B85074" w:rsidRDefault="001C6242" w:rsidP="001C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AF0E9E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Pr="00881E10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626 591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229 293 723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AF0E9E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Pr="00881E10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635 883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211 152 427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AF0E9E" w:rsidRPr="00881E10" w:rsidTr="00E11907">
        <w:trPr>
          <w:trHeight w:val="256"/>
        </w:trPr>
        <w:tc>
          <w:tcPr>
            <w:tcW w:w="1265" w:type="dxa"/>
            <w:shd w:val="clear" w:color="auto" w:fill="auto"/>
            <w:vAlign w:val="center"/>
          </w:tcPr>
          <w:p w:rsidR="00AF0E9E" w:rsidRPr="00881E10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738 792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236 476 864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AF0E9E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Pr="00881E10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Pr="00881E10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681 250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243 039 815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Pr="00881E10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654 413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233 090 753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 w:rsidP="0052310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 xml:space="preserve">599 </w:t>
            </w:r>
            <w:r w:rsidR="0052310C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B0358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234 899 777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634 005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230 683 493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613 472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217 565 620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669 715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221 704 858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666 389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213 330 073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AF0E9E" w:rsidRDefault="00AF0E9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581 285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color w:val="000000"/>
                <w:sz w:val="16"/>
                <w:szCs w:val="16"/>
              </w:rPr>
              <w:t>223 343 852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F0E9E" w:rsidRPr="00AF0E9E" w:rsidRDefault="00AF0E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F0E9E" w:rsidRPr="00881E10" w:rsidTr="00E11907">
        <w:trPr>
          <w:trHeight w:val="281"/>
        </w:trPr>
        <w:tc>
          <w:tcPr>
            <w:tcW w:w="1265" w:type="dxa"/>
            <w:shd w:val="clear" w:color="auto" w:fill="FDE9D9" w:themeFill="accent6" w:themeFillTint="33"/>
            <w:vAlign w:val="center"/>
          </w:tcPr>
          <w:p w:rsidR="00AF0E9E" w:rsidRPr="00881E10" w:rsidRDefault="00AF0E9E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308" w:type="dxa"/>
            <w:shd w:val="clear" w:color="auto" w:fill="FDE9D9" w:themeFill="accent6" w:themeFillTint="33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DE9D9" w:themeFill="accent6" w:themeFillTint="33"/>
            <w:vAlign w:val="bottom"/>
          </w:tcPr>
          <w:p w:rsidR="00AF0E9E" w:rsidRPr="00AF0E9E" w:rsidRDefault="00B0358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7 529 243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AF0E9E" w:rsidRPr="00AF0E9E" w:rsidRDefault="00AF0E9E" w:rsidP="00B03585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2 720 055 </w:t>
            </w:r>
            <w:r w:rsidR="00B0358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  <w:r w:rsidRPr="00AF0E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674 921 748</w:t>
            </w:r>
          </w:p>
        </w:tc>
        <w:tc>
          <w:tcPr>
            <w:tcW w:w="1014" w:type="dxa"/>
            <w:shd w:val="clear" w:color="auto" w:fill="FDE9D9" w:themeFill="accent6" w:themeFillTint="33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2 001 266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AF0E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676 923 014</w:t>
            </w:r>
          </w:p>
        </w:tc>
        <w:tc>
          <w:tcPr>
            <w:tcW w:w="869" w:type="dxa"/>
            <w:shd w:val="clear" w:color="auto" w:fill="FDE9D9" w:themeFill="accent6" w:themeFillTint="33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DE9D9" w:themeFill="accent6" w:themeFillTint="33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DE9D9" w:themeFill="accent6" w:themeFillTint="33"/>
            <w:vAlign w:val="bottom"/>
          </w:tcPr>
          <w:p w:rsidR="00AF0E9E" w:rsidRPr="00AF0E9E" w:rsidRDefault="00AF0E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1.4. kalendářního roku a končí 31.3. následujícího roku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6B1E0C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234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V kvótovém roce 2012/2013 za období duben až </w:t>
      </w:r>
      <w:r w:rsidR="00573A50">
        <w:rPr>
          <w:sz w:val="16"/>
          <w:szCs w:val="16"/>
        </w:rPr>
        <w:t>březen</w:t>
      </w:r>
      <w:r>
        <w:rPr>
          <w:sz w:val="16"/>
          <w:szCs w:val="16"/>
        </w:rPr>
        <w:t xml:space="preserve"> 2012 byla kvóta pro dodávky</w:t>
      </w:r>
      <w:r w:rsidR="00E11907">
        <w:rPr>
          <w:sz w:val="16"/>
          <w:szCs w:val="16"/>
        </w:rPr>
        <w:t xml:space="preserve"> (2</w:t>
      </w:r>
      <w:r w:rsidR="00573A50">
        <w:rPr>
          <w:sz w:val="16"/>
          <w:szCs w:val="16"/>
        </w:rPr>
        <w:t> </w:t>
      </w:r>
      <w:r w:rsidR="00E11907">
        <w:rPr>
          <w:sz w:val="16"/>
          <w:szCs w:val="16"/>
        </w:rPr>
        <w:t>88</w:t>
      </w:r>
      <w:r w:rsidR="00573A50">
        <w:rPr>
          <w:sz w:val="16"/>
          <w:szCs w:val="16"/>
        </w:rPr>
        <w:t xml:space="preserve">3 912 </w:t>
      </w:r>
      <w:r w:rsidR="00E11907">
        <w:rPr>
          <w:sz w:val="16"/>
          <w:szCs w:val="16"/>
        </w:rPr>
        <w:t>t)</w:t>
      </w:r>
      <w:r>
        <w:rPr>
          <w:sz w:val="16"/>
          <w:szCs w:val="16"/>
        </w:rPr>
        <w:t xml:space="preserve"> plněna na </w:t>
      </w:r>
      <w:r w:rsidR="00573A50">
        <w:rPr>
          <w:sz w:val="16"/>
          <w:szCs w:val="16"/>
        </w:rPr>
        <w:t>94,25</w:t>
      </w:r>
      <w:r w:rsidR="00F234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%, kvóta pro přímý prodej </w:t>
      </w:r>
      <w:r w:rsidR="00E11907">
        <w:rPr>
          <w:sz w:val="16"/>
          <w:szCs w:val="16"/>
        </w:rPr>
        <w:t>(</w:t>
      </w:r>
      <w:r w:rsidR="00573A50">
        <w:rPr>
          <w:sz w:val="16"/>
          <w:szCs w:val="16"/>
        </w:rPr>
        <w:t>22 172</w:t>
      </w:r>
      <w:r w:rsidR="00E11907">
        <w:rPr>
          <w:sz w:val="16"/>
          <w:szCs w:val="16"/>
        </w:rPr>
        <w:t xml:space="preserve"> t) </w:t>
      </w:r>
      <w:r>
        <w:rPr>
          <w:sz w:val="16"/>
          <w:szCs w:val="16"/>
        </w:rPr>
        <w:t xml:space="preserve">na </w:t>
      </w:r>
      <w:r w:rsidR="00573A50">
        <w:rPr>
          <w:sz w:val="16"/>
          <w:szCs w:val="16"/>
        </w:rPr>
        <w:t>35,01 % (předběžný údaj).</w:t>
      </w:r>
    </w:p>
    <w:p w:rsidR="000D17ED" w:rsidRPr="00F017D7" w:rsidRDefault="000D17ED" w:rsidP="000D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C6242" w:rsidRDefault="001C6242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E2680E">
        <w:trPr>
          <w:trHeight w:val="313"/>
        </w:trPr>
        <w:tc>
          <w:tcPr>
            <w:tcW w:w="3500" w:type="dxa"/>
            <w:vMerge w:val="restart"/>
            <w:shd w:val="clear" w:color="auto" w:fill="DBE5F1" w:themeFill="accent1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E2680E">
              <w:rPr>
                <w:b/>
                <w:sz w:val="28"/>
                <w:szCs w:val="28"/>
                <w:shd w:val="clear" w:color="auto" w:fill="DBE5F1" w:themeFill="accent1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E2680E">
        <w:trPr>
          <w:trHeight w:val="264"/>
        </w:trPr>
        <w:tc>
          <w:tcPr>
            <w:tcW w:w="3500" w:type="dxa"/>
            <w:vMerge/>
            <w:shd w:val="clear" w:color="auto" w:fill="DBE5F1" w:themeFill="accent1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9035AF" w:rsidRPr="00F017D7" w:rsidRDefault="00BA0C2F" w:rsidP="007804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7804CC">
              <w:rPr>
                <w:b/>
                <w:sz w:val="20"/>
              </w:rPr>
              <w:t>březen</w:t>
            </w:r>
          </w:p>
        </w:tc>
        <w:tc>
          <w:tcPr>
            <w:tcW w:w="1696" w:type="dxa"/>
            <w:shd w:val="clear" w:color="auto" w:fill="auto"/>
          </w:tcPr>
          <w:p w:rsidR="009035AF" w:rsidRPr="00F017D7" w:rsidRDefault="00BA0C2F" w:rsidP="007804C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7804CC">
              <w:rPr>
                <w:b/>
                <w:sz w:val="20"/>
              </w:rPr>
              <w:t>březen</w:t>
            </w:r>
          </w:p>
        </w:tc>
        <w:tc>
          <w:tcPr>
            <w:tcW w:w="1413" w:type="dxa"/>
            <w:shd w:val="clear" w:color="auto" w:fill="auto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7804CC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F017D7" w:rsidRDefault="007804CC" w:rsidP="001F3EDF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596 107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581 178,0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-14 929,0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97,5</w:t>
            </w:r>
          </w:p>
        </w:tc>
      </w:tr>
      <w:tr w:rsidR="007804CC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7804CC" w:rsidRPr="00F017D7" w:rsidRDefault="007804CC" w:rsidP="001F3EDF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F017D7">
              <w:rPr>
                <w:sz w:val="20"/>
              </w:rPr>
              <w:t xml:space="preserve"> v I. a vyšší třídě</w:t>
            </w:r>
          </w:p>
        </w:tc>
        <w:tc>
          <w:tcPr>
            <w:tcW w:w="861" w:type="dxa"/>
            <w:shd w:val="clear" w:color="auto" w:fill="FDE9D9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588 769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572 041,0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-16 728,0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97,2</w:t>
            </w:r>
          </w:p>
        </w:tc>
      </w:tr>
      <w:tr w:rsidR="007804CC" w:rsidRPr="00F017D7" w:rsidTr="006B06F4">
        <w:trPr>
          <w:trHeight w:val="219"/>
        </w:trPr>
        <w:tc>
          <w:tcPr>
            <w:tcW w:w="3500" w:type="dxa"/>
            <w:shd w:val="clear" w:color="auto" w:fill="FDE9D9"/>
          </w:tcPr>
          <w:p w:rsidR="007804CC" w:rsidRPr="00F017D7" w:rsidRDefault="007804CC" w:rsidP="001F3EDF">
            <w:pPr>
              <w:rPr>
                <w:sz w:val="20"/>
              </w:rPr>
            </w:pPr>
            <w:r>
              <w:rPr>
                <w:sz w:val="20"/>
              </w:rPr>
              <w:t xml:space="preserve">z toho:  </w:t>
            </w:r>
            <w:r w:rsidRPr="00F017D7">
              <w:rPr>
                <w:sz w:val="20"/>
              </w:rPr>
              <w:t xml:space="preserve">vývoz syrového mléka </w:t>
            </w:r>
          </w:p>
        </w:tc>
        <w:tc>
          <w:tcPr>
            <w:tcW w:w="861" w:type="dxa"/>
            <w:shd w:val="clear" w:color="auto" w:fill="FDE9D9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61 549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42 265,7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-19 283,3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68,7</w:t>
            </w:r>
          </w:p>
        </w:tc>
      </w:tr>
      <w:tr w:rsidR="007804CC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7804CC" w:rsidRPr="00F017D7" w:rsidRDefault="007804CC" w:rsidP="001F3EDF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3,96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3,97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7804CC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F017D7" w:rsidRDefault="007804CC" w:rsidP="001F3EDF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3,45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3,45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7804CC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7804CC" w:rsidRPr="00F017D7" w:rsidRDefault="007804CC" w:rsidP="001F3EDF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8,26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8,04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-0,22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97,3</w:t>
            </w:r>
          </w:p>
        </w:tc>
      </w:tr>
      <w:tr w:rsidR="007804CC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F017D7" w:rsidRDefault="007804CC" w:rsidP="001F3EDF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8,27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8,05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-0,22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97,3</w:t>
            </w:r>
          </w:p>
        </w:tc>
      </w:tr>
      <w:tr w:rsidR="001F3EDF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1F3EDF" w:rsidRPr="00F017D7" w:rsidRDefault="001F3EDF" w:rsidP="001F3ED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7804CC" w:rsidRPr="00F017D7" w:rsidTr="00FF429A">
        <w:trPr>
          <w:trHeight w:val="280"/>
        </w:trPr>
        <w:tc>
          <w:tcPr>
            <w:tcW w:w="3500" w:type="dxa"/>
            <w:shd w:val="clear" w:color="auto" w:fill="FDE9D9"/>
          </w:tcPr>
          <w:p w:rsidR="007804CC" w:rsidRPr="00F017D7" w:rsidRDefault="007804CC" w:rsidP="001F3EDF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7804CC" w:rsidRPr="00F017D7" w:rsidRDefault="007804CC" w:rsidP="001F3ED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158 855,70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162 698,5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3 842,8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102,4</w:t>
            </w:r>
          </w:p>
        </w:tc>
      </w:tr>
      <w:tr w:rsidR="007804CC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804CC" w:rsidRPr="00F017D7" w:rsidRDefault="007804CC" w:rsidP="001F3EDF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23 905,70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31 406,5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7 500,8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131,4</w:t>
            </w:r>
          </w:p>
        </w:tc>
      </w:tr>
      <w:tr w:rsidR="007804CC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804CC" w:rsidRPr="00F017D7" w:rsidRDefault="007804CC" w:rsidP="001F3EDF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7804CC" w:rsidRPr="00F017D7" w:rsidRDefault="007804CC" w:rsidP="001F3ED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134 452,40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130 603,0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-3 849,4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97,1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804CC" w:rsidRPr="006822A0" w:rsidRDefault="007804CC" w:rsidP="001F3EDF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7804CC" w:rsidRPr="006822A0" w:rsidRDefault="007804CC" w:rsidP="001F3EDF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497,6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689,0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191,4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138,5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11 402,60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11 763,8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361,2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103,2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804CC" w:rsidRPr="000D34BD" w:rsidRDefault="007804CC" w:rsidP="001F3EDF">
            <w:pPr>
              <w:rPr>
                <w:sz w:val="20"/>
              </w:rPr>
            </w:pPr>
            <w:r>
              <w:rPr>
                <w:sz w:val="20"/>
              </w:rPr>
              <w:t xml:space="preserve">- 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7804CC" w:rsidRPr="00A22ECF" w:rsidRDefault="007804CC" w:rsidP="001F3EDF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3 478,40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4 147,3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668,9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119,2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804CC" w:rsidRPr="000D34BD" w:rsidRDefault="007804CC" w:rsidP="001F3EDF">
            <w:pPr>
              <w:rPr>
                <w:sz w:val="20"/>
              </w:rPr>
            </w:pPr>
            <w:r>
              <w:rPr>
                <w:sz w:val="20"/>
              </w:rPr>
              <w:t>- smetany s 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. tuku </w:t>
            </w:r>
            <w:proofErr w:type="spellStart"/>
            <w:r>
              <w:rPr>
                <w:sz w:val="20"/>
              </w:rPr>
              <w:t>nejm</w:t>
            </w:r>
            <w:proofErr w:type="spellEnd"/>
            <w:r>
              <w:rPr>
                <w:sz w:val="20"/>
              </w:rPr>
              <w:t>. 30 %</w:t>
            </w:r>
          </w:p>
        </w:tc>
        <w:tc>
          <w:tcPr>
            <w:tcW w:w="861" w:type="dxa"/>
            <w:shd w:val="clear" w:color="auto" w:fill="auto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4 764,50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4 640,0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-124,5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97,4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35 066,50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34 395,9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-670,6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98,1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10 181,00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11 856,8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1 675,8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116,5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804CC" w:rsidRPr="00CF7A31" w:rsidRDefault="007804CC" w:rsidP="001F3EDF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61" w:type="dxa"/>
            <w:shd w:val="clear" w:color="auto" w:fill="auto"/>
          </w:tcPr>
          <w:p w:rsidR="007804CC" w:rsidRPr="00CF7A31" w:rsidRDefault="007804CC" w:rsidP="001F3ED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4 237,20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2 375,0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-1 862,2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56,1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804CC" w:rsidRPr="00CF7A31" w:rsidRDefault="007804CC" w:rsidP="001F3EDF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61" w:type="dxa"/>
            <w:shd w:val="clear" w:color="auto" w:fill="auto"/>
          </w:tcPr>
          <w:p w:rsidR="007804CC" w:rsidRPr="00CF7A31" w:rsidRDefault="007804CC" w:rsidP="001F3ED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5 943,80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9 481,8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3 538,0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159,5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9 944,60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9 806,2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-138,4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98,6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804CC" w:rsidRPr="00017D30" w:rsidRDefault="007804CC" w:rsidP="001F3EDF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7804CC" w:rsidRPr="00017D30" w:rsidRDefault="007804CC" w:rsidP="001F3EDF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1495,7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1 654,0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158,3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110,6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7 679,20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8 264,0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584,8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107,6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23 178,80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25 076,2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1 897,4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108,2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804CC" w:rsidRPr="00CF7A31" w:rsidRDefault="007804CC" w:rsidP="001F3EDF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7804CC" w:rsidRPr="00CF7A31" w:rsidRDefault="007804CC" w:rsidP="001F3ED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19 380,60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20 916,7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1 536,1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107,9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804CC" w:rsidRPr="00CF7A31" w:rsidRDefault="007804CC" w:rsidP="001F3EDF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7804CC" w:rsidRPr="00CF7A31" w:rsidRDefault="007804CC" w:rsidP="001F3ED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3 798,20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4 159,5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361,3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109,5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3 195,00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2 926,0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-269,0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91,6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1 078,10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1 124,4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46,3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104,3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2 550,80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2 632,2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81,4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103,2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CF7A31" w:rsidRDefault="007804CC" w:rsidP="001F3ED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7804CC" w:rsidRPr="00CF7A31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7 618,40</w:t>
            </w:r>
          </w:p>
        </w:tc>
        <w:tc>
          <w:tcPr>
            <w:tcW w:w="1696" w:type="dxa"/>
            <w:shd w:val="clear" w:color="auto" w:fill="FDE9D9"/>
          </w:tcPr>
          <w:p w:rsidR="007804CC" w:rsidRPr="00FF429A" w:rsidRDefault="00FF42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FF429A">
              <w:rPr>
                <w:b/>
                <w:color w:val="000000"/>
                <w:sz w:val="20"/>
              </w:rPr>
              <w:t>7 659,4</w:t>
            </w:r>
          </w:p>
        </w:tc>
        <w:tc>
          <w:tcPr>
            <w:tcW w:w="1413" w:type="dxa"/>
            <w:shd w:val="clear" w:color="auto" w:fill="FDE9D9"/>
          </w:tcPr>
          <w:p w:rsidR="007804CC" w:rsidRDefault="00FF42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41,0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 w:rsidP="008B492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  <w:r w:rsidR="008B492F">
              <w:rPr>
                <w:b/>
                <w:bCs/>
                <w:color w:val="000000"/>
                <w:sz w:val="20"/>
              </w:rPr>
              <w:t>0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="008B492F">
              <w:rPr>
                <w:b/>
                <w:bCs/>
                <w:color w:val="000000"/>
                <w:sz w:val="20"/>
              </w:rPr>
              <w:t>5</w:t>
            </w:r>
          </w:p>
        </w:tc>
      </w:tr>
      <w:tr w:rsidR="007804CC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7804CC" w:rsidRPr="00CF7A31" w:rsidRDefault="007804CC" w:rsidP="001F3EDF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7804CC" w:rsidRPr="00CF7A31" w:rsidRDefault="007804CC" w:rsidP="001F3ED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4 371,60</w:t>
            </w:r>
          </w:p>
        </w:tc>
        <w:tc>
          <w:tcPr>
            <w:tcW w:w="1696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4 104,4</w:t>
            </w:r>
          </w:p>
        </w:tc>
        <w:tc>
          <w:tcPr>
            <w:tcW w:w="1413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-267,2</w:t>
            </w:r>
          </w:p>
        </w:tc>
        <w:tc>
          <w:tcPr>
            <w:tcW w:w="1537" w:type="dxa"/>
            <w:shd w:val="clear" w:color="auto" w:fill="auto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93,9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7804CC" w:rsidRPr="00CF7A31" w:rsidRDefault="007804CC" w:rsidP="001F3EDF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7804CC" w:rsidRPr="00CF7A31" w:rsidRDefault="007804CC" w:rsidP="001F3ED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3 246,80</w:t>
            </w:r>
          </w:p>
        </w:tc>
        <w:tc>
          <w:tcPr>
            <w:tcW w:w="1696" w:type="dxa"/>
            <w:shd w:val="clear" w:color="auto" w:fill="auto"/>
          </w:tcPr>
          <w:p w:rsidR="007804CC" w:rsidRDefault="00FF429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3 555,0</w:t>
            </w:r>
          </w:p>
        </w:tc>
        <w:tc>
          <w:tcPr>
            <w:tcW w:w="1413" w:type="dxa"/>
            <w:shd w:val="clear" w:color="auto" w:fill="auto"/>
          </w:tcPr>
          <w:p w:rsidR="007804CC" w:rsidRDefault="00FF429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308</w:t>
            </w:r>
            <w:r w:rsidR="007804CC">
              <w:rPr>
                <w:b/>
                <w:bCs/>
                <w:color w:val="000000"/>
                <w:sz w:val="20"/>
              </w:rPr>
              <w:t>,2</w:t>
            </w:r>
          </w:p>
        </w:tc>
        <w:tc>
          <w:tcPr>
            <w:tcW w:w="1537" w:type="dxa"/>
            <w:shd w:val="clear" w:color="auto" w:fill="auto"/>
          </w:tcPr>
          <w:p w:rsidR="007804CC" w:rsidRDefault="008B492F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109,5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3F4FB3" w:rsidRDefault="007804CC" w:rsidP="001F3EDF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7804CC" w:rsidRPr="003F4FB3" w:rsidRDefault="007804CC" w:rsidP="001F3EDF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3 408,10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2 742,9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-665,2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80,5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3F4FB3" w:rsidRDefault="007804CC" w:rsidP="001F3E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7804CC" w:rsidRPr="003F4FB3" w:rsidRDefault="007804CC" w:rsidP="001F3E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10 477,90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7 244,3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-3 233,6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69,1</w:t>
            </w:r>
          </w:p>
        </w:tc>
      </w:tr>
      <w:tr w:rsidR="007804CC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7804CC" w:rsidRPr="003F4FB3" w:rsidRDefault="007804CC" w:rsidP="001F3E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7804CC" w:rsidRPr="003F4FB3" w:rsidRDefault="007804CC" w:rsidP="001F3ED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9 972,60</w:t>
            </w:r>
          </w:p>
        </w:tc>
        <w:tc>
          <w:tcPr>
            <w:tcW w:w="1696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9 851,3</w:t>
            </w:r>
          </w:p>
        </w:tc>
        <w:tc>
          <w:tcPr>
            <w:tcW w:w="1413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-121,3</w:t>
            </w:r>
          </w:p>
        </w:tc>
        <w:tc>
          <w:tcPr>
            <w:tcW w:w="1537" w:type="dxa"/>
            <w:shd w:val="clear" w:color="auto" w:fill="FDE9D9"/>
          </w:tcPr>
          <w:p w:rsidR="007804CC" w:rsidRDefault="007804CC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98,8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A5848" w:rsidRDefault="001A5848" w:rsidP="009574AB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A657ED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B30D53" w:rsidRDefault="00B30D53" w:rsidP="009A018E">
      <w:pPr>
        <w:rPr>
          <w:b/>
        </w:rPr>
      </w:pPr>
    </w:p>
    <w:p w:rsidR="00B30D53" w:rsidRDefault="00B30D53" w:rsidP="009A018E">
      <w:pPr>
        <w:rPr>
          <w:b/>
        </w:rPr>
      </w:pPr>
    </w:p>
    <w:p w:rsidR="00586889" w:rsidRDefault="009D1555" w:rsidP="009A018E">
      <w:pPr>
        <w:rPr>
          <w:sz w:val="18"/>
          <w:szCs w:val="18"/>
        </w:rPr>
      </w:pPr>
      <w:r w:rsidRPr="009D1555">
        <w:rPr>
          <w:noProof/>
          <w:sz w:val="18"/>
          <w:szCs w:val="18"/>
        </w:rPr>
        <w:lastRenderedPageBreak/>
        <w:drawing>
          <wp:inline distT="0" distB="0" distL="0" distR="0">
            <wp:extent cx="6711359" cy="3827721"/>
            <wp:effectExtent l="19050" t="0" r="13291" b="1329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0FFC" w:rsidRDefault="00DD0FFC" w:rsidP="009A018E">
      <w:pPr>
        <w:rPr>
          <w:sz w:val="18"/>
          <w:szCs w:val="18"/>
        </w:rPr>
      </w:pPr>
    </w:p>
    <w:p w:rsidR="00DD0FFC" w:rsidRDefault="008452D1" w:rsidP="009A018E">
      <w:pPr>
        <w:rPr>
          <w:sz w:val="18"/>
          <w:szCs w:val="18"/>
        </w:rPr>
      </w:pPr>
      <w:r w:rsidRPr="008452D1">
        <w:rPr>
          <w:noProof/>
          <w:sz w:val="18"/>
          <w:szCs w:val="18"/>
        </w:rPr>
        <w:drawing>
          <wp:inline distT="0" distB="0" distL="0" distR="0">
            <wp:extent cx="6775154" cy="3774558"/>
            <wp:effectExtent l="19050" t="0" r="25696" b="0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0F84" w:rsidRDefault="00FD0F84" w:rsidP="00FD0F84">
      <w:pPr>
        <w:rPr>
          <w:b/>
          <w:szCs w:val="24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CB679D">
        <w:trPr>
          <w:trHeight w:val="464"/>
        </w:trPr>
        <w:tc>
          <w:tcPr>
            <w:tcW w:w="1794" w:type="dxa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FD0F84" w:rsidTr="00CB679D">
        <w:trPr>
          <w:trHeight w:val="243"/>
        </w:trPr>
        <w:tc>
          <w:tcPr>
            <w:tcW w:w="1794" w:type="dxa"/>
          </w:tcPr>
          <w:p w:rsidR="00FD0F84" w:rsidRDefault="00FD0F84" w:rsidP="00503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1/2012</w:t>
            </w:r>
          </w:p>
        </w:tc>
        <w:tc>
          <w:tcPr>
            <w:tcW w:w="1794" w:type="dxa"/>
          </w:tcPr>
          <w:p w:rsidR="00FD0F84" w:rsidRDefault="00FD0F84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4425 - 4675</w:t>
            </w:r>
          </w:p>
        </w:tc>
        <w:tc>
          <w:tcPr>
            <w:tcW w:w="1794" w:type="dxa"/>
          </w:tcPr>
          <w:p w:rsidR="00FD0F84" w:rsidRDefault="00FD0F84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2950 - 3150</w:t>
            </w:r>
          </w:p>
        </w:tc>
        <w:tc>
          <w:tcPr>
            <w:tcW w:w="1794" w:type="dxa"/>
          </w:tcPr>
          <w:p w:rsidR="00FD0F84" w:rsidRDefault="00FD0F84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3575 - 3950</w:t>
            </w:r>
          </w:p>
        </w:tc>
        <w:tc>
          <w:tcPr>
            <w:tcW w:w="1795" w:type="dxa"/>
          </w:tcPr>
          <w:p w:rsidR="00FD0F84" w:rsidRDefault="00FD0F84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4950 - 5225</w:t>
            </w:r>
          </w:p>
        </w:tc>
        <w:tc>
          <w:tcPr>
            <w:tcW w:w="1795" w:type="dxa"/>
          </w:tcPr>
          <w:p w:rsidR="00FD0F84" w:rsidRDefault="00FD0F84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4400 - 4675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3500 - 3700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3950 - 4200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1275 - 1475</w:t>
            </w:r>
          </w:p>
        </w:tc>
      </w:tr>
      <w:tr w:rsidR="00E96DA0" w:rsidTr="00CB679D">
        <w:trPr>
          <w:trHeight w:val="243"/>
        </w:trPr>
        <w:tc>
          <w:tcPr>
            <w:tcW w:w="1794" w:type="dxa"/>
          </w:tcPr>
          <w:p w:rsidR="00E96DA0" w:rsidRDefault="00E96DA0" w:rsidP="00FF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13/2013</w:t>
            </w:r>
          </w:p>
        </w:tc>
        <w:tc>
          <w:tcPr>
            <w:tcW w:w="1794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– 4775</w:t>
            </w:r>
          </w:p>
        </w:tc>
        <w:tc>
          <w:tcPr>
            <w:tcW w:w="1794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3450 - 3875</w:t>
            </w:r>
          </w:p>
        </w:tc>
        <w:tc>
          <w:tcPr>
            <w:tcW w:w="1794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4000 - 4650</w:t>
            </w:r>
          </w:p>
        </w:tc>
        <w:tc>
          <w:tcPr>
            <w:tcW w:w="1795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95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1200 - 1350</w:t>
            </w:r>
          </w:p>
        </w:tc>
      </w:tr>
      <w:tr w:rsidR="00E96DA0" w:rsidTr="00CB679D">
        <w:trPr>
          <w:trHeight w:val="243"/>
        </w:trPr>
        <w:tc>
          <w:tcPr>
            <w:tcW w:w="1794" w:type="dxa"/>
          </w:tcPr>
          <w:p w:rsidR="00E96DA0" w:rsidRDefault="00E96DA0" w:rsidP="00503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17/2013</w:t>
            </w:r>
          </w:p>
        </w:tc>
        <w:tc>
          <w:tcPr>
            <w:tcW w:w="1794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4900 - 5500</w:t>
            </w:r>
          </w:p>
        </w:tc>
        <w:tc>
          <w:tcPr>
            <w:tcW w:w="1794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4000 - 4525</w:t>
            </w:r>
          </w:p>
        </w:tc>
        <w:tc>
          <w:tcPr>
            <w:tcW w:w="1794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4500 - 5100</w:t>
            </w:r>
          </w:p>
        </w:tc>
        <w:tc>
          <w:tcPr>
            <w:tcW w:w="1795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5500 - 6100</w:t>
            </w:r>
          </w:p>
        </w:tc>
        <w:tc>
          <w:tcPr>
            <w:tcW w:w="1795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1300 - 1525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BF749F" w:rsidRPr="007B426C" w:rsidRDefault="008457DD" w:rsidP="00DD0F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lastRenderedPageBreak/>
        <w:t>Zah</w:t>
      </w:r>
      <w:r w:rsidR="00BF749F" w:rsidRPr="007B426C">
        <w:rPr>
          <w:b/>
        </w:rPr>
        <w:t xml:space="preserve">raniční obchod </w:t>
      </w:r>
      <w:r w:rsidR="0052310C">
        <w:rPr>
          <w:b/>
        </w:rPr>
        <w:t xml:space="preserve">leden </w:t>
      </w:r>
      <w:r w:rsidR="00AC0CD4">
        <w:rPr>
          <w:b/>
        </w:rPr>
        <w:t xml:space="preserve">- </w:t>
      </w:r>
      <w:r w:rsidR="00572B77">
        <w:rPr>
          <w:b/>
        </w:rPr>
        <w:t>březen</w:t>
      </w:r>
      <w:r w:rsidR="00BF749F">
        <w:rPr>
          <w:b/>
        </w:rPr>
        <w:t xml:space="preserve"> 20</w:t>
      </w:r>
      <w:r w:rsidR="0085644D">
        <w:rPr>
          <w:b/>
        </w:rPr>
        <w:t>1</w:t>
      </w:r>
      <w:r w:rsidR="006136AD">
        <w:rPr>
          <w:b/>
        </w:rPr>
        <w:t>2</w:t>
      </w:r>
      <w:r w:rsidR="00BF749F">
        <w:rPr>
          <w:b/>
        </w:rPr>
        <w:t xml:space="preserve"> a 201</w:t>
      </w:r>
      <w:r w:rsidR="006136AD">
        <w:rPr>
          <w:b/>
        </w:rPr>
        <w:t>3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572B77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Březen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6136AD"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</w:tr>
      <w:tr w:rsidR="00BF749F" w:rsidRPr="007D3526" w:rsidTr="00AF5046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AF504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6B6624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3 970 761</w:t>
            </w:r>
          </w:p>
        </w:tc>
        <w:tc>
          <w:tcPr>
            <w:tcW w:w="1769" w:type="dxa"/>
            <w:vAlign w:val="center"/>
          </w:tcPr>
          <w:p w:rsidR="00BF749F" w:rsidRPr="007D3526" w:rsidRDefault="006B6624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3 926 245</w:t>
            </w:r>
          </w:p>
        </w:tc>
        <w:tc>
          <w:tcPr>
            <w:tcW w:w="1769" w:type="dxa"/>
            <w:vAlign w:val="center"/>
          </w:tcPr>
          <w:p w:rsidR="00BF749F" w:rsidRPr="007D3526" w:rsidRDefault="006B6624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- 44 516</w:t>
            </w:r>
          </w:p>
        </w:tc>
        <w:tc>
          <w:tcPr>
            <w:tcW w:w="1569" w:type="dxa"/>
            <w:vAlign w:val="center"/>
          </w:tcPr>
          <w:p w:rsidR="00BF749F" w:rsidRPr="007D3526" w:rsidRDefault="006B6624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98,9</w:t>
            </w:r>
          </w:p>
        </w:tc>
      </w:tr>
      <w:tr w:rsidR="00BF749F" w:rsidRPr="007D3526" w:rsidTr="00AF504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6B6624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2 795 381</w:t>
            </w:r>
          </w:p>
        </w:tc>
        <w:tc>
          <w:tcPr>
            <w:tcW w:w="1769" w:type="dxa"/>
            <w:vAlign w:val="center"/>
          </w:tcPr>
          <w:p w:rsidR="00BF749F" w:rsidRPr="007D3526" w:rsidRDefault="006B6624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2 764 532</w:t>
            </w:r>
          </w:p>
        </w:tc>
        <w:tc>
          <w:tcPr>
            <w:tcW w:w="1769" w:type="dxa"/>
            <w:vAlign w:val="center"/>
          </w:tcPr>
          <w:p w:rsidR="00BF749F" w:rsidRPr="007D3526" w:rsidRDefault="006B6624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- 30 849</w:t>
            </w:r>
          </w:p>
        </w:tc>
        <w:tc>
          <w:tcPr>
            <w:tcW w:w="1569" w:type="dxa"/>
            <w:vAlign w:val="center"/>
          </w:tcPr>
          <w:p w:rsidR="00BF749F" w:rsidRPr="007D3526" w:rsidRDefault="006B6624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98,9</w:t>
            </w:r>
          </w:p>
        </w:tc>
      </w:tr>
      <w:tr w:rsidR="00BF749F" w:rsidRPr="007D3526" w:rsidTr="00AF504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6B6624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1 175 380</w:t>
            </w:r>
          </w:p>
        </w:tc>
        <w:tc>
          <w:tcPr>
            <w:tcW w:w="1769" w:type="dxa"/>
            <w:vAlign w:val="center"/>
          </w:tcPr>
          <w:p w:rsidR="00BF749F" w:rsidRPr="007D3526" w:rsidRDefault="006B6624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1 161 713</w:t>
            </w:r>
          </w:p>
        </w:tc>
        <w:tc>
          <w:tcPr>
            <w:tcW w:w="1769" w:type="dxa"/>
            <w:vAlign w:val="center"/>
          </w:tcPr>
          <w:p w:rsidR="00BF749F" w:rsidRPr="007D3526" w:rsidRDefault="006B6624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- 13 667</w:t>
            </w:r>
          </w:p>
        </w:tc>
        <w:tc>
          <w:tcPr>
            <w:tcW w:w="1569" w:type="dxa"/>
            <w:vAlign w:val="center"/>
          </w:tcPr>
          <w:p w:rsidR="00BF749F" w:rsidRPr="007D3526" w:rsidRDefault="006B6624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98,8</w:t>
            </w:r>
          </w:p>
        </w:tc>
      </w:tr>
      <w:tr w:rsidR="00BF749F" w:rsidRPr="007D3526" w:rsidTr="00AF504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6B6624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6 766 142</w:t>
            </w:r>
          </w:p>
        </w:tc>
        <w:tc>
          <w:tcPr>
            <w:tcW w:w="1769" w:type="dxa"/>
            <w:vAlign w:val="center"/>
          </w:tcPr>
          <w:p w:rsidR="00BF749F" w:rsidRPr="007D3526" w:rsidRDefault="006B6624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6 690 777</w:t>
            </w:r>
          </w:p>
        </w:tc>
        <w:tc>
          <w:tcPr>
            <w:tcW w:w="1769" w:type="dxa"/>
            <w:vAlign w:val="center"/>
          </w:tcPr>
          <w:p w:rsidR="00BF749F" w:rsidRPr="007D3526" w:rsidRDefault="006B6624" w:rsidP="00934E0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- 75 365</w:t>
            </w:r>
          </w:p>
        </w:tc>
        <w:tc>
          <w:tcPr>
            <w:tcW w:w="1569" w:type="dxa"/>
            <w:vAlign w:val="center"/>
          </w:tcPr>
          <w:p w:rsidR="00BF749F" w:rsidRPr="007D3526" w:rsidRDefault="006B6624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98,9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DD0FFC" w:rsidRDefault="00DD0FFC" w:rsidP="00BF749F">
      <w:pPr>
        <w:rPr>
          <w:i/>
          <w:sz w:val="18"/>
          <w:szCs w:val="18"/>
        </w:rPr>
      </w:pPr>
    </w:p>
    <w:p w:rsidR="006859F0" w:rsidRPr="006859F0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26 % z celkové finanční hodnoty vývozu </w:t>
      </w:r>
    </w:p>
    <w:p w:rsidR="00BA1FE1" w:rsidRPr="00A079D8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Vývoz sýrů a tvarohů tvoří 25,6 % celkové finanční hodnoty vývozu mléka a mlékárenských výrobků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0921FC" w:rsidRDefault="000921FC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Celková bilance dovozu a vývozu mléka a mléčných výrobků je meziročně </w:t>
      </w:r>
      <w:r w:rsidR="0084346C">
        <w:rPr>
          <w:sz w:val="22"/>
          <w:szCs w:val="22"/>
        </w:rPr>
        <w:t xml:space="preserve">nižší o </w:t>
      </w:r>
      <w:r w:rsidR="006859F0">
        <w:rPr>
          <w:sz w:val="22"/>
          <w:szCs w:val="22"/>
        </w:rPr>
        <w:t>1,2</w:t>
      </w:r>
      <w:r>
        <w:rPr>
          <w:sz w:val="22"/>
          <w:szCs w:val="22"/>
        </w:rPr>
        <w:t xml:space="preserve"> %.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6136AD" w:rsidP="00BF749F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84346C">
        <w:rPr>
          <w:b/>
        </w:rPr>
        <w:t xml:space="preserve">až </w:t>
      </w:r>
      <w:r w:rsidR="00572B77">
        <w:rPr>
          <w:b/>
        </w:rPr>
        <w:t>březen</w:t>
      </w:r>
      <w:r w:rsidR="0084346C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>
        <w:rPr>
          <w:b/>
        </w:rPr>
        <w:t>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AF5046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52310C" w:rsidP="006136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</w:t>
            </w:r>
            <w:r w:rsidR="007C5152">
              <w:rPr>
                <w:b/>
                <w:sz w:val="16"/>
                <w:szCs w:val="16"/>
              </w:rPr>
              <w:t xml:space="preserve"> </w:t>
            </w:r>
            <w:r w:rsidR="00572B77">
              <w:rPr>
                <w:b/>
                <w:sz w:val="16"/>
                <w:szCs w:val="16"/>
              </w:rPr>
              <w:t>I</w:t>
            </w:r>
            <w:r w:rsidR="007B0F9A">
              <w:rPr>
                <w:b/>
                <w:sz w:val="16"/>
                <w:szCs w:val="16"/>
              </w:rPr>
              <w:t>I</w:t>
            </w:r>
            <w:r w:rsidR="007C4C8F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6136AD">
              <w:rPr>
                <w:sz w:val="20"/>
              </w:rPr>
              <w:t>2</w:t>
            </w:r>
          </w:p>
          <w:p w:rsidR="00025012" w:rsidRPr="007B426C" w:rsidRDefault="00025012" w:rsidP="006136A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6136AD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17 377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18 011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173 454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149 994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156 077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131 983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84346C" w:rsidRDefault="006859F0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18,02</w:t>
            </w:r>
          </w:p>
          <w:p w:rsidR="006859F0" w:rsidRPr="007B426C" w:rsidRDefault="006859F0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16,77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10,10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10,72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8434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313 206</w:t>
            </w:r>
          </w:p>
          <w:p w:rsidR="006859F0" w:rsidRPr="007B42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302 102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076E30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1 751 262</w:t>
            </w:r>
          </w:p>
          <w:p w:rsidR="006859F0" w:rsidRPr="007B42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1 607 190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076E30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1 438 056</w:t>
            </w:r>
          </w:p>
          <w:p w:rsidR="006859F0" w:rsidRPr="007B42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1 305 088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1 692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1 391</w:t>
            </w:r>
          </w:p>
        </w:tc>
        <w:tc>
          <w:tcPr>
            <w:tcW w:w="932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8 924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7 231</w:t>
            </w:r>
          </w:p>
        </w:tc>
        <w:tc>
          <w:tcPr>
            <w:tcW w:w="964" w:type="dxa"/>
            <w:vAlign w:val="center"/>
          </w:tcPr>
          <w:p w:rsidR="0084346C" w:rsidRDefault="006859F0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7 232</w:t>
            </w:r>
          </w:p>
          <w:p w:rsidR="006859F0" w:rsidRPr="007B426C" w:rsidRDefault="006859F0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5 840</w:t>
            </w:r>
          </w:p>
        </w:tc>
        <w:tc>
          <w:tcPr>
            <w:tcW w:w="688" w:type="dxa"/>
            <w:vAlign w:val="center"/>
          </w:tcPr>
          <w:p w:rsidR="0084346C" w:rsidRDefault="006859F0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41,19</w:t>
            </w:r>
          </w:p>
          <w:p w:rsidR="006859F0" w:rsidRPr="007B426C" w:rsidRDefault="006859F0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46,10</w:t>
            </w:r>
          </w:p>
        </w:tc>
        <w:tc>
          <w:tcPr>
            <w:tcW w:w="817" w:type="dxa"/>
            <w:vAlign w:val="center"/>
          </w:tcPr>
          <w:p w:rsidR="0084346C" w:rsidRDefault="006859F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59,70</w:t>
            </w:r>
          </w:p>
          <w:p w:rsidR="006859F0" w:rsidRPr="007B426C" w:rsidRDefault="006859F0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67,89</w:t>
            </w:r>
          </w:p>
        </w:tc>
        <w:tc>
          <w:tcPr>
            <w:tcW w:w="1110" w:type="dxa"/>
            <w:vAlign w:val="center"/>
          </w:tcPr>
          <w:p w:rsidR="0084346C" w:rsidRDefault="006859F0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69 692</w:t>
            </w:r>
          </w:p>
          <w:p w:rsidR="006859F0" w:rsidRPr="007B426C" w:rsidRDefault="006859F0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64 129</w:t>
            </w:r>
          </w:p>
        </w:tc>
        <w:tc>
          <w:tcPr>
            <w:tcW w:w="1105" w:type="dxa"/>
            <w:vAlign w:val="center"/>
          </w:tcPr>
          <w:p w:rsidR="00076E30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532 787</w:t>
            </w:r>
          </w:p>
          <w:p w:rsidR="006859F0" w:rsidRPr="007B42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490 916</w:t>
            </w:r>
          </w:p>
        </w:tc>
        <w:tc>
          <w:tcPr>
            <w:tcW w:w="1161" w:type="dxa"/>
            <w:vAlign w:val="center"/>
          </w:tcPr>
          <w:p w:rsidR="00076E30" w:rsidRDefault="006859F0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463 095</w:t>
            </w:r>
          </w:p>
          <w:p w:rsidR="006859F0" w:rsidRPr="007B426C" w:rsidRDefault="006859F0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426 787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11 410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10 005</w:t>
            </w:r>
          </w:p>
        </w:tc>
        <w:tc>
          <w:tcPr>
            <w:tcW w:w="932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16 550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15 433</w:t>
            </w:r>
          </w:p>
        </w:tc>
        <w:tc>
          <w:tcPr>
            <w:tcW w:w="964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5 140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5 428</w:t>
            </w:r>
          </w:p>
        </w:tc>
        <w:tc>
          <w:tcPr>
            <w:tcW w:w="688" w:type="dxa"/>
            <w:vAlign w:val="center"/>
          </w:tcPr>
          <w:p w:rsidR="0084346C" w:rsidRDefault="006859F0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27,28</w:t>
            </w:r>
          </w:p>
          <w:p w:rsidR="006859F0" w:rsidRPr="007B426C" w:rsidRDefault="006859F0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29,24</w:t>
            </w:r>
          </w:p>
        </w:tc>
        <w:tc>
          <w:tcPr>
            <w:tcW w:w="817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28,73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27,46</w:t>
            </w:r>
          </w:p>
        </w:tc>
        <w:tc>
          <w:tcPr>
            <w:tcW w:w="1110" w:type="dxa"/>
            <w:vAlign w:val="center"/>
          </w:tcPr>
          <w:p w:rsidR="0084346C" w:rsidRDefault="006859F0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311 298</w:t>
            </w:r>
          </w:p>
          <w:p w:rsidR="006859F0" w:rsidRPr="007B426C" w:rsidRDefault="006859F0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292 523</w:t>
            </w:r>
          </w:p>
        </w:tc>
        <w:tc>
          <w:tcPr>
            <w:tcW w:w="1105" w:type="dxa"/>
            <w:vAlign w:val="center"/>
          </w:tcPr>
          <w:p w:rsidR="00076E30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475 522</w:t>
            </w:r>
          </w:p>
          <w:p w:rsidR="006859F0" w:rsidRPr="007B42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423 830</w:t>
            </w:r>
          </w:p>
        </w:tc>
        <w:tc>
          <w:tcPr>
            <w:tcW w:w="1161" w:type="dxa"/>
            <w:vAlign w:val="center"/>
          </w:tcPr>
          <w:p w:rsidR="0084346C" w:rsidRDefault="006859F0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164 224</w:t>
            </w:r>
          </w:p>
          <w:p w:rsidR="006859F0" w:rsidRPr="007B426C" w:rsidRDefault="006859F0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131 307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8 519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7 265</w:t>
            </w:r>
          </w:p>
        </w:tc>
        <w:tc>
          <w:tcPr>
            <w:tcW w:w="932" w:type="dxa"/>
            <w:vAlign w:val="center"/>
          </w:tcPr>
          <w:p w:rsidR="0084346C" w:rsidRDefault="006859F0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12 027</w:t>
            </w:r>
          </w:p>
          <w:p w:rsidR="006859F0" w:rsidRPr="007B426C" w:rsidRDefault="006859F0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13 065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3 508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5 800</w:t>
            </w:r>
          </w:p>
        </w:tc>
        <w:tc>
          <w:tcPr>
            <w:tcW w:w="688" w:type="dxa"/>
            <w:vAlign w:val="center"/>
          </w:tcPr>
          <w:p w:rsidR="0084346C" w:rsidRDefault="006859F0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11,62</w:t>
            </w:r>
          </w:p>
          <w:p w:rsidR="006859F0" w:rsidRPr="007B426C" w:rsidRDefault="006859F0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14,83</w:t>
            </w:r>
          </w:p>
        </w:tc>
        <w:tc>
          <w:tcPr>
            <w:tcW w:w="817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22,94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24,16</w:t>
            </w:r>
          </w:p>
        </w:tc>
        <w:tc>
          <w:tcPr>
            <w:tcW w:w="1110" w:type="dxa"/>
            <w:vAlign w:val="center"/>
          </w:tcPr>
          <w:p w:rsidR="0084346C" w:rsidRDefault="006859F0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98 982</w:t>
            </w:r>
          </w:p>
          <w:p w:rsidR="006859F0" w:rsidRPr="007B426C" w:rsidRDefault="006859F0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107 729</w:t>
            </w:r>
          </w:p>
        </w:tc>
        <w:tc>
          <w:tcPr>
            <w:tcW w:w="1105" w:type="dxa"/>
            <w:vAlign w:val="center"/>
          </w:tcPr>
          <w:p w:rsidR="00076E30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275 964</w:t>
            </w:r>
          </w:p>
          <w:p w:rsidR="006859F0" w:rsidRPr="007B42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315 722</w:t>
            </w:r>
          </w:p>
        </w:tc>
        <w:tc>
          <w:tcPr>
            <w:tcW w:w="1161" w:type="dxa"/>
            <w:vAlign w:val="center"/>
          </w:tcPr>
          <w:p w:rsidR="00076E30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176 982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207 993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5 189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4 587</w:t>
            </w:r>
          </w:p>
        </w:tc>
        <w:tc>
          <w:tcPr>
            <w:tcW w:w="932" w:type="dxa"/>
            <w:vAlign w:val="center"/>
          </w:tcPr>
          <w:p w:rsidR="0084346C" w:rsidRDefault="006859F0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817</w:t>
            </w:r>
          </w:p>
          <w:p w:rsidR="006859F0" w:rsidRPr="007B426C" w:rsidRDefault="006859F0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- 4 372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- 3 859</w:t>
            </w:r>
          </w:p>
        </w:tc>
        <w:tc>
          <w:tcPr>
            <w:tcW w:w="688" w:type="dxa"/>
            <w:vAlign w:val="center"/>
          </w:tcPr>
          <w:p w:rsidR="0084346C" w:rsidRDefault="006859F0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89,26</w:t>
            </w:r>
          </w:p>
          <w:p w:rsidR="006859F0" w:rsidRPr="007B426C" w:rsidRDefault="006859F0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87,94</w:t>
            </w:r>
          </w:p>
        </w:tc>
        <w:tc>
          <w:tcPr>
            <w:tcW w:w="817" w:type="dxa"/>
            <w:vAlign w:val="center"/>
          </w:tcPr>
          <w:p w:rsidR="0084346C" w:rsidRDefault="006859F0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84,73</w:t>
            </w:r>
          </w:p>
          <w:p w:rsidR="006859F0" w:rsidRPr="007B426C" w:rsidRDefault="006859F0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113,52</w:t>
            </w:r>
          </w:p>
        </w:tc>
        <w:tc>
          <w:tcPr>
            <w:tcW w:w="1110" w:type="dxa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463 107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403 388</w:t>
            </w:r>
          </w:p>
        </w:tc>
        <w:tc>
          <w:tcPr>
            <w:tcW w:w="1105" w:type="dxa"/>
            <w:vAlign w:val="center"/>
          </w:tcPr>
          <w:p w:rsidR="00076E30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69 224</w:t>
            </w:r>
          </w:p>
          <w:p w:rsidR="006859F0" w:rsidRPr="007B42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82 673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076E30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- 393 883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- 320 715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84346C" w:rsidRDefault="006859F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20 089</w:t>
            </w:r>
          </w:p>
          <w:p w:rsidR="006859F0" w:rsidRPr="007B426C" w:rsidRDefault="006859F0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19 137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8 094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9 139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- 11 995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- 9 998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84346C" w:rsidRDefault="006859F0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76,61</w:t>
            </w:r>
          </w:p>
          <w:p w:rsidR="006859F0" w:rsidRPr="007B426C" w:rsidRDefault="006859F0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83,33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84346C" w:rsidRDefault="006859F0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106,99</w:t>
            </w:r>
          </w:p>
          <w:p w:rsidR="006859F0" w:rsidRPr="007B426C" w:rsidRDefault="006859F0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110,07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8434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1 539 096</w:t>
            </w:r>
          </w:p>
          <w:p w:rsidR="006859F0" w:rsidRPr="007B426C" w:rsidRDefault="006859F0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1 594 661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076E30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866 003</w:t>
            </w:r>
          </w:p>
          <w:p w:rsidR="006859F0" w:rsidRPr="007B426C" w:rsidRDefault="006859F0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1 005 915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76E30" w:rsidRDefault="006859F0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- 673 093</w:t>
            </w:r>
          </w:p>
          <w:p w:rsidR="006859F0" w:rsidRPr="007B426C" w:rsidRDefault="006859F0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- 588 746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</w:t>
      </w:r>
      <w:r w:rsidR="00C07AFE">
        <w:rPr>
          <w:i/>
          <w:sz w:val="18"/>
          <w:szCs w:val="18"/>
        </w:rPr>
        <w:t xml:space="preserve"> -</w:t>
      </w:r>
      <w:r>
        <w:rPr>
          <w:i/>
          <w:sz w:val="18"/>
          <w:szCs w:val="18"/>
        </w:rPr>
        <w:t xml:space="preserve"> po opravě chybně zadaného deklarovaného množství dovozcem</w:t>
      </w:r>
    </w:p>
    <w:p w:rsidR="00D71B31" w:rsidRDefault="00D71B31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6859F0">
        <w:rPr>
          <w:sz w:val="22"/>
          <w:szCs w:val="22"/>
        </w:rPr>
        <w:t>březnu</w:t>
      </w:r>
      <w:r w:rsidR="00A5080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076E30">
        <w:rPr>
          <w:sz w:val="22"/>
          <w:szCs w:val="22"/>
        </w:rPr>
        <w:t>54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076E30">
        <w:rPr>
          <w:sz w:val="22"/>
          <w:szCs w:val="22"/>
        </w:rPr>
        <w:t>-</w:t>
      </w:r>
      <w:r w:rsidR="006859F0">
        <w:rPr>
          <w:sz w:val="22"/>
          <w:szCs w:val="22"/>
        </w:rPr>
        <w:t>březen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/leden</w:t>
      </w:r>
      <w:r w:rsidR="00076E30">
        <w:rPr>
          <w:sz w:val="22"/>
          <w:szCs w:val="22"/>
        </w:rPr>
        <w:t>-</w:t>
      </w:r>
      <w:r w:rsidR="006859F0" w:rsidRPr="006859F0">
        <w:rPr>
          <w:sz w:val="22"/>
          <w:szCs w:val="22"/>
        </w:rPr>
        <w:t xml:space="preserve"> </w:t>
      </w:r>
      <w:r w:rsidR="006859F0">
        <w:rPr>
          <w:sz w:val="22"/>
          <w:szCs w:val="22"/>
        </w:rPr>
        <w:t>březen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2</w:t>
      </w:r>
      <w:r w:rsidR="00070F10">
        <w:rPr>
          <w:sz w:val="22"/>
          <w:szCs w:val="22"/>
        </w:rPr>
        <w:t>) došlo k</w:t>
      </w:r>
      <w:r w:rsidR="00076E30">
        <w:rPr>
          <w:sz w:val="22"/>
          <w:szCs w:val="22"/>
        </w:rPr>
        <w:t>e</w:t>
      </w:r>
      <w:r w:rsidR="00070F10">
        <w:rPr>
          <w:sz w:val="22"/>
          <w:szCs w:val="22"/>
        </w:rPr>
        <w:t xml:space="preserve"> </w:t>
      </w:r>
      <w:r w:rsidR="00076E30" w:rsidRPr="00076E30">
        <w:rPr>
          <w:b/>
          <w:sz w:val="22"/>
          <w:szCs w:val="22"/>
        </w:rPr>
        <w:t>snížení</w:t>
      </w:r>
      <w:r w:rsidR="00070F10" w:rsidRPr="00076E30">
        <w:rPr>
          <w:b/>
          <w:sz w:val="22"/>
          <w:szCs w:val="22"/>
        </w:rPr>
        <w:t xml:space="preserve"> finanční hodnoty vývozu o </w:t>
      </w:r>
      <w:r w:rsidR="00371A36">
        <w:rPr>
          <w:b/>
          <w:sz w:val="22"/>
          <w:szCs w:val="22"/>
        </w:rPr>
        <w:t>1,1</w:t>
      </w:r>
      <w:r w:rsidR="00070F10" w:rsidRPr="00076E30">
        <w:rPr>
          <w:b/>
          <w:sz w:val="22"/>
          <w:szCs w:val="22"/>
        </w:rPr>
        <w:t xml:space="preserve"> %,</w:t>
      </w:r>
      <w:r w:rsidR="00070F10">
        <w:rPr>
          <w:sz w:val="22"/>
          <w:szCs w:val="22"/>
        </w:rPr>
        <w:t xml:space="preserve"> tj. cca o </w:t>
      </w:r>
      <w:r w:rsidR="00371A36">
        <w:rPr>
          <w:sz w:val="22"/>
          <w:szCs w:val="22"/>
        </w:rPr>
        <w:t>44,5</w:t>
      </w:r>
      <w:r w:rsidR="00070F10">
        <w:rPr>
          <w:sz w:val="22"/>
          <w:szCs w:val="22"/>
        </w:rPr>
        <w:t xml:space="preserve"> mil. Kč</w:t>
      </w:r>
      <w:r w:rsidR="00422B81">
        <w:rPr>
          <w:sz w:val="22"/>
          <w:szCs w:val="22"/>
        </w:rPr>
        <w:t xml:space="preserve">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</w:t>
      </w:r>
      <w:r w:rsidR="00076E30">
        <w:rPr>
          <w:b/>
          <w:sz w:val="22"/>
          <w:szCs w:val="22"/>
        </w:rPr>
        <w:t>7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371A36">
        <w:rPr>
          <w:sz w:val="22"/>
          <w:szCs w:val="22"/>
        </w:rPr>
        <w:t>25,0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076E30">
        <w:rPr>
          <w:sz w:val="22"/>
          <w:szCs w:val="22"/>
        </w:rPr>
        <w:t>19,</w:t>
      </w:r>
      <w:r w:rsidR="00371A36">
        <w:rPr>
          <w:sz w:val="22"/>
          <w:szCs w:val="22"/>
        </w:rPr>
        <w:t>8</w:t>
      </w:r>
      <w:r w:rsidR="00170C55">
        <w:rPr>
          <w:sz w:val="22"/>
          <w:szCs w:val="22"/>
        </w:rPr>
        <w:t xml:space="preserve"> %, do Itálie </w:t>
      </w:r>
      <w:r w:rsidR="00076E30">
        <w:rPr>
          <w:sz w:val="22"/>
          <w:szCs w:val="22"/>
        </w:rPr>
        <w:t>15,</w:t>
      </w:r>
      <w:r w:rsidR="00371A36">
        <w:rPr>
          <w:sz w:val="22"/>
          <w:szCs w:val="22"/>
        </w:rPr>
        <w:t>7</w:t>
      </w:r>
      <w:r w:rsidR="00170C55">
        <w:rPr>
          <w:sz w:val="22"/>
          <w:szCs w:val="22"/>
        </w:rPr>
        <w:t xml:space="preserve"> %, </w:t>
      </w:r>
      <w:r w:rsidR="00371A36">
        <w:rPr>
          <w:sz w:val="22"/>
          <w:szCs w:val="22"/>
        </w:rPr>
        <w:t xml:space="preserve">Polska 4,2 %, </w:t>
      </w:r>
      <w:r w:rsidR="00170C55">
        <w:rPr>
          <w:sz w:val="22"/>
          <w:szCs w:val="22"/>
        </w:rPr>
        <w:t xml:space="preserve">Maďarska </w:t>
      </w:r>
      <w:r w:rsidR="00371A36">
        <w:rPr>
          <w:sz w:val="22"/>
          <w:szCs w:val="22"/>
        </w:rPr>
        <w:t>3,8</w:t>
      </w:r>
      <w:r w:rsidR="00170C55">
        <w:rPr>
          <w:sz w:val="22"/>
          <w:szCs w:val="22"/>
        </w:rPr>
        <w:t xml:space="preserve"> %, </w:t>
      </w:r>
      <w:r w:rsidR="00265534">
        <w:rPr>
          <w:sz w:val="22"/>
          <w:szCs w:val="22"/>
        </w:rPr>
        <w:t xml:space="preserve">Francie </w:t>
      </w:r>
      <w:r w:rsidR="00422B81">
        <w:rPr>
          <w:sz w:val="22"/>
          <w:szCs w:val="22"/>
        </w:rPr>
        <w:t>3,</w:t>
      </w:r>
      <w:r w:rsidR="00371A36">
        <w:rPr>
          <w:sz w:val="22"/>
          <w:szCs w:val="22"/>
        </w:rPr>
        <w:t>0</w:t>
      </w:r>
      <w:r w:rsidR="00265534">
        <w:rPr>
          <w:sz w:val="22"/>
          <w:szCs w:val="22"/>
        </w:rPr>
        <w:t xml:space="preserve"> %, </w:t>
      </w:r>
      <w:r w:rsidR="00076E30">
        <w:rPr>
          <w:sz w:val="22"/>
          <w:szCs w:val="22"/>
        </w:rPr>
        <w:t>Libanonu 2,</w:t>
      </w:r>
      <w:r w:rsidR="00371A36">
        <w:rPr>
          <w:sz w:val="22"/>
          <w:szCs w:val="22"/>
        </w:rPr>
        <w:t>6</w:t>
      </w:r>
      <w:r w:rsidR="00076E30">
        <w:rPr>
          <w:sz w:val="22"/>
          <w:szCs w:val="22"/>
        </w:rPr>
        <w:t xml:space="preserve"> %</w:t>
      </w:r>
      <w:r w:rsidR="00170C55">
        <w:rPr>
          <w:sz w:val="22"/>
          <w:szCs w:val="22"/>
        </w:rPr>
        <w:t xml:space="preserve">). Do zemí EU-27 se v daném období vyvezlo </w:t>
      </w:r>
      <w:r w:rsidR="00076E30">
        <w:rPr>
          <w:sz w:val="22"/>
          <w:szCs w:val="22"/>
        </w:rPr>
        <w:t>82,</w:t>
      </w:r>
      <w:r w:rsidR="00371A36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076E30">
        <w:rPr>
          <w:sz w:val="22"/>
          <w:szCs w:val="22"/>
        </w:rPr>
        <w:t>17,</w:t>
      </w:r>
      <w:r w:rsidR="00371A36">
        <w:rPr>
          <w:sz w:val="22"/>
          <w:szCs w:val="22"/>
        </w:rPr>
        <w:t>7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</w:t>
      </w:r>
      <w:r w:rsidR="00371A36">
        <w:rPr>
          <w:sz w:val="22"/>
          <w:szCs w:val="22"/>
        </w:rPr>
        <w:t xml:space="preserve">Thajsko, </w:t>
      </w:r>
      <w:r w:rsidR="00076E30">
        <w:rPr>
          <w:sz w:val="22"/>
          <w:szCs w:val="22"/>
        </w:rPr>
        <w:t xml:space="preserve">Malajsie, </w:t>
      </w:r>
      <w:r w:rsidR="00371A36">
        <w:rPr>
          <w:sz w:val="22"/>
          <w:szCs w:val="22"/>
        </w:rPr>
        <w:t xml:space="preserve">Chorvatsko, </w:t>
      </w:r>
      <w:r w:rsidR="00A50806">
        <w:rPr>
          <w:sz w:val="22"/>
          <w:szCs w:val="22"/>
        </w:rPr>
        <w:t>Saudská Arábie</w:t>
      </w:r>
      <w:r w:rsidR="00422B81">
        <w:rPr>
          <w:sz w:val="22"/>
          <w:szCs w:val="22"/>
        </w:rPr>
        <w:t xml:space="preserve">, </w:t>
      </w:r>
      <w:r w:rsidR="00076E30">
        <w:rPr>
          <w:sz w:val="22"/>
          <w:szCs w:val="22"/>
        </w:rPr>
        <w:t xml:space="preserve">Spojené arabské emiráty, Rusko, </w:t>
      </w:r>
      <w:r w:rsidR="00371A36">
        <w:rPr>
          <w:sz w:val="22"/>
          <w:szCs w:val="22"/>
        </w:rPr>
        <w:t xml:space="preserve">Ukrajina, </w:t>
      </w:r>
      <w:r w:rsidR="00076E30">
        <w:rPr>
          <w:sz w:val="22"/>
          <w:szCs w:val="22"/>
        </w:rPr>
        <w:t>Srbsko.</w:t>
      </w:r>
      <w:r w:rsidR="00422B81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Předmětem obchodu s těmito zeměmi byly zejména sušená mléka, sušená syrovátka, bílé sýry</w:t>
      </w:r>
      <w:r w:rsidR="00371A36">
        <w:rPr>
          <w:sz w:val="22"/>
          <w:szCs w:val="22"/>
        </w:rPr>
        <w:t>, Eidam</w:t>
      </w:r>
      <w:r w:rsidR="00B375A6">
        <w:rPr>
          <w:sz w:val="22"/>
          <w:szCs w:val="22"/>
        </w:rPr>
        <w:t xml:space="preserve"> a máslo</w:t>
      </w:r>
      <w:r w:rsidR="00070F10">
        <w:rPr>
          <w:sz w:val="22"/>
          <w:szCs w:val="22"/>
        </w:rPr>
        <w:t xml:space="preserve">. </w:t>
      </w:r>
      <w:r w:rsidR="00371A36">
        <w:rPr>
          <w:sz w:val="22"/>
          <w:szCs w:val="22"/>
        </w:rPr>
        <w:t>Největší objem zboží do třetích zemí se vyvezl do Chorvatska (4 770 t, z toho 4 508 t konzumního mléka převážně plnotučného) a do Malajsie (2 625 t sušené syrovátky). Předmětem obchodu s Thajskem bylo sušené mléko a syrovátky, do Libanonu se nejvíce vyvážel sušená mléka, Eidam a bílé sýry, rovněž vývoz sušených mlék a bílých sýrů byl předmětem obchodu se Saudskou Arábií a Spojenými arabskými emiráty. Vývoz másla (ve spotřebitelském balení) se uplatnil na trzích Ruska.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3C03B2">
        <w:rPr>
          <w:sz w:val="22"/>
          <w:szCs w:val="22"/>
          <w:u w:val="single"/>
        </w:rPr>
        <w:t>40,9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3C03B2">
        <w:rPr>
          <w:sz w:val="22"/>
          <w:szCs w:val="22"/>
        </w:rPr>
        <w:t>27,5</w:t>
      </w:r>
      <w:r>
        <w:rPr>
          <w:sz w:val="22"/>
          <w:szCs w:val="22"/>
        </w:rPr>
        <w:t xml:space="preserve"> %. </w:t>
      </w:r>
    </w:p>
    <w:p w:rsidR="002962E7" w:rsidRDefault="00593F4A" w:rsidP="00422B8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3C03B2">
        <w:rPr>
          <w:sz w:val="22"/>
          <w:szCs w:val="22"/>
        </w:rPr>
        <w:t>březnu</w:t>
      </w:r>
      <w:r w:rsidR="00076E3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>
        <w:rPr>
          <w:sz w:val="22"/>
          <w:szCs w:val="22"/>
        </w:rPr>
        <w:t xml:space="preserve">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</w:t>
      </w:r>
      <w:r w:rsidR="00422B81">
        <w:rPr>
          <w:sz w:val="22"/>
          <w:szCs w:val="22"/>
        </w:rPr>
        <w:t xml:space="preserve">vývozu konzumního mléka o </w:t>
      </w:r>
      <w:r w:rsidR="00980886">
        <w:rPr>
          <w:sz w:val="22"/>
          <w:szCs w:val="22"/>
        </w:rPr>
        <w:t>44,7</w:t>
      </w:r>
      <w:r w:rsidR="00422B81">
        <w:rPr>
          <w:sz w:val="22"/>
          <w:szCs w:val="22"/>
        </w:rPr>
        <w:t xml:space="preserve"> %</w:t>
      </w:r>
      <w:r w:rsidR="00076E30">
        <w:rPr>
          <w:sz w:val="22"/>
          <w:szCs w:val="22"/>
        </w:rPr>
        <w:t>,</w:t>
      </w:r>
      <w:r w:rsidR="00422B81">
        <w:rPr>
          <w:sz w:val="22"/>
          <w:szCs w:val="22"/>
        </w:rPr>
        <w:t xml:space="preserve"> smetany v cisternách </w:t>
      </w:r>
      <w:r w:rsidR="00DF7EAC">
        <w:rPr>
          <w:sz w:val="22"/>
          <w:szCs w:val="22"/>
        </w:rPr>
        <w:br/>
      </w:r>
      <w:r w:rsidR="00422B81">
        <w:rPr>
          <w:sz w:val="22"/>
          <w:szCs w:val="22"/>
        </w:rPr>
        <w:t xml:space="preserve">o </w:t>
      </w:r>
      <w:r w:rsidR="00980886">
        <w:rPr>
          <w:sz w:val="22"/>
          <w:szCs w:val="22"/>
        </w:rPr>
        <w:t>14,9</w:t>
      </w:r>
      <w:r w:rsidR="00076E30">
        <w:rPr>
          <w:sz w:val="22"/>
          <w:szCs w:val="22"/>
        </w:rPr>
        <w:t xml:space="preserve"> %, </w:t>
      </w:r>
      <w:r w:rsidR="00422B81">
        <w:rPr>
          <w:sz w:val="22"/>
          <w:szCs w:val="22"/>
        </w:rPr>
        <w:t xml:space="preserve">mléka v cisternách o </w:t>
      </w:r>
      <w:r w:rsidR="00980886">
        <w:rPr>
          <w:sz w:val="22"/>
          <w:szCs w:val="22"/>
        </w:rPr>
        <w:t>2,6</w:t>
      </w:r>
      <w:r w:rsidR="00422B81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, vývoz </w:t>
      </w:r>
      <w:r w:rsidR="00422B81">
        <w:rPr>
          <w:sz w:val="22"/>
          <w:szCs w:val="22"/>
        </w:rPr>
        <w:t xml:space="preserve">konzumní smetany </w:t>
      </w:r>
      <w:r w:rsidR="00980886">
        <w:rPr>
          <w:sz w:val="22"/>
          <w:szCs w:val="22"/>
        </w:rPr>
        <w:t xml:space="preserve">se meziročně zvýšil </w:t>
      </w:r>
      <w:r w:rsidR="00422B81">
        <w:rPr>
          <w:sz w:val="22"/>
          <w:szCs w:val="22"/>
        </w:rPr>
        <w:t xml:space="preserve">o </w:t>
      </w:r>
      <w:r w:rsidR="00980886">
        <w:rPr>
          <w:sz w:val="22"/>
          <w:szCs w:val="22"/>
        </w:rPr>
        <w:t>6</w:t>
      </w:r>
      <w:r w:rsidR="00422B81">
        <w:rPr>
          <w:sz w:val="22"/>
          <w:szCs w:val="22"/>
        </w:rPr>
        <w:t xml:space="preserve"> %.</w:t>
      </w:r>
    </w:p>
    <w:p w:rsidR="006408F8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076E30">
        <w:rPr>
          <w:sz w:val="22"/>
          <w:szCs w:val="22"/>
        </w:rPr>
        <w:t>25,</w:t>
      </w:r>
      <w:r w:rsidR="00980886">
        <w:rPr>
          <w:sz w:val="22"/>
          <w:szCs w:val="22"/>
        </w:rPr>
        <w:t>6</w:t>
      </w:r>
      <w:r w:rsidR="00B83EEE">
        <w:rPr>
          <w:sz w:val="22"/>
          <w:szCs w:val="22"/>
        </w:rPr>
        <w:t xml:space="preserve"> %). </w:t>
      </w:r>
      <w:r w:rsidR="00F61951">
        <w:rPr>
          <w:sz w:val="22"/>
          <w:szCs w:val="22"/>
        </w:rPr>
        <w:t>C</w:t>
      </w:r>
      <w:r w:rsidR="002962E7">
        <w:rPr>
          <w:sz w:val="22"/>
          <w:szCs w:val="22"/>
        </w:rPr>
        <w:t xml:space="preserve">elkové </w:t>
      </w:r>
      <w:r w:rsidR="007C5D29">
        <w:rPr>
          <w:sz w:val="22"/>
          <w:szCs w:val="22"/>
        </w:rPr>
        <w:t xml:space="preserve">meziroční </w:t>
      </w:r>
      <w:r w:rsidR="00F61951">
        <w:rPr>
          <w:sz w:val="22"/>
          <w:szCs w:val="22"/>
        </w:rPr>
        <w:t>zvýšení</w:t>
      </w:r>
      <w:r w:rsidR="007C5D29">
        <w:rPr>
          <w:sz w:val="22"/>
          <w:szCs w:val="22"/>
        </w:rPr>
        <w:t xml:space="preserve"> objemu vývozu </w:t>
      </w:r>
      <w:r w:rsidR="00F61951">
        <w:rPr>
          <w:sz w:val="22"/>
          <w:szCs w:val="22"/>
        </w:rPr>
        <w:t xml:space="preserve">sýrů a tvarohů </w:t>
      </w:r>
      <w:r w:rsidR="007C5D29">
        <w:rPr>
          <w:sz w:val="22"/>
          <w:szCs w:val="22"/>
        </w:rPr>
        <w:t xml:space="preserve">v daném období představovalo </w:t>
      </w:r>
      <w:r w:rsidR="00DF7EAC">
        <w:rPr>
          <w:sz w:val="22"/>
          <w:szCs w:val="22"/>
        </w:rPr>
        <w:br/>
      </w:r>
      <w:r w:rsidR="00980886">
        <w:rPr>
          <w:sz w:val="22"/>
          <w:szCs w:val="22"/>
        </w:rPr>
        <w:t>12,9</w:t>
      </w:r>
      <w:r w:rsidR="007C5D29">
        <w:rPr>
          <w:sz w:val="22"/>
          <w:szCs w:val="22"/>
        </w:rPr>
        <w:t xml:space="preserve"> %.</w:t>
      </w:r>
      <w:r w:rsidR="00DF7EAC">
        <w:rPr>
          <w:sz w:val="22"/>
          <w:szCs w:val="22"/>
        </w:rPr>
        <w:t xml:space="preserve">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plnotučného mléka a smetany se v meziročním porovnání </w:t>
      </w:r>
      <w:r w:rsidR="00593F4A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980886">
        <w:rPr>
          <w:sz w:val="22"/>
          <w:szCs w:val="22"/>
        </w:rPr>
        <w:t>březen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980886">
        <w:rPr>
          <w:sz w:val="22"/>
          <w:szCs w:val="22"/>
        </w:rPr>
        <w:t>březen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 </w:t>
      </w:r>
      <w:r w:rsidR="00980886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980886">
        <w:rPr>
          <w:sz w:val="22"/>
          <w:szCs w:val="22"/>
        </w:rPr>
        <w:t>2,9</w:t>
      </w:r>
      <w:r w:rsidR="00B83EEE">
        <w:rPr>
          <w:sz w:val="22"/>
          <w:szCs w:val="22"/>
        </w:rPr>
        <w:t xml:space="preserve"> %</w:t>
      </w:r>
      <w:r w:rsidR="00422B81">
        <w:rPr>
          <w:sz w:val="22"/>
          <w:szCs w:val="22"/>
        </w:rPr>
        <w:t xml:space="preserve">, </w:t>
      </w:r>
      <w:r w:rsidR="00C27A66">
        <w:rPr>
          <w:sz w:val="22"/>
          <w:szCs w:val="22"/>
        </w:rPr>
        <w:t xml:space="preserve">vývoz sušeného odtučněného mléka </w:t>
      </w:r>
      <w:r w:rsidR="007C5D29">
        <w:rPr>
          <w:sz w:val="22"/>
          <w:szCs w:val="22"/>
        </w:rPr>
        <w:t xml:space="preserve">se </w:t>
      </w:r>
      <w:r w:rsidR="00076E30">
        <w:rPr>
          <w:sz w:val="22"/>
          <w:szCs w:val="22"/>
        </w:rPr>
        <w:t>snížil</w:t>
      </w:r>
      <w:r w:rsidR="007C5D29">
        <w:rPr>
          <w:sz w:val="22"/>
          <w:szCs w:val="22"/>
        </w:rPr>
        <w:t xml:space="preserve"> </w:t>
      </w:r>
      <w:r w:rsidR="00C27A66">
        <w:rPr>
          <w:sz w:val="22"/>
          <w:szCs w:val="22"/>
        </w:rPr>
        <w:t xml:space="preserve">o </w:t>
      </w:r>
      <w:r w:rsidR="00980886">
        <w:rPr>
          <w:sz w:val="22"/>
          <w:szCs w:val="22"/>
        </w:rPr>
        <w:t>15,0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kondenzovaných mlék byl </w:t>
      </w:r>
      <w:r w:rsidR="00B83EEE">
        <w:rPr>
          <w:sz w:val="22"/>
          <w:szCs w:val="22"/>
        </w:rPr>
        <w:lastRenderedPageBreak/>
        <w:t xml:space="preserve">meziročně </w:t>
      </w:r>
      <w:r w:rsidR="00422B81">
        <w:rPr>
          <w:sz w:val="22"/>
          <w:szCs w:val="22"/>
        </w:rPr>
        <w:t>nižší</w:t>
      </w:r>
      <w:r w:rsidR="00B83EEE">
        <w:rPr>
          <w:sz w:val="22"/>
          <w:szCs w:val="22"/>
        </w:rPr>
        <w:t xml:space="preserve"> o </w:t>
      </w:r>
      <w:r w:rsidR="00980886">
        <w:rPr>
          <w:sz w:val="22"/>
          <w:szCs w:val="22"/>
        </w:rPr>
        <w:t>43,8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 w:rsidR="00980886">
        <w:rPr>
          <w:sz w:val="22"/>
          <w:szCs w:val="22"/>
        </w:rPr>
        <w:t>snížil</w:t>
      </w:r>
      <w:r w:rsidR="00B83EEE">
        <w:rPr>
          <w:sz w:val="22"/>
          <w:szCs w:val="22"/>
        </w:rPr>
        <w:t xml:space="preserve"> o </w:t>
      </w:r>
      <w:r w:rsidR="00980886">
        <w:rPr>
          <w:sz w:val="22"/>
          <w:szCs w:val="22"/>
        </w:rPr>
        <w:t>7,3</w:t>
      </w:r>
      <w:r w:rsidR="00B83EEE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>snížil</w:t>
      </w:r>
      <w:r w:rsidR="00C41679">
        <w:rPr>
          <w:sz w:val="22"/>
          <w:szCs w:val="22"/>
        </w:rPr>
        <w:t xml:space="preserve"> se</w:t>
      </w:r>
      <w:r w:rsidR="00B83EEE">
        <w:rPr>
          <w:sz w:val="22"/>
          <w:szCs w:val="22"/>
        </w:rPr>
        <w:t xml:space="preserve"> </w:t>
      </w:r>
      <w:r w:rsidR="00980886">
        <w:rPr>
          <w:sz w:val="22"/>
          <w:szCs w:val="22"/>
        </w:rPr>
        <w:t xml:space="preserve">i </w:t>
      </w:r>
      <w:r w:rsidR="00B83EEE">
        <w:rPr>
          <w:sz w:val="22"/>
          <w:szCs w:val="22"/>
        </w:rPr>
        <w:t xml:space="preserve">vývoz ostatních zakysaných mléčných výrobků o </w:t>
      </w:r>
      <w:r w:rsidR="00980886">
        <w:rPr>
          <w:sz w:val="22"/>
          <w:szCs w:val="22"/>
        </w:rPr>
        <w:t>5</w:t>
      </w:r>
      <w:r w:rsidR="00657346">
        <w:rPr>
          <w:sz w:val="22"/>
          <w:szCs w:val="22"/>
        </w:rPr>
        <w:t>,2</w:t>
      </w:r>
      <w:r w:rsidR="00B83EEE">
        <w:rPr>
          <w:sz w:val="22"/>
          <w:szCs w:val="22"/>
        </w:rPr>
        <w:t xml:space="preserve"> %. Vývoz čerstvého másla ve spotřebitelském balení </w:t>
      </w:r>
      <w:r w:rsidR="00980886">
        <w:rPr>
          <w:sz w:val="22"/>
          <w:szCs w:val="22"/>
        </w:rPr>
        <w:t>byl</w:t>
      </w:r>
      <w:r w:rsidR="00B83EEE">
        <w:rPr>
          <w:sz w:val="22"/>
          <w:szCs w:val="22"/>
        </w:rPr>
        <w:t xml:space="preserve"> meziročně </w:t>
      </w:r>
      <w:r w:rsidR="00980886">
        <w:rPr>
          <w:sz w:val="22"/>
          <w:szCs w:val="22"/>
        </w:rPr>
        <w:t xml:space="preserve">nižší </w:t>
      </w:r>
      <w:r w:rsidR="00A72150">
        <w:rPr>
          <w:sz w:val="22"/>
          <w:szCs w:val="22"/>
        </w:rPr>
        <w:t xml:space="preserve">o </w:t>
      </w:r>
      <w:r w:rsidR="00980886">
        <w:rPr>
          <w:sz w:val="22"/>
          <w:szCs w:val="22"/>
        </w:rPr>
        <w:t>50,0</w:t>
      </w:r>
      <w:r w:rsidR="00A72150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 a</w:t>
      </w:r>
      <w:r w:rsidR="00D24F63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másla v blocích </w:t>
      </w:r>
      <w:r w:rsidR="00D24F63">
        <w:rPr>
          <w:sz w:val="22"/>
          <w:szCs w:val="22"/>
        </w:rPr>
        <w:t xml:space="preserve">o </w:t>
      </w:r>
      <w:r w:rsidR="00980886">
        <w:rPr>
          <w:sz w:val="22"/>
          <w:szCs w:val="22"/>
        </w:rPr>
        <w:t>119,2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DF7EAC" w:rsidRDefault="00DF7EAC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8A769C">
        <w:rPr>
          <w:sz w:val="22"/>
          <w:szCs w:val="22"/>
        </w:rPr>
        <w:t>43,2</w:t>
      </w:r>
      <w:r w:rsidR="00657346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C41679">
        <w:rPr>
          <w:sz w:val="22"/>
          <w:szCs w:val="22"/>
        </w:rPr>
        <w:t>25,</w:t>
      </w:r>
      <w:r w:rsidR="008A769C">
        <w:rPr>
          <w:sz w:val="22"/>
          <w:szCs w:val="22"/>
        </w:rPr>
        <w:t>9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657346">
        <w:rPr>
          <w:sz w:val="22"/>
          <w:szCs w:val="22"/>
        </w:rPr>
        <w:t>13,</w:t>
      </w:r>
      <w:r w:rsidR="008A769C">
        <w:rPr>
          <w:sz w:val="22"/>
          <w:szCs w:val="22"/>
        </w:rPr>
        <w:t>4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657346">
        <w:rPr>
          <w:sz w:val="22"/>
          <w:szCs w:val="22"/>
        </w:rPr>
        <w:t>82,</w:t>
      </w:r>
      <w:r w:rsidR="008A769C">
        <w:rPr>
          <w:sz w:val="22"/>
          <w:szCs w:val="22"/>
        </w:rPr>
        <w:t>5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657346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657346">
        <w:rPr>
          <w:sz w:val="22"/>
          <w:szCs w:val="22"/>
        </w:rPr>
        <w:t xml:space="preserve"> až </w:t>
      </w:r>
      <w:r w:rsidR="008A769C">
        <w:rPr>
          <w:sz w:val="22"/>
          <w:szCs w:val="22"/>
        </w:rPr>
        <w:t>březnu</w:t>
      </w:r>
      <w:r w:rsidR="00CF3C41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201</w:t>
      </w:r>
      <w:r w:rsidR="00C41679">
        <w:rPr>
          <w:sz w:val="22"/>
          <w:szCs w:val="22"/>
        </w:rPr>
        <w:t>3</w:t>
      </w:r>
      <w:r w:rsidR="00F82D6A" w:rsidRPr="00AB3150">
        <w:rPr>
          <w:sz w:val="22"/>
          <w:szCs w:val="22"/>
        </w:rPr>
        <w:t xml:space="preserve"> se mléko </w:t>
      </w:r>
      <w:r w:rsidR="007C0F15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 xml:space="preserve">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 xml:space="preserve"> </w:t>
      </w:r>
      <w:r w:rsidR="00C41679">
        <w:rPr>
          <w:b/>
          <w:sz w:val="22"/>
          <w:szCs w:val="22"/>
        </w:rPr>
        <w:t>2</w:t>
      </w:r>
      <w:r w:rsidR="008A769C">
        <w:rPr>
          <w:b/>
          <w:sz w:val="22"/>
          <w:szCs w:val="22"/>
        </w:rPr>
        <w:t>7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 xml:space="preserve">, ze zemí EU-27 celkem </w:t>
      </w:r>
      <w:r w:rsidR="00657346">
        <w:rPr>
          <w:sz w:val="22"/>
          <w:szCs w:val="22"/>
        </w:rPr>
        <w:t>99,</w:t>
      </w:r>
      <w:r w:rsidR="008A769C">
        <w:rPr>
          <w:sz w:val="22"/>
          <w:szCs w:val="22"/>
        </w:rPr>
        <w:t>2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</w:t>
      </w:r>
      <w:r w:rsidR="00C41679">
        <w:rPr>
          <w:sz w:val="22"/>
          <w:szCs w:val="22"/>
        </w:rPr>
        <w:t>šlo</w:t>
      </w:r>
      <w:r w:rsidR="00AB1FB4">
        <w:rPr>
          <w:sz w:val="22"/>
          <w:szCs w:val="22"/>
        </w:rPr>
        <w:t xml:space="preserve"> k</w:t>
      </w:r>
      <w:r w:rsidR="00657346">
        <w:rPr>
          <w:sz w:val="22"/>
          <w:szCs w:val="22"/>
        </w:rPr>
        <w:t> </w:t>
      </w:r>
      <w:r w:rsidR="00657346" w:rsidRPr="00657346">
        <w:rPr>
          <w:b/>
          <w:sz w:val="22"/>
          <w:szCs w:val="22"/>
        </w:rPr>
        <w:t xml:space="preserve">mírnému </w:t>
      </w:r>
      <w:r w:rsidR="00C41679" w:rsidRPr="00657346">
        <w:rPr>
          <w:b/>
          <w:sz w:val="22"/>
          <w:szCs w:val="22"/>
        </w:rPr>
        <w:t>s</w:t>
      </w:r>
      <w:r w:rsidR="00C41679">
        <w:rPr>
          <w:b/>
          <w:sz w:val="22"/>
          <w:szCs w:val="22"/>
        </w:rPr>
        <w:t>nížení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8A769C">
        <w:rPr>
          <w:sz w:val="22"/>
          <w:szCs w:val="22"/>
        </w:rPr>
        <w:t>30,8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8A769C">
        <w:rPr>
          <w:sz w:val="22"/>
          <w:szCs w:val="22"/>
        </w:rPr>
        <w:t>1,1</w:t>
      </w:r>
      <w:r w:rsidR="00F82D6A">
        <w:rPr>
          <w:sz w:val="22"/>
          <w:szCs w:val="22"/>
        </w:rPr>
        <w:t xml:space="preserve"> %. </w:t>
      </w:r>
    </w:p>
    <w:p w:rsidR="00DF1492" w:rsidRDefault="00C41679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C379C">
        <w:rPr>
          <w:sz w:val="22"/>
          <w:szCs w:val="22"/>
        </w:rPr>
        <w:t xml:space="preserve">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657346">
        <w:rPr>
          <w:sz w:val="22"/>
          <w:szCs w:val="22"/>
        </w:rPr>
        <w:t xml:space="preserve">až </w:t>
      </w:r>
      <w:r w:rsidR="008A769C">
        <w:rPr>
          <w:sz w:val="22"/>
          <w:szCs w:val="22"/>
        </w:rPr>
        <w:t>březen</w:t>
      </w:r>
      <w:r w:rsidR="00657346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9C379C"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657346">
        <w:rPr>
          <w:sz w:val="22"/>
          <w:szCs w:val="22"/>
        </w:rPr>
        <w:t xml:space="preserve"> až </w:t>
      </w:r>
      <w:r w:rsidR="008A769C">
        <w:rPr>
          <w:sz w:val="22"/>
          <w:szCs w:val="22"/>
        </w:rPr>
        <w:t>březen</w:t>
      </w:r>
      <w:r w:rsidR="00E30EF0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9C379C">
        <w:rPr>
          <w:sz w:val="22"/>
          <w:szCs w:val="22"/>
        </w:rPr>
        <w:t xml:space="preserve"> </w:t>
      </w:r>
      <w:r>
        <w:rPr>
          <w:sz w:val="22"/>
          <w:szCs w:val="22"/>
        </w:rPr>
        <w:t>snížily</w:t>
      </w:r>
      <w:r w:rsidR="009C379C">
        <w:rPr>
          <w:sz w:val="22"/>
          <w:szCs w:val="22"/>
        </w:rPr>
        <w:t xml:space="preserve">, a to o </w:t>
      </w:r>
      <w:r w:rsidR="008A769C">
        <w:rPr>
          <w:sz w:val="22"/>
          <w:szCs w:val="22"/>
        </w:rPr>
        <w:t>952</w:t>
      </w:r>
      <w:r w:rsidR="009C379C">
        <w:rPr>
          <w:sz w:val="22"/>
          <w:szCs w:val="22"/>
        </w:rPr>
        <w:t xml:space="preserve"> t na celkových </w:t>
      </w:r>
      <w:r w:rsidR="008A769C">
        <w:rPr>
          <w:sz w:val="22"/>
          <w:szCs w:val="22"/>
        </w:rPr>
        <w:t>19 137</w:t>
      </w:r>
      <w:r w:rsidR="009C379C">
        <w:rPr>
          <w:sz w:val="22"/>
          <w:szCs w:val="22"/>
        </w:rPr>
        <w:t xml:space="preserve"> </w:t>
      </w:r>
      <w:proofErr w:type="spellStart"/>
      <w:r w:rsidR="009C379C">
        <w:rPr>
          <w:sz w:val="22"/>
          <w:szCs w:val="22"/>
        </w:rPr>
        <w:t>t</w:t>
      </w:r>
      <w:proofErr w:type="spellEnd"/>
      <w:r w:rsidR="009C379C">
        <w:rPr>
          <w:sz w:val="22"/>
          <w:szCs w:val="22"/>
        </w:rPr>
        <w:t xml:space="preserve">.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</w:t>
      </w:r>
      <w:r w:rsidR="008D5306" w:rsidRPr="008A769C">
        <w:rPr>
          <w:b/>
          <w:color w:val="4F6228" w:themeColor="accent3" w:themeShade="80"/>
          <w:sz w:val="22"/>
          <w:szCs w:val="22"/>
          <w:u w:val="single"/>
        </w:rPr>
        <w:t xml:space="preserve">dovážené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množství představ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ovalo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cca </w:t>
      </w:r>
      <w:r w:rsidR="00B55DEA" w:rsidRPr="008A769C">
        <w:rPr>
          <w:b/>
          <w:color w:val="4F6228" w:themeColor="accent3" w:themeShade="80"/>
          <w:sz w:val="22"/>
          <w:szCs w:val="22"/>
          <w:u w:val="single"/>
        </w:rPr>
        <w:t>57,</w:t>
      </w:r>
      <w:r w:rsidR="008A769C" w:rsidRPr="008A769C">
        <w:rPr>
          <w:b/>
          <w:color w:val="4F6228" w:themeColor="accent3" w:themeShade="80"/>
          <w:sz w:val="22"/>
          <w:szCs w:val="22"/>
          <w:u w:val="single"/>
        </w:rPr>
        <w:t>4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 w:rsidR="009C379C"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E6206B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E6206B">
        <w:rPr>
          <w:sz w:val="22"/>
          <w:szCs w:val="22"/>
        </w:rPr>
        <w:t xml:space="preserve"> </w:t>
      </w:r>
      <w:r w:rsidR="00B55DEA">
        <w:rPr>
          <w:sz w:val="22"/>
          <w:szCs w:val="22"/>
        </w:rPr>
        <w:t xml:space="preserve">až </w:t>
      </w:r>
      <w:r w:rsidR="008A769C">
        <w:rPr>
          <w:sz w:val="22"/>
          <w:szCs w:val="22"/>
        </w:rPr>
        <w:t>březnu</w:t>
      </w:r>
      <w:r w:rsidR="00B55DEA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D24F63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 w:rsidR="009C379C">
        <w:rPr>
          <w:sz w:val="22"/>
          <w:szCs w:val="22"/>
        </w:rPr>
        <w:t xml:space="preserve"> z Německa </w:t>
      </w:r>
      <w:r w:rsidR="009C379C" w:rsidRPr="002D63FB">
        <w:rPr>
          <w:i/>
          <w:sz w:val="22"/>
          <w:szCs w:val="22"/>
        </w:rPr>
        <w:t>(</w:t>
      </w:r>
      <w:r w:rsidR="00EE54C6">
        <w:rPr>
          <w:i/>
          <w:sz w:val="22"/>
          <w:szCs w:val="22"/>
        </w:rPr>
        <w:t xml:space="preserve">z celkových </w:t>
      </w:r>
      <w:r w:rsidR="00B55DEA">
        <w:rPr>
          <w:i/>
          <w:sz w:val="22"/>
          <w:szCs w:val="22"/>
        </w:rPr>
        <w:t xml:space="preserve">dovezených </w:t>
      </w:r>
      <w:r w:rsidR="008A769C">
        <w:rPr>
          <w:i/>
          <w:sz w:val="22"/>
          <w:szCs w:val="22"/>
        </w:rPr>
        <w:t>8 655</w:t>
      </w:r>
      <w:r w:rsidR="00EE54C6">
        <w:rPr>
          <w:i/>
          <w:sz w:val="22"/>
          <w:szCs w:val="22"/>
        </w:rPr>
        <w:t xml:space="preserve"> t </w:t>
      </w:r>
      <w:r w:rsidR="009C379C" w:rsidRPr="002D63FB">
        <w:rPr>
          <w:i/>
          <w:sz w:val="22"/>
          <w:szCs w:val="22"/>
        </w:rPr>
        <w:t xml:space="preserve">např. </w:t>
      </w:r>
      <w:r w:rsidR="008A769C">
        <w:rPr>
          <w:i/>
          <w:sz w:val="22"/>
          <w:szCs w:val="22"/>
        </w:rPr>
        <w:t>3 129</w:t>
      </w:r>
      <w:r w:rsidR="009C379C" w:rsidRPr="002D63FB">
        <w:rPr>
          <w:i/>
          <w:sz w:val="22"/>
          <w:szCs w:val="22"/>
        </w:rPr>
        <w:t xml:space="preserve"> t Eidamu za průměrnou dovozní cenu </w:t>
      </w:r>
      <w:r w:rsidR="008A769C">
        <w:rPr>
          <w:i/>
          <w:sz w:val="22"/>
          <w:szCs w:val="22"/>
        </w:rPr>
        <w:t>79,44</w:t>
      </w:r>
      <w:r w:rsidR="009C379C"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>přitom spotřebitelská cena Eidamu na domácím trhu ČR v </w:t>
      </w:r>
      <w:r w:rsidR="006D2BE4" w:rsidRPr="00E6206B">
        <w:rPr>
          <w:i/>
          <w:sz w:val="22"/>
          <w:szCs w:val="22"/>
          <w:u w:val="single"/>
        </w:rPr>
        <w:t xml:space="preserve">měsíci </w:t>
      </w:r>
      <w:r w:rsidR="008A769C">
        <w:rPr>
          <w:i/>
          <w:sz w:val="22"/>
          <w:szCs w:val="22"/>
          <w:u w:val="single"/>
        </w:rPr>
        <w:t xml:space="preserve">březnu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8A769C">
        <w:rPr>
          <w:i/>
          <w:sz w:val="22"/>
          <w:szCs w:val="22"/>
          <w:u w:val="single"/>
        </w:rPr>
        <w:t>132,71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8A769C">
        <w:rPr>
          <w:i/>
          <w:sz w:val="22"/>
          <w:szCs w:val="22"/>
        </w:rPr>
        <w:t>3 200</w:t>
      </w:r>
      <w:r w:rsidR="002D63FB" w:rsidRPr="002D63FB">
        <w:rPr>
          <w:i/>
          <w:sz w:val="22"/>
          <w:szCs w:val="22"/>
        </w:rPr>
        <w:t xml:space="preserve"> t čerstvých sýrů a tvarohů za průměrnou dovozní cenu </w:t>
      </w:r>
      <w:r w:rsidR="008A769C">
        <w:rPr>
          <w:i/>
          <w:sz w:val="22"/>
          <w:szCs w:val="22"/>
        </w:rPr>
        <w:t>53,21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</w:t>
      </w:r>
      <w:r w:rsidR="008A769C">
        <w:rPr>
          <w:i/>
          <w:sz w:val="22"/>
          <w:szCs w:val="22"/>
        </w:rPr>
        <w:t>902</w:t>
      </w:r>
      <w:r w:rsidR="00457C56">
        <w:rPr>
          <w:i/>
          <w:sz w:val="22"/>
          <w:szCs w:val="22"/>
        </w:rPr>
        <w:t xml:space="preserve"> t Goudy za </w:t>
      </w:r>
      <w:r w:rsidR="008A769C">
        <w:rPr>
          <w:i/>
          <w:sz w:val="22"/>
          <w:szCs w:val="22"/>
        </w:rPr>
        <w:t>81,62</w:t>
      </w:r>
      <w:r w:rsidR="00457C56">
        <w:rPr>
          <w:i/>
          <w:sz w:val="22"/>
          <w:szCs w:val="22"/>
        </w:rPr>
        <w:t xml:space="preserve"> Kč/kg</w:t>
      </w:r>
      <w:r w:rsidR="001174F2">
        <w:rPr>
          <w:i/>
          <w:sz w:val="22"/>
          <w:szCs w:val="22"/>
        </w:rPr>
        <w:t xml:space="preserve"> – spotřebitelská cena na českém trhu v</w:t>
      </w:r>
      <w:r w:rsidR="00A04098">
        <w:rPr>
          <w:i/>
          <w:sz w:val="22"/>
          <w:szCs w:val="22"/>
        </w:rPr>
        <w:t> </w:t>
      </w:r>
      <w:r>
        <w:rPr>
          <w:i/>
          <w:sz w:val="22"/>
          <w:szCs w:val="22"/>
        </w:rPr>
        <w:t>lednu</w:t>
      </w:r>
      <w:r w:rsidR="00A04098">
        <w:rPr>
          <w:i/>
          <w:sz w:val="22"/>
          <w:szCs w:val="22"/>
        </w:rPr>
        <w:t xml:space="preserve"> až</w:t>
      </w:r>
      <w:r w:rsidR="001174F2">
        <w:rPr>
          <w:i/>
          <w:sz w:val="22"/>
          <w:szCs w:val="22"/>
        </w:rPr>
        <w:t xml:space="preserve"> </w:t>
      </w:r>
      <w:r w:rsidR="008A769C">
        <w:rPr>
          <w:i/>
          <w:sz w:val="22"/>
          <w:szCs w:val="22"/>
        </w:rPr>
        <w:t>březnu</w:t>
      </w:r>
      <w:r w:rsidR="00A04098">
        <w:rPr>
          <w:i/>
          <w:sz w:val="22"/>
          <w:szCs w:val="22"/>
        </w:rPr>
        <w:t xml:space="preserve"> </w:t>
      </w:r>
      <w:r w:rsidR="001174F2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3</w:t>
      </w:r>
      <w:r w:rsidR="001174F2">
        <w:rPr>
          <w:i/>
          <w:sz w:val="22"/>
          <w:szCs w:val="22"/>
        </w:rPr>
        <w:t xml:space="preserve"> byla </w:t>
      </w:r>
      <w:r w:rsidR="008A769C">
        <w:rPr>
          <w:i/>
          <w:sz w:val="22"/>
          <w:szCs w:val="22"/>
        </w:rPr>
        <w:t>181,35</w:t>
      </w:r>
      <w:r w:rsidR="001174F2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a z </w:t>
      </w:r>
      <w:r w:rsidR="009C379C" w:rsidRPr="002D63FB">
        <w:rPr>
          <w:sz w:val="22"/>
          <w:szCs w:val="22"/>
        </w:rPr>
        <w:t xml:space="preserve">Polska </w:t>
      </w:r>
      <w:r w:rsidR="009C379C"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8A769C">
        <w:rPr>
          <w:i/>
          <w:sz w:val="22"/>
          <w:szCs w:val="22"/>
          <w:u w:val="single"/>
        </w:rPr>
        <w:t>6 331</w:t>
      </w:r>
      <w:r w:rsidR="00EE54C6">
        <w:rPr>
          <w:i/>
          <w:sz w:val="22"/>
          <w:szCs w:val="22"/>
          <w:u w:val="single"/>
        </w:rPr>
        <w:t xml:space="preserve"> t </w:t>
      </w:r>
      <w:r w:rsidR="009C379C"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8A769C">
        <w:rPr>
          <w:i/>
          <w:sz w:val="22"/>
          <w:szCs w:val="22"/>
          <w:u w:val="single"/>
        </w:rPr>
        <w:t>1 476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A04098">
        <w:rPr>
          <w:i/>
          <w:sz w:val="22"/>
          <w:szCs w:val="22"/>
          <w:u w:val="single"/>
        </w:rPr>
        <w:t>69,</w:t>
      </w:r>
      <w:r w:rsidR="008A769C">
        <w:rPr>
          <w:i/>
          <w:sz w:val="22"/>
          <w:szCs w:val="22"/>
          <w:u w:val="single"/>
        </w:rPr>
        <w:t>64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8A769C">
        <w:rPr>
          <w:i/>
          <w:sz w:val="22"/>
          <w:szCs w:val="22"/>
          <w:u w:val="single"/>
        </w:rPr>
        <w:t>206,39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8A769C">
        <w:rPr>
          <w:i/>
          <w:sz w:val="22"/>
          <w:szCs w:val="22"/>
        </w:rPr>
        <w:t>1 199</w:t>
      </w:r>
      <w:r w:rsidR="00DF1492" w:rsidRPr="002D63FB">
        <w:rPr>
          <w:i/>
          <w:sz w:val="22"/>
          <w:szCs w:val="22"/>
        </w:rPr>
        <w:t xml:space="preserve"> t za </w:t>
      </w:r>
      <w:r w:rsidR="008A769C">
        <w:rPr>
          <w:i/>
          <w:sz w:val="22"/>
          <w:szCs w:val="22"/>
        </w:rPr>
        <w:t>81,95</w:t>
      </w:r>
      <w:r w:rsidR="00DF1492" w:rsidRPr="002D63FB">
        <w:rPr>
          <w:i/>
          <w:sz w:val="22"/>
          <w:szCs w:val="22"/>
        </w:rPr>
        <w:t xml:space="preserve"> 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="00DF1492">
        <w:rPr>
          <w:sz w:val="22"/>
          <w:szCs w:val="22"/>
        </w:rPr>
        <w:t xml:space="preserve"> objemy dovozu jogurtů a ostatních zakysaných mléčných výrobků (o </w:t>
      </w:r>
      <w:r w:rsidR="00DA6F18">
        <w:rPr>
          <w:sz w:val="22"/>
          <w:szCs w:val="22"/>
        </w:rPr>
        <w:t xml:space="preserve">1 </w:t>
      </w:r>
      <w:r w:rsidR="008A769C">
        <w:rPr>
          <w:sz w:val="22"/>
          <w:szCs w:val="22"/>
        </w:rPr>
        <w:t>405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8A769C">
        <w:rPr>
          <w:sz w:val="22"/>
          <w:szCs w:val="22"/>
        </w:rPr>
        <w:t>12,3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</w:t>
      </w:r>
      <w:r w:rsidR="00A04098">
        <w:rPr>
          <w:sz w:val="22"/>
          <w:szCs w:val="22"/>
        </w:rPr>
        <w:t xml:space="preserve"> a dále dovozy másla celkem (o</w:t>
      </w:r>
      <w:r>
        <w:rPr>
          <w:sz w:val="22"/>
          <w:szCs w:val="22"/>
        </w:rPr>
        <w:t xml:space="preserve"> </w:t>
      </w:r>
      <w:r w:rsidR="008A769C">
        <w:rPr>
          <w:sz w:val="22"/>
          <w:szCs w:val="22"/>
        </w:rPr>
        <w:t>602</w:t>
      </w:r>
      <w:r>
        <w:rPr>
          <w:sz w:val="22"/>
          <w:szCs w:val="22"/>
        </w:rPr>
        <w:t xml:space="preserve"> t, tj. o </w:t>
      </w:r>
      <w:r w:rsidR="008A769C">
        <w:rPr>
          <w:sz w:val="22"/>
          <w:szCs w:val="22"/>
        </w:rPr>
        <w:t>11,6</w:t>
      </w:r>
      <w:r>
        <w:rPr>
          <w:sz w:val="22"/>
          <w:szCs w:val="22"/>
        </w:rPr>
        <w:t xml:space="preserve"> %). 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423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440F7" w:rsidRPr="006440F7" w:rsidRDefault="00FF2D5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440F7" w:rsidRPr="00CF1A4D" w:rsidRDefault="00FF2D5D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440F7" w:rsidRPr="00D66B6A" w:rsidTr="006136AD">
        <w:trPr>
          <w:trHeight w:val="203"/>
        </w:trPr>
        <w:tc>
          <w:tcPr>
            <w:tcW w:w="913" w:type="dxa"/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440F7" w:rsidRDefault="00423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440F7" w:rsidRDefault="00FF2D5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440F7" w:rsidRDefault="008C412D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FF2D5D">
              <w:rPr>
                <w:i/>
                <w:sz w:val="18"/>
                <w:szCs w:val="18"/>
              </w:rPr>
              <w:t>5</w:t>
            </w:r>
          </w:p>
        </w:tc>
      </w:tr>
      <w:tr w:rsidR="006136AD" w:rsidRPr="006136AD" w:rsidTr="006136AD">
        <w:trPr>
          <w:trHeight w:val="203"/>
        </w:trPr>
        <w:tc>
          <w:tcPr>
            <w:tcW w:w="913" w:type="dxa"/>
            <w:vAlign w:val="center"/>
          </w:tcPr>
          <w:p w:rsidR="006136AD" w:rsidRPr="006136AD" w:rsidRDefault="006136AD" w:rsidP="007B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136AD" w:rsidRPr="006136AD" w:rsidRDefault="00320A8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42 422</w:t>
            </w:r>
          </w:p>
        </w:tc>
        <w:tc>
          <w:tcPr>
            <w:tcW w:w="723" w:type="dxa"/>
          </w:tcPr>
          <w:p w:rsidR="006136AD" w:rsidRPr="006136AD" w:rsidRDefault="007848A9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36 058</w:t>
            </w:r>
          </w:p>
        </w:tc>
        <w:tc>
          <w:tcPr>
            <w:tcW w:w="723" w:type="dxa"/>
          </w:tcPr>
          <w:p w:rsidR="006136AD" w:rsidRPr="006136AD" w:rsidRDefault="008A769C" w:rsidP="00AB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40 027</w:t>
            </w:r>
          </w:p>
        </w:tc>
        <w:tc>
          <w:tcPr>
            <w:tcW w:w="723" w:type="dxa"/>
          </w:tcPr>
          <w:p w:rsidR="006136AD" w:rsidRPr="006136AD" w:rsidRDefault="006136AD" w:rsidP="00724255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724255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166F08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136AD" w:rsidRPr="007848A9" w:rsidRDefault="008A769C" w:rsidP="00FF2D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118 507</w:t>
            </w:r>
          </w:p>
        </w:tc>
      </w:tr>
      <w:tr w:rsidR="006136AD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136AD" w:rsidRPr="00D66B6A" w:rsidRDefault="006136AD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 w:rsidR="00167538"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320A8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7848A9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8,68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8A769C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724255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724255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166F08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136AD" w:rsidRDefault="008A769C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8,65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FD0F84" w:rsidRDefault="002D5757" w:rsidP="00BF749F">
      <w:pPr>
        <w:ind w:left="426"/>
        <w:rPr>
          <w:i/>
          <w:sz w:val="18"/>
          <w:szCs w:val="18"/>
        </w:rPr>
      </w:pPr>
      <w:r w:rsidRPr="002D5757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6137201" cy="4164152"/>
            <wp:effectExtent l="19050" t="0" r="15949" b="7798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BA" w:rsidRDefault="004D11BA" w:rsidP="00CC65A3">
      <w:pPr>
        <w:pStyle w:val="POZNMKA"/>
      </w:pPr>
      <w:r>
        <w:separator/>
      </w:r>
    </w:p>
  </w:endnote>
  <w:endnote w:type="continuationSeparator" w:id="0">
    <w:p w:rsidR="004D11BA" w:rsidRDefault="004D11BA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74" w:rsidRDefault="00DC6BD5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35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23574" w:rsidRDefault="00D2357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74" w:rsidRDefault="00D23574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DC6BD5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DC6BD5" w:rsidRPr="00697EEE">
      <w:rPr>
        <w:sz w:val="20"/>
      </w:rPr>
      <w:fldChar w:fldCharType="separate"/>
    </w:r>
    <w:r w:rsidR="00344912">
      <w:rPr>
        <w:noProof/>
        <w:sz w:val="20"/>
      </w:rPr>
      <w:t>1</w:t>
    </w:r>
    <w:r w:rsidR="00DC6BD5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BA" w:rsidRDefault="004D11BA" w:rsidP="00CC65A3">
      <w:pPr>
        <w:pStyle w:val="POZNMKA"/>
      </w:pPr>
      <w:r>
        <w:separator/>
      </w:r>
    </w:p>
  </w:footnote>
  <w:footnote w:type="continuationSeparator" w:id="0">
    <w:p w:rsidR="004D11BA" w:rsidRDefault="004D11BA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3C63"/>
    <w:rsid w:val="000049A0"/>
    <w:rsid w:val="000055CA"/>
    <w:rsid w:val="00007195"/>
    <w:rsid w:val="00007C41"/>
    <w:rsid w:val="000106CE"/>
    <w:rsid w:val="00012207"/>
    <w:rsid w:val="00012F42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7511"/>
    <w:rsid w:val="000B11DB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AC7"/>
    <w:rsid w:val="000F74BD"/>
    <w:rsid w:val="001005DD"/>
    <w:rsid w:val="0010140F"/>
    <w:rsid w:val="00102FF5"/>
    <w:rsid w:val="001031E4"/>
    <w:rsid w:val="00103784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4352"/>
    <w:rsid w:val="00125F4A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F08"/>
    <w:rsid w:val="00167538"/>
    <w:rsid w:val="001675D5"/>
    <w:rsid w:val="001704CF"/>
    <w:rsid w:val="00170C55"/>
    <w:rsid w:val="00171C8B"/>
    <w:rsid w:val="001735B8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2AB0"/>
    <w:rsid w:val="0019350C"/>
    <w:rsid w:val="00194354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5A13"/>
    <w:rsid w:val="001E61DC"/>
    <w:rsid w:val="001E66F3"/>
    <w:rsid w:val="001E76BE"/>
    <w:rsid w:val="001F2767"/>
    <w:rsid w:val="001F3EDF"/>
    <w:rsid w:val="001F459A"/>
    <w:rsid w:val="001F548D"/>
    <w:rsid w:val="001F5B53"/>
    <w:rsid w:val="00200EDE"/>
    <w:rsid w:val="00202F7A"/>
    <w:rsid w:val="002035C3"/>
    <w:rsid w:val="002056B1"/>
    <w:rsid w:val="0021076D"/>
    <w:rsid w:val="00211C25"/>
    <w:rsid w:val="00216855"/>
    <w:rsid w:val="002215EC"/>
    <w:rsid w:val="00222020"/>
    <w:rsid w:val="00224FE0"/>
    <w:rsid w:val="002251BE"/>
    <w:rsid w:val="00227A59"/>
    <w:rsid w:val="0023608B"/>
    <w:rsid w:val="002409AD"/>
    <w:rsid w:val="002413B9"/>
    <w:rsid w:val="00241A17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46A1"/>
    <w:rsid w:val="002646E5"/>
    <w:rsid w:val="00265534"/>
    <w:rsid w:val="002662AE"/>
    <w:rsid w:val="00271160"/>
    <w:rsid w:val="002711C5"/>
    <w:rsid w:val="00271F22"/>
    <w:rsid w:val="00272382"/>
    <w:rsid w:val="002725B2"/>
    <w:rsid w:val="00272702"/>
    <w:rsid w:val="002728E5"/>
    <w:rsid w:val="0027336E"/>
    <w:rsid w:val="0027491B"/>
    <w:rsid w:val="00274CF9"/>
    <w:rsid w:val="00276DF1"/>
    <w:rsid w:val="00276FAC"/>
    <w:rsid w:val="00281B69"/>
    <w:rsid w:val="00282125"/>
    <w:rsid w:val="002824C4"/>
    <w:rsid w:val="002847D2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5757"/>
    <w:rsid w:val="002D6217"/>
    <w:rsid w:val="002D63FB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0C75"/>
    <w:rsid w:val="00301D61"/>
    <w:rsid w:val="00304834"/>
    <w:rsid w:val="00310967"/>
    <w:rsid w:val="00311A72"/>
    <w:rsid w:val="00313FDD"/>
    <w:rsid w:val="00314FC9"/>
    <w:rsid w:val="003153D5"/>
    <w:rsid w:val="003174B0"/>
    <w:rsid w:val="00320A89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3792"/>
    <w:rsid w:val="00334026"/>
    <w:rsid w:val="00335269"/>
    <w:rsid w:val="00335A7A"/>
    <w:rsid w:val="00337CAA"/>
    <w:rsid w:val="003414C0"/>
    <w:rsid w:val="00341B13"/>
    <w:rsid w:val="00344912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A1122"/>
    <w:rsid w:val="003A4142"/>
    <w:rsid w:val="003A42A4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5FB8"/>
    <w:rsid w:val="003E6F2B"/>
    <w:rsid w:val="003E7DE7"/>
    <w:rsid w:val="003F1271"/>
    <w:rsid w:val="003F211F"/>
    <w:rsid w:val="003F31B9"/>
    <w:rsid w:val="003F4FB3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74AE"/>
    <w:rsid w:val="00422B81"/>
    <w:rsid w:val="00422C1B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866"/>
    <w:rsid w:val="004419D1"/>
    <w:rsid w:val="00446238"/>
    <w:rsid w:val="00452675"/>
    <w:rsid w:val="00452EB2"/>
    <w:rsid w:val="004552EF"/>
    <w:rsid w:val="00455377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7013D"/>
    <w:rsid w:val="0047133F"/>
    <w:rsid w:val="004715FD"/>
    <w:rsid w:val="004736C3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5019"/>
    <w:rsid w:val="004A674D"/>
    <w:rsid w:val="004A696D"/>
    <w:rsid w:val="004A795C"/>
    <w:rsid w:val="004B4DAE"/>
    <w:rsid w:val="004B60E8"/>
    <w:rsid w:val="004C1993"/>
    <w:rsid w:val="004C1E3C"/>
    <w:rsid w:val="004C494B"/>
    <w:rsid w:val="004C7E97"/>
    <w:rsid w:val="004D0062"/>
    <w:rsid w:val="004D0CD1"/>
    <w:rsid w:val="004D11BA"/>
    <w:rsid w:val="004D1FA2"/>
    <w:rsid w:val="004D2086"/>
    <w:rsid w:val="004D2622"/>
    <w:rsid w:val="004D2EA6"/>
    <w:rsid w:val="004D2F1D"/>
    <w:rsid w:val="004D409F"/>
    <w:rsid w:val="004D5D83"/>
    <w:rsid w:val="004E1BB4"/>
    <w:rsid w:val="004E25FB"/>
    <w:rsid w:val="004E286D"/>
    <w:rsid w:val="004E3443"/>
    <w:rsid w:val="004E4116"/>
    <w:rsid w:val="004E44C8"/>
    <w:rsid w:val="004E4504"/>
    <w:rsid w:val="004E7073"/>
    <w:rsid w:val="004E7422"/>
    <w:rsid w:val="004E759E"/>
    <w:rsid w:val="004F10F9"/>
    <w:rsid w:val="004F218A"/>
    <w:rsid w:val="004F2583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DB8"/>
    <w:rsid w:val="00576D74"/>
    <w:rsid w:val="005807F3"/>
    <w:rsid w:val="00581B1B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B3224"/>
    <w:rsid w:val="005C34E5"/>
    <w:rsid w:val="005C52D0"/>
    <w:rsid w:val="005C596E"/>
    <w:rsid w:val="005C6D9E"/>
    <w:rsid w:val="005C6DEF"/>
    <w:rsid w:val="005D0A69"/>
    <w:rsid w:val="005D2893"/>
    <w:rsid w:val="005D3E9E"/>
    <w:rsid w:val="005D4285"/>
    <w:rsid w:val="005D7D18"/>
    <w:rsid w:val="005E0EA6"/>
    <w:rsid w:val="005E14CA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5AC3"/>
    <w:rsid w:val="006063BC"/>
    <w:rsid w:val="00610748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5390"/>
    <w:rsid w:val="00635EB7"/>
    <w:rsid w:val="00636C08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57346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354B"/>
    <w:rsid w:val="006842A5"/>
    <w:rsid w:val="006845EE"/>
    <w:rsid w:val="00684B04"/>
    <w:rsid w:val="006859F0"/>
    <w:rsid w:val="00687BBA"/>
    <w:rsid w:val="00691FB0"/>
    <w:rsid w:val="00694813"/>
    <w:rsid w:val="006950FD"/>
    <w:rsid w:val="00697619"/>
    <w:rsid w:val="00697EEE"/>
    <w:rsid w:val="006A0586"/>
    <w:rsid w:val="006A2A8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749E"/>
    <w:rsid w:val="006D0D39"/>
    <w:rsid w:val="006D1AFE"/>
    <w:rsid w:val="006D2B0A"/>
    <w:rsid w:val="006D2BE4"/>
    <w:rsid w:val="006D56FE"/>
    <w:rsid w:val="006D685D"/>
    <w:rsid w:val="006E05BA"/>
    <w:rsid w:val="006E0E85"/>
    <w:rsid w:val="006E457B"/>
    <w:rsid w:val="006E4AE1"/>
    <w:rsid w:val="006E55A3"/>
    <w:rsid w:val="006E6529"/>
    <w:rsid w:val="006E7280"/>
    <w:rsid w:val="006E770F"/>
    <w:rsid w:val="006F331D"/>
    <w:rsid w:val="006F3459"/>
    <w:rsid w:val="006F4E94"/>
    <w:rsid w:val="006F6071"/>
    <w:rsid w:val="006F7C04"/>
    <w:rsid w:val="00703221"/>
    <w:rsid w:val="00704398"/>
    <w:rsid w:val="00710E31"/>
    <w:rsid w:val="00711C22"/>
    <w:rsid w:val="00712004"/>
    <w:rsid w:val="007120D1"/>
    <w:rsid w:val="007139C8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37C9F"/>
    <w:rsid w:val="007407BC"/>
    <w:rsid w:val="00741FA5"/>
    <w:rsid w:val="00742144"/>
    <w:rsid w:val="007432FB"/>
    <w:rsid w:val="00743984"/>
    <w:rsid w:val="00744D67"/>
    <w:rsid w:val="007457B8"/>
    <w:rsid w:val="00746768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57DE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83E"/>
    <w:rsid w:val="0079369B"/>
    <w:rsid w:val="00793C3E"/>
    <w:rsid w:val="007952AF"/>
    <w:rsid w:val="007976F3"/>
    <w:rsid w:val="007A030E"/>
    <w:rsid w:val="007A2905"/>
    <w:rsid w:val="007A33C9"/>
    <w:rsid w:val="007A5D6A"/>
    <w:rsid w:val="007A62DD"/>
    <w:rsid w:val="007A6551"/>
    <w:rsid w:val="007B0F9A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0F15"/>
    <w:rsid w:val="007C1F23"/>
    <w:rsid w:val="007C2372"/>
    <w:rsid w:val="007C27F2"/>
    <w:rsid w:val="007C4C8F"/>
    <w:rsid w:val="007C5152"/>
    <w:rsid w:val="007C5D29"/>
    <w:rsid w:val="007C6F38"/>
    <w:rsid w:val="007C7489"/>
    <w:rsid w:val="007D1A78"/>
    <w:rsid w:val="007D3526"/>
    <w:rsid w:val="007D4341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44F8"/>
    <w:rsid w:val="007F4880"/>
    <w:rsid w:val="007F7BBD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2EA2"/>
    <w:rsid w:val="00823EF7"/>
    <w:rsid w:val="00824E36"/>
    <w:rsid w:val="00826D4E"/>
    <w:rsid w:val="00830060"/>
    <w:rsid w:val="00830538"/>
    <w:rsid w:val="00830FE3"/>
    <w:rsid w:val="0083220E"/>
    <w:rsid w:val="0083258D"/>
    <w:rsid w:val="00832C81"/>
    <w:rsid w:val="00835E9A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34BA"/>
    <w:rsid w:val="00853DC1"/>
    <w:rsid w:val="008541BB"/>
    <w:rsid w:val="00854452"/>
    <w:rsid w:val="00856284"/>
    <w:rsid w:val="0085644D"/>
    <w:rsid w:val="0085714B"/>
    <w:rsid w:val="00860C08"/>
    <w:rsid w:val="0086286A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769C"/>
    <w:rsid w:val="008B10C6"/>
    <w:rsid w:val="008B1992"/>
    <w:rsid w:val="008B19B1"/>
    <w:rsid w:val="008B492F"/>
    <w:rsid w:val="008B7A8A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48DF"/>
    <w:rsid w:val="008D5306"/>
    <w:rsid w:val="008D577C"/>
    <w:rsid w:val="008D593B"/>
    <w:rsid w:val="008E3B84"/>
    <w:rsid w:val="008F4A5A"/>
    <w:rsid w:val="008F71F3"/>
    <w:rsid w:val="00901331"/>
    <w:rsid w:val="00902090"/>
    <w:rsid w:val="00902DCF"/>
    <w:rsid w:val="009035AF"/>
    <w:rsid w:val="00903B7C"/>
    <w:rsid w:val="00904459"/>
    <w:rsid w:val="0090709A"/>
    <w:rsid w:val="00910C7E"/>
    <w:rsid w:val="009167C6"/>
    <w:rsid w:val="0091769E"/>
    <w:rsid w:val="009212F5"/>
    <w:rsid w:val="009236F5"/>
    <w:rsid w:val="00923D6B"/>
    <w:rsid w:val="00924FCA"/>
    <w:rsid w:val="009319A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22BD"/>
    <w:rsid w:val="0094304D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2FE2"/>
    <w:rsid w:val="00973CA8"/>
    <w:rsid w:val="00975FEF"/>
    <w:rsid w:val="009760F9"/>
    <w:rsid w:val="009763E6"/>
    <w:rsid w:val="00980886"/>
    <w:rsid w:val="00981700"/>
    <w:rsid w:val="00983303"/>
    <w:rsid w:val="0098477D"/>
    <w:rsid w:val="00985D84"/>
    <w:rsid w:val="00986DB2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52AD"/>
    <w:rsid w:val="009A71BE"/>
    <w:rsid w:val="009A75B7"/>
    <w:rsid w:val="009B2A77"/>
    <w:rsid w:val="009B4731"/>
    <w:rsid w:val="009C08CD"/>
    <w:rsid w:val="009C190A"/>
    <w:rsid w:val="009C23BC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E40"/>
    <w:rsid w:val="009E607F"/>
    <w:rsid w:val="009E7303"/>
    <w:rsid w:val="009F040B"/>
    <w:rsid w:val="009F2244"/>
    <w:rsid w:val="009F426B"/>
    <w:rsid w:val="009F57F3"/>
    <w:rsid w:val="009F63A5"/>
    <w:rsid w:val="009F6FE7"/>
    <w:rsid w:val="009F79DB"/>
    <w:rsid w:val="00A00766"/>
    <w:rsid w:val="00A01E6A"/>
    <w:rsid w:val="00A039B2"/>
    <w:rsid w:val="00A04098"/>
    <w:rsid w:val="00A066A7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7083"/>
    <w:rsid w:val="00A17A21"/>
    <w:rsid w:val="00A17CA5"/>
    <w:rsid w:val="00A17F26"/>
    <w:rsid w:val="00A2098F"/>
    <w:rsid w:val="00A22ECF"/>
    <w:rsid w:val="00A232BD"/>
    <w:rsid w:val="00A23B7C"/>
    <w:rsid w:val="00A24EBE"/>
    <w:rsid w:val="00A251D9"/>
    <w:rsid w:val="00A276AF"/>
    <w:rsid w:val="00A3205E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4E44"/>
    <w:rsid w:val="00A85789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5F92"/>
    <w:rsid w:val="00B5645D"/>
    <w:rsid w:val="00B57AB3"/>
    <w:rsid w:val="00B61A16"/>
    <w:rsid w:val="00B62650"/>
    <w:rsid w:val="00B6586F"/>
    <w:rsid w:val="00B67573"/>
    <w:rsid w:val="00B725E1"/>
    <w:rsid w:val="00B7473E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87B36"/>
    <w:rsid w:val="00B90414"/>
    <w:rsid w:val="00B90EC4"/>
    <w:rsid w:val="00B91862"/>
    <w:rsid w:val="00B91BC9"/>
    <w:rsid w:val="00B91DEF"/>
    <w:rsid w:val="00B92383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D5DF1"/>
    <w:rsid w:val="00BE0C50"/>
    <w:rsid w:val="00BE23F2"/>
    <w:rsid w:val="00BE722E"/>
    <w:rsid w:val="00BE7822"/>
    <w:rsid w:val="00BF138A"/>
    <w:rsid w:val="00BF1DD7"/>
    <w:rsid w:val="00BF3776"/>
    <w:rsid w:val="00BF4BBA"/>
    <w:rsid w:val="00BF5B82"/>
    <w:rsid w:val="00BF6060"/>
    <w:rsid w:val="00BF669A"/>
    <w:rsid w:val="00BF67F1"/>
    <w:rsid w:val="00BF6D60"/>
    <w:rsid w:val="00BF749F"/>
    <w:rsid w:val="00C0096E"/>
    <w:rsid w:val="00C01A7D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7EC"/>
    <w:rsid w:val="00C27A66"/>
    <w:rsid w:val="00C3124A"/>
    <w:rsid w:val="00C31349"/>
    <w:rsid w:val="00C32D62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CBF"/>
    <w:rsid w:val="00C4420E"/>
    <w:rsid w:val="00C445A9"/>
    <w:rsid w:val="00C4792C"/>
    <w:rsid w:val="00C51D9B"/>
    <w:rsid w:val="00C53947"/>
    <w:rsid w:val="00C56C1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7254F"/>
    <w:rsid w:val="00C734EC"/>
    <w:rsid w:val="00C739CE"/>
    <w:rsid w:val="00C76FE6"/>
    <w:rsid w:val="00C813F3"/>
    <w:rsid w:val="00C81738"/>
    <w:rsid w:val="00C821FD"/>
    <w:rsid w:val="00C83B5A"/>
    <w:rsid w:val="00C84239"/>
    <w:rsid w:val="00C84D1C"/>
    <w:rsid w:val="00C86CAA"/>
    <w:rsid w:val="00C87344"/>
    <w:rsid w:val="00C87A70"/>
    <w:rsid w:val="00C87FDA"/>
    <w:rsid w:val="00C914CD"/>
    <w:rsid w:val="00C95014"/>
    <w:rsid w:val="00C95C8F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F95"/>
    <w:rsid w:val="00CB6101"/>
    <w:rsid w:val="00CB679D"/>
    <w:rsid w:val="00CB761C"/>
    <w:rsid w:val="00CB7761"/>
    <w:rsid w:val="00CC532C"/>
    <w:rsid w:val="00CC5885"/>
    <w:rsid w:val="00CC5BA5"/>
    <w:rsid w:val="00CC5BB9"/>
    <w:rsid w:val="00CC65A3"/>
    <w:rsid w:val="00CD08B6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62D9"/>
    <w:rsid w:val="00D163F2"/>
    <w:rsid w:val="00D16E1C"/>
    <w:rsid w:val="00D20E8E"/>
    <w:rsid w:val="00D22A24"/>
    <w:rsid w:val="00D23574"/>
    <w:rsid w:val="00D23D79"/>
    <w:rsid w:val="00D24C2F"/>
    <w:rsid w:val="00D24F63"/>
    <w:rsid w:val="00D25591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54A2"/>
    <w:rsid w:val="00D45A40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632D"/>
    <w:rsid w:val="00DB7360"/>
    <w:rsid w:val="00DB754C"/>
    <w:rsid w:val="00DC2929"/>
    <w:rsid w:val="00DC2EB0"/>
    <w:rsid w:val="00DC5191"/>
    <w:rsid w:val="00DC6137"/>
    <w:rsid w:val="00DC6BD5"/>
    <w:rsid w:val="00DC6E33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EAC"/>
    <w:rsid w:val="00E00EA6"/>
    <w:rsid w:val="00E00EB1"/>
    <w:rsid w:val="00E02140"/>
    <w:rsid w:val="00E035E9"/>
    <w:rsid w:val="00E03FC3"/>
    <w:rsid w:val="00E0521C"/>
    <w:rsid w:val="00E07167"/>
    <w:rsid w:val="00E10935"/>
    <w:rsid w:val="00E11907"/>
    <w:rsid w:val="00E11EF4"/>
    <w:rsid w:val="00E12877"/>
    <w:rsid w:val="00E14253"/>
    <w:rsid w:val="00E164E0"/>
    <w:rsid w:val="00E21441"/>
    <w:rsid w:val="00E22318"/>
    <w:rsid w:val="00E23F13"/>
    <w:rsid w:val="00E2680E"/>
    <w:rsid w:val="00E26EB9"/>
    <w:rsid w:val="00E30EF0"/>
    <w:rsid w:val="00E312F2"/>
    <w:rsid w:val="00E321BE"/>
    <w:rsid w:val="00E32833"/>
    <w:rsid w:val="00E329E2"/>
    <w:rsid w:val="00E34EB1"/>
    <w:rsid w:val="00E40F98"/>
    <w:rsid w:val="00E414E5"/>
    <w:rsid w:val="00E43F1B"/>
    <w:rsid w:val="00E46121"/>
    <w:rsid w:val="00E46B3D"/>
    <w:rsid w:val="00E46D45"/>
    <w:rsid w:val="00E47D06"/>
    <w:rsid w:val="00E51EAF"/>
    <w:rsid w:val="00E5465E"/>
    <w:rsid w:val="00E54C35"/>
    <w:rsid w:val="00E54FEE"/>
    <w:rsid w:val="00E553F6"/>
    <w:rsid w:val="00E5641F"/>
    <w:rsid w:val="00E56CA1"/>
    <w:rsid w:val="00E608C4"/>
    <w:rsid w:val="00E6172E"/>
    <w:rsid w:val="00E6206B"/>
    <w:rsid w:val="00E628B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0D9"/>
    <w:rsid w:val="00E94314"/>
    <w:rsid w:val="00E94D63"/>
    <w:rsid w:val="00E96DA0"/>
    <w:rsid w:val="00EA0CF1"/>
    <w:rsid w:val="00EA1217"/>
    <w:rsid w:val="00EA366B"/>
    <w:rsid w:val="00EA3AD3"/>
    <w:rsid w:val="00EA5C04"/>
    <w:rsid w:val="00EB1470"/>
    <w:rsid w:val="00EB15D1"/>
    <w:rsid w:val="00EB4140"/>
    <w:rsid w:val="00EB48F4"/>
    <w:rsid w:val="00EB4FA6"/>
    <w:rsid w:val="00EB7C8C"/>
    <w:rsid w:val="00EC0614"/>
    <w:rsid w:val="00EC224F"/>
    <w:rsid w:val="00EC26FE"/>
    <w:rsid w:val="00EC6ADE"/>
    <w:rsid w:val="00ED126D"/>
    <w:rsid w:val="00ED4E43"/>
    <w:rsid w:val="00ED5E4D"/>
    <w:rsid w:val="00ED758A"/>
    <w:rsid w:val="00EE5038"/>
    <w:rsid w:val="00EE54C6"/>
    <w:rsid w:val="00EE6523"/>
    <w:rsid w:val="00EF16AB"/>
    <w:rsid w:val="00EF2BEC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51A1"/>
    <w:rsid w:val="00F11BFD"/>
    <w:rsid w:val="00F11C62"/>
    <w:rsid w:val="00F12067"/>
    <w:rsid w:val="00F12897"/>
    <w:rsid w:val="00F12F31"/>
    <w:rsid w:val="00F136A9"/>
    <w:rsid w:val="00F21922"/>
    <w:rsid w:val="00F2278F"/>
    <w:rsid w:val="00F22A42"/>
    <w:rsid w:val="00F23436"/>
    <w:rsid w:val="00F256A5"/>
    <w:rsid w:val="00F27960"/>
    <w:rsid w:val="00F31578"/>
    <w:rsid w:val="00F3693D"/>
    <w:rsid w:val="00F36B50"/>
    <w:rsid w:val="00F36E6C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7404"/>
    <w:rsid w:val="00F47B5E"/>
    <w:rsid w:val="00F51CD0"/>
    <w:rsid w:val="00F52448"/>
    <w:rsid w:val="00F548D7"/>
    <w:rsid w:val="00F57EDE"/>
    <w:rsid w:val="00F61432"/>
    <w:rsid w:val="00F61951"/>
    <w:rsid w:val="00F61AA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76A6F"/>
    <w:rsid w:val="00F77802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D0F84"/>
    <w:rsid w:val="00FD17B2"/>
    <w:rsid w:val="00FD1979"/>
    <w:rsid w:val="00FD1F71"/>
    <w:rsid w:val="00FD2DF5"/>
    <w:rsid w:val="00FD5852"/>
    <w:rsid w:val="00FD64FA"/>
    <w:rsid w:val="00FD6689"/>
    <w:rsid w:val="00FE101B"/>
    <w:rsid w:val="00FE34DD"/>
    <w:rsid w:val="00FE352E"/>
    <w:rsid w:val="00FE700A"/>
    <w:rsid w:val="00FF018F"/>
    <w:rsid w:val="00FF1C01"/>
    <w:rsid w:val="00FF2D5D"/>
    <w:rsid w:val="00FF429A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697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227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11606784"/>
        <c:axId val="111293184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401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1017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432E-2"/>
                  <c:y val="2.0673341489937203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4864E-3"/>
                  <c:y val="3.2641246661532397E-2"/>
                </c:manualLayout>
              </c:layout>
              <c:showVal val="1"/>
            </c:dLbl>
            <c:dLbl>
              <c:idx val="6"/>
              <c:layout>
                <c:manualLayout>
                  <c:x val="-1.1240269253519076E-2"/>
                  <c:y val="3.0530602656389867E-2"/>
                </c:manualLayout>
              </c:layout>
              <c:showVal val="1"/>
            </c:dLbl>
            <c:dLbl>
              <c:idx val="7"/>
              <c:layout>
                <c:manualLayout>
                  <c:x val="-2.5520262446013377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11313664"/>
        <c:axId val="111295104"/>
      </c:lineChart>
      <c:catAx>
        <c:axId val="111606784"/>
        <c:scaling>
          <c:orientation val="minMax"/>
        </c:scaling>
        <c:axPos val="b"/>
        <c:numFmt formatCode="General" sourceLinked="1"/>
        <c:tickLblPos val="nextTo"/>
        <c:crossAx val="111293184"/>
        <c:crosses val="autoZero"/>
        <c:auto val="1"/>
        <c:lblAlgn val="ctr"/>
        <c:lblOffset val="100"/>
      </c:catAx>
      <c:valAx>
        <c:axId val="1112931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1606784"/>
        <c:crosses val="autoZero"/>
        <c:crossBetween val="between"/>
      </c:valAx>
      <c:valAx>
        <c:axId val="111295104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1313664"/>
        <c:crosses val="max"/>
        <c:crossBetween val="between"/>
      </c:valAx>
      <c:catAx>
        <c:axId val="111313664"/>
        <c:scaling>
          <c:orientation val="minMax"/>
        </c:scaling>
        <c:delete val="1"/>
        <c:axPos val="b"/>
        <c:numFmt formatCode="General" sourceLinked="1"/>
        <c:tickLblPos val="none"/>
        <c:crossAx val="111295104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1851072740150125"/>
          <c:w val="0.87273784638849328"/>
          <c:h val="0.77741899161407246"/>
        </c:manualLayout>
      </c:layout>
      <c:lineChart>
        <c:grouping val="standard"/>
        <c:ser>
          <c:idx val="0"/>
          <c:order val="0"/>
          <c:tx>
            <c:strRef>
              <c:f>List1!$H$150</c:f>
              <c:strCache>
                <c:ptCount val="1"/>
                <c:pt idx="0">
                  <c:v>CZV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5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cat>
            <c:strRef>
              <c:f>List1!$G$151:$G$285</c:f>
              <c:strCache>
                <c:ptCount val="135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  <c:pt idx="134">
                  <c:v>III.13</c:v>
                </c:pt>
              </c:strCache>
            </c:strRef>
          </c:cat>
          <c:val>
            <c:numRef>
              <c:f>List1!$H$151:$H$285</c:f>
              <c:numCache>
                <c:formatCode>General</c:formatCode>
                <c:ptCount val="135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8.2199999999999989</c:v>
                </c:pt>
                <c:pt idx="43">
                  <c:v>8.26</c:v>
                </c:pt>
                <c:pt idx="44">
                  <c:v>8.2199999999999989</c:v>
                </c:pt>
                <c:pt idx="45">
                  <c:v>8.2199999999999989</c:v>
                </c:pt>
                <c:pt idx="46">
                  <c:v>8.2199999999999989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8.2199999999999989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  <c:pt idx="125">
                  <c:v>7.3199999999999985</c:v>
                </c:pt>
                <c:pt idx="126">
                  <c:v>7.24</c:v>
                </c:pt>
                <c:pt idx="127">
                  <c:v>7.26</c:v>
                </c:pt>
                <c:pt idx="128">
                  <c:v>7.33</c:v>
                </c:pt>
                <c:pt idx="129">
                  <c:v>7.49</c:v>
                </c:pt>
                <c:pt idx="130">
                  <c:v>7.68</c:v>
                </c:pt>
                <c:pt idx="131">
                  <c:v>7.8199999999999985</c:v>
                </c:pt>
                <c:pt idx="132">
                  <c:v>7.95</c:v>
                </c:pt>
                <c:pt idx="133">
                  <c:v>8.06</c:v>
                </c:pt>
                <c:pt idx="134">
                  <c:v>8.1399999999999988</c:v>
                </c:pt>
              </c:numCache>
            </c:numRef>
          </c:val>
        </c:ser>
        <c:ser>
          <c:idx val="1"/>
          <c:order val="1"/>
          <c:tx>
            <c:strRef>
              <c:f>List1!$I$150</c:f>
              <c:strCache>
                <c:ptCount val="1"/>
                <c:pt idx="0">
                  <c:v>CPV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rgbClr val="C0504D">
                    <a:lumMod val="50000"/>
                  </a:srgbClr>
                </a:solidFill>
              </a:ln>
            </c:spPr>
          </c:marker>
          <c:cat>
            <c:strRef>
              <c:f>List1!$G$151:$G$285</c:f>
              <c:strCache>
                <c:ptCount val="135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  <c:pt idx="134">
                  <c:v>III.13</c:v>
                </c:pt>
              </c:strCache>
            </c:strRef>
          </c:cat>
          <c:val>
            <c:numRef>
              <c:f>List1!$I$151:$I$285</c:f>
              <c:numCache>
                <c:formatCode>General</c:formatCode>
                <c:ptCount val="135"/>
                <c:pt idx="0">
                  <c:v>11.9</c:v>
                </c:pt>
                <c:pt idx="1">
                  <c:v>11.9</c:v>
                </c:pt>
                <c:pt idx="2">
                  <c:v>11.860000000000024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10.350000000000026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10.860000000000024</c:v>
                </c:pt>
                <c:pt idx="31">
                  <c:v>10.860000000000024</c:v>
                </c:pt>
                <c:pt idx="32">
                  <c:v>10.860000000000024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10.350000000000026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  <c:pt idx="125">
                  <c:v>9.129999999999999</c:v>
                </c:pt>
                <c:pt idx="126">
                  <c:v>8.75</c:v>
                </c:pt>
                <c:pt idx="127">
                  <c:v>8.620000000000001</c:v>
                </c:pt>
                <c:pt idx="128">
                  <c:v>8.89</c:v>
                </c:pt>
                <c:pt idx="129">
                  <c:v>9.9</c:v>
                </c:pt>
                <c:pt idx="130">
                  <c:v>10.52</c:v>
                </c:pt>
                <c:pt idx="131">
                  <c:v>10.639999999999999</c:v>
                </c:pt>
                <c:pt idx="132">
                  <c:v>10.97</c:v>
                </c:pt>
                <c:pt idx="133">
                  <c:v>10.9</c:v>
                </c:pt>
                <c:pt idx="134">
                  <c:v>11</c:v>
                </c:pt>
              </c:numCache>
            </c:numRef>
          </c:val>
        </c:ser>
        <c:ser>
          <c:idx val="2"/>
          <c:order val="2"/>
          <c:tx>
            <c:strRef>
              <c:f>List1!$J$150</c:f>
              <c:strCache>
                <c:ptCount val="1"/>
                <c:pt idx="0">
                  <c:v>SC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cat>
            <c:strRef>
              <c:f>List1!$G$151:$G$285</c:f>
              <c:strCache>
                <c:ptCount val="135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  <c:pt idx="134">
                  <c:v>III.13</c:v>
                </c:pt>
              </c:strCache>
            </c:strRef>
          </c:cat>
          <c:val>
            <c:numRef>
              <c:f>List1!$J$151:$J$285</c:f>
              <c:numCache>
                <c:formatCode>General</c:formatCode>
                <c:ptCount val="135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17.110000000000031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  <c:pt idx="125">
                  <c:v>16.54</c:v>
                </c:pt>
                <c:pt idx="126">
                  <c:v>16.690000000000001</c:v>
                </c:pt>
                <c:pt idx="127">
                  <c:v>16</c:v>
                </c:pt>
                <c:pt idx="128">
                  <c:v>15.96</c:v>
                </c:pt>
                <c:pt idx="129">
                  <c:v>16.64</c:v>
                </c:pt>
                <c:pt idx="130">
                  <c:v>16.54</c:v>
                </c:pt>
                <c:pt idx="131">
                  <c:v>16.95</c:v>
                </c:pt>
                <c:pt idx="132">
                  <c:v>17.34</c:v>
                </c:pt>
                <c:pt idx="133">
                  <c:v>16.920000000000002</c:v>
                </c:pt>
                <c:pt idx="134">
                  <c:v>17.5</c:v>
                </c:pt>
              </c:numCache>
            </c:numRef>
          </c:val>
        </c:ser>
        <c:marker val="1"/>
        <c:axId val="111342720"/>
        <c:axId val="111344640"/>
      </c:lineChart>
      <c:catAx>
        <c:axId val="111342720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1344640"/>
        <c:crosses val="autoZero"/>
        <c:auto val="1"/>
        <c:lblAlgn val="ctr"/>
        <c:lblOffset val="100"/>
      </c:catAx>
      <c:valAx>
        <c:axId val="111344640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11342720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737"/>
          <c:y val="0.9542394925443809"/>
          <c:w val="0.51678217131677007"/>
          <c:h val="3.3088750689504891E-2"/>
        </c:manualLayout>
      </c:layout>
    </c:legend>
    <c:plotVisOnly val="1"/>
  </c:chart>
  <c:spPr>
    <a:solidFill>
      <a:srgbClr val="F3F4BE"/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únoru </a:t>
            </a:r>
            <a:r>
              <a:rPr lang="en-US" sz="1200"/>
              <a:t>201</a:t>
            </a:r>
            <a:r>
              <a:rPr lang="cs-CZ" sz="1200"/>
              <a:t>2</a:t>
            </a:r>
            <a:r>
              <a:rPr lang="en-US" sz="1200"/>
              <a:t> a 201</a:t>
            </a:r>
            <a:r>
              <a:rPr lang="cs-CZ" sz="1200"/>
              <a:t>3</a:t>
            </a: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/>
              <a:t>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713"/>
          <c:y val="0.14047001471670345"/>
          <c:w val="0.82924124649861308"/>
          <c:h val="0.63370632459188103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Rakousko</c:v>
                </c:pt>
                <c:pt idx="7">
                  <c:v>Nizozemsko</c:v>
                </c:pt>
                <c:pt idx="8">
                  <c:v>Německo</c:v>
                </c:pt>
                <c:pt idx="9">
                  <c:v>Lucembursko</c:v>
                </c:pt>
                <c:pt idx="10">
                  <c:v>Vážený průměr EU-27</c:v>
                </c:pt>
                <c:pt idx="11">
                  <c:v>Bulharsko</c:v>
                </c:pt>
                <c:pt idx="12">
                  <c:v>Belgie</c:v>
                </c:pt>
                <c:pt idx="13">
                  <c:v>Spojené království</c:v>
                </c:pt>
                <c:pt idx="14">
                  <c:v>Irsko</c:v>
                </c:pt>
                <c:pt idx="15">
                  <c:v>Dánsko</c:v>
                </c:pt>
                <c:pt idx="16">
                  <c:v>Španělsko</c:v>
                </c:pt>
                <c:pt idx="17">
                  <c:v>Francie</c:v>
                </c:pt>
                <c:pt idx="18">
                  <c:v>Estonsko</c:v>
                </c:pt>
                <c:pt idx="19">
                  <c:v>Portugalsko</c:v>
                </c:pt>
                <c:pt idx="20">
                  <c:v>Slovensko</c:v>
                </c:pt>
                <c:pt idx="21">
                  <c:v>Maďarsko</c:v>
                </c:pt>
                <c:pt idx="22">
                  <c:v>Česká republika</c:v>
                </c:pt>
                <c:pt idx="23">
                  <c:v>Slovinsko</c:v>
                </c:pt>
                <c:pt idx="24">
                  <c:v>Litva</c:v>
                </c:pt>
                <c:pt idx="25">
                  <c:v>Rumunsko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53.33</c:v>
                </c:pt>
                <c:pt idx="1">
                  <c:v>46.09</c:v>
                </c:pt>
                <c:pt idx="2" formatCode="0.00">
                  <c:v>45.06</c:v>
                </c:pt>
                <c:pt idx="3">
                  <c:v>46.71</c:v>
                </c:pt>
                <c:pt idx="4" formatCode="0.00">
                  <c:v>38.9</c:v>
                </c:pt>
                <c:pt idx="5" formatCode="0.00">
                  <c:v>36.71</c:v>
                </c:pt>
                <c:pt idx="6" formatCode="0.00">
                  <c:v>37.08</c:v>
                </c:pt>
                <c:pt idx="7" formatCode="0.00">
                  <c:v>35.75</c:v>
                </c:pt>
                <c:pt idx="8" formatCode="0.00">
                  <c:v>33.4</c:v>
                </c:pt>
                <c:pt idx="9" formatCode="0.00">
                  <c:v>33.770000000000003</c:v>
                </c:pt>
                <c:pt idx="10" formatCode="0.00">
                  <c:v>34.300000000000004</c:v>
                </c:pt>
                <c:pt idx="11" formatCode="0.00">
                  <c:v>32.290000000000013</c:v>
                </c:pt>
                <c:pt idx="12" formatCode="0.00">
                  <c:v>32.130000000000003</c:v>
                </c:pt>
                <c:pt idx="13" formatCode="0.00">
                  <c:v>33.54</c:v>
                </c:pt>
                <c:pt idx="14" formatCode="0.00">
                  <c:v>34.28</c:v>
                </c:pt>
                <c:pt idx="15" formatCode="0.00">
                  <c:v>35</c:v>
                </c:pt>
                <c:pt idx="16" formatCode="0.00">
                  <c:v>32.14</c:v>
                </c:pt>
                <c:pt idx="17" formatCode="0.00">
                  <c:v>34.49</c:v>
                </c:pt>
                <c:pt idx="18" formatCode="0.00">
                  <c:v>32.879999999999995</c:v>
                </c:pt>
                <c:pt idx="19" formatCode="0.00">
                  <c:v>31.89</c:v>
                </c:pt>
                <c:pt idx="20" formatCode="0.00">
                  <c:v>31.630000000000031</c:v>
                </c:pt>
                <c:pt idx="21" formatCode="0.00">
                  <c:v>31.779999999999987</c:v>
                </c:pt>
                <c:pt idx="22" formatCode="#,##0.00">
                  <c:v>32.270000000000003</c:v>
                </c:pt>
                <c:pt idx="23" formatCode="0.00">
                  <c:v>32.270000000000003</c:v>
                </c:pt>
                <c:pt idx="24" formatCode="0.00">
                  <c:v>30.35</c:v>
                </c:pt>
                <c:pt idx="25" formatCode="0.00">
                  <c:v>29.88</c:v>
                </c:pt>
                <c:pt idx="26" formatCode="0.00">
                  <c:v>30.34</c:v>
                </c:pt>
                <c:pt idx="27" formatCode="0.00">
                  <c:v>30.38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00000"/>
            </a:solidFill>
          </c:spPr>
          <c:dPt>
            <c:idx val="10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Řecko</c:v>
                </c:pt>
                <c:pt idx="4">
                  <c:v>Itálie</c:v>
                </c:pt>
                <c:pt idx="5">
                  <c:v>Švédsko</c:v>
                </c:pt>
                <c:pt idx="6">
                  <c:v>Rakousko</c:v>
                </c:pt>
                <c:pt idx="7">
                  <c:v>Nizozemsko</c:v>
                </c:pt>
                <c:pt idx="8">
                  <c:v>Německo</c:v>
                </c:pt>
                <c:pt idx="9">
                  <c:v>Lucembursko</c:v>
                </c:pt>
                <c:pt idx="10">
                  <c:v>Vážený průměr EU-27</c:v>
                </c:pt>
                <c:pt idx="11">
                  <c:v>Bulharsko</c:v>
                </c:pt>
                <c:pt idx="12">
                  <c:v>Belgie</c:v>
                </c:pt>
                <c:pt idx="13">
                  <c:v>Spojené království</c:v>
                </c:pt>
                <c:pt idx="14">
                  <c:v>Irsko</c:v>
                </c:pt>
                <c:pt idx="15">
                  <c:v>Dánsko</c:v>
                </c:pt>
                <c:pt idx="16">
                  <c:v>Španělsko</c:v>
                </c:pt>
                <c:pt idx="17">
                  <c:v>Francie</c:v>
                </c:pt>
                <c:pt idx="18">
                  <c:v>Estonsko</c:v>
                </c:pt>
                <c:pt idx="19">
                  <c:v>Portugalsko</c:v>
                </c:pt>
                <c:pt idx="20">
                  <c:v>Slovensko</c:v>
                </c:pt>
                <c:pt idx="21">
                  <c:v>Maďarsko</c:v>
                </c:pt>
                <c:pt idx="22">
                  <c:v>Česká republika</c:v>
                </c:pt>
                <c:pt idx="23">
                  <c:v>Slovinsko</c:v>
                </c:pt>
                <c:pt idx="24">
                  <c:v>Litva</c:v>
                </c:pt>
                <c:pt idx="25">
                  <c:v>Rumunsko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List1!$Q$6:$Q$33</c:f>
              <c:numCache>
                <c:formatCode>#,##0.00</c:formatCode>
                <c:ptCount val="28"/>
                <c:pt idx="0" formatCode="0.00">
                  <c:v>57.809999999999995</c:v>
                </c:pt>
                <c:pt idx="1">
                  <c:v>52.620000000000012</c:v>
                </c:pt>
                <c:pt idx="2" formatCode="0.00">
                  <c:v>44.74</c:v>
                </c:pt>
                <c:pt idx="3" formatCode="0.00">
                  <c:v>44.54</c:v>
                </c:pt>
                <c:pt idx="4" formatCode="0.00">
                  <c:v>38.949999999999996</c:v>
                </c:pt>
                <c:pt idx="5" formatCode="0.00">
                  <c:v>37.32</c:v>
                </c:pt>
                <c:pt idx="6" formatCode="0.00">
                  <c:v>35.370000000000005</c:v>
                </c:pt>
                <c:pt idx="7" formatCode="0.00">
                  <c:v>35</c:v>
                </c:pt>
                <c:pt idx="8" formatCode="0.00">
                  <c:v>34.58</c:v>
                </c:pt>
                <c:pt idx="9" formatCode="0.00">
                  <c:v>34.349999999999994</c:v>
                </c:pt>
                <c:pt idx="10">
                  <c:v>34.1</c:v>
                </c:pt>
                <c:pt idx="11" formatCode="0.00">
                  <c:v>34</c:v>
                </c:pt>
                <c:pt idx="12" formatCode="0.00">
                  <c:v>33.870000000000005</c:v>
                </c:pt>
                <c:pt idx="13" formatCode="0.00">
                  <c:v>33.839999999999996</c:v>
                </c:pt>
                <c:pt idx="14" formatCode="0.00">
                  <c:v>33.309999999999995</c:v>
                </c:pt>
                <c:pt idx="15" formatCode="0.00">
                  <c:v>32.94</c:v>
                </c:pt>
                <c:pt idx="16" formatCode="0.00">
                  <c:v>32.720000000000013</c:v>
                </c:pt>
                <c:pt idx="17" formatCode="0.00">
                  <c:v>32.65</c:v>
                </c:pt>
                <c:pt idx="18" formatCode="0.00">
                  <c:v>32.520000000000003</c:v>
                </c:pt>
                <c:pt idx="19" formatCode="0.00">
                  <c:v>32.03</c:v>
                </c:pt>
                <c:pt idx="20" formatCode="0.00">
                  <c:v>31.66</c:v>
                </c:pt>
                <c:pt idx="21" formatCode="0.00">
                  <c:v>31.53</c:v>
                </c:pt>
                <c:pt idx="22">
                  <c:v>31.4</c:v>
                </c:pt>
                <c:pt idx="23" formatCode="0.00">
                  <c:v>30.75</c:v>
                </c:pt>
                <c:pt idx="24" formatCode="0.00">
                  <c:v>30.3</c:v>
                </c:pt>
                <c:pt idx="25" formatCode="General">
                  <c:v>29.84</c:v>
                </c:pt>
                <c:pt idx="26" formatCode="0.00">
                  <c:v>29.630000000000031</c:v>
                </c:pt>
                <c:pt idx="27" formatCode="0.00">
                  <c:v>29.22</c:v>
                </c:pt>
              </c:numCache>
            </c:numRef>
          </c:val>
        </c:ser>
        <c:axId val="111642112"/>
        <c:axId val="111643648"/>
      </c:barChart>
      <c:catAx>
        <c:axId val="11164211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1643648"/>
        <c:crosses val="autoZero"/>
        <c:auto val="1"/>
        <c:lblAlgn val="ctr"/>
        <c:lblOffset val="100"/>
      </c:catAx>
      <c:valAx>
        <c:axId val="111643648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crossAx val="1116421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78"/>
          <c:y val="0.95997482110680565"/>
          <c:w val="0.67299731559290465"/>
          <c:h val="3.5339189098690452E-2"/>
        </c:manualLayout>
      </c:layout>
    </c:legend>
    <c:plotVisOnly val="1"/>
  </c:chart>
  <c:spPr>
    <a:solidFill>
      <a:srgbClr val="F3F4BE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1611286643536688"/>
          <c:y val="0.12693844989328007"/>
          <c:w val="0.79027035288562331"/>
          <c:h val="0.73090895817443913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List1!$G$41:$G$147</c:f>
              <c:numCache>
                <c:formatCode>mmm/yy</c:formatCode>
                <c:ptCount val="107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  <c:pt idx="106">
                  <c:v>41334</c:v>
                </c:pt>
              </c:numCache>
            </c:numRef>
          </c:cat>
          <c:val>
            <c:numRef>
              <c:f>List1!$H$41:$H$147</c:f>
              <c:numCache>
                <c:formatCode>General</c:formatCode>
                <c:ptCount val="107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  <c:pt idx="102" formatCode="#,##0.00">
                  <c:v>39729</c:v>
                </c:pt>
                <c:pt idx="103" formatCode="#,##0.00">
                  <c:v>37742</c:v>
                </c:pt>
                <c:pt idx="104" formatCode="#,##0.00">
                  <c:v>42422</c:v>
                </c:pt>
                <c:pt idx="105" formatCode="#,##0.00">
                  <c:v>36058</c:v>
                </c:pt>
                <c:pt idx="106" formatCode="#,##0.00">
                  <c:v>40027</c:v>
                </c:pt>
              </c:numCache>
            </c:numRef>
          </c:val>
        </c:ser>
        <c:axId val="111427584"/>
        <c:axId val="11142950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</c:spPr>
          </c:marker>
          <c:cat>
            <c:numRef>
              <c:f>List1!$G$41:$G$147</c:f>
              <c:numCache>
                <c:formatCode>mmm/yy</c:formatCode>
                <c:ptCount val="107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  <c:pt idx="106">
                  <c:v>41334</c:v>
                </c:pt>
              </c:numCache>
            </c:numRef>
          </c:cat>
          <c:val>
            <c:numRef>
              <c:f>List1!$I$41:$I$147</c:f>
              <c:numCache>
                <c:formatCode>General</c:formatCode>
                <c:ptCount val="107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8.2199999999999989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  <c:pt idx="102" formatCode="#,##0.00">
                  <c:v>8.4700000000000006</c:v>
                </c:pt>
                <c:pt idx="103" formatCode="#,##0.00">
                  <c:v>8.629999999999999</c:v>
                </c:pt>
                <c:pt idx="104" formatCode="#,##0.00">
                  <c:v>8.5400000000000009</c:v>
                </c:pt>
                <c:pt idx="105" formatCode="#,##0.00">
                  <c:v>8.68</c:v>
                </c:pt>
                <c:pt idx="106" formatCode="#,##0.00">
                  <c:v>8.7399999999999984</c:v>
                </c:pt>
              </c:numCache>
            </c:numRef>
          </c:val>
        </c:ser>
        <c:marker val="1"/>
        <c:axId val="111433600"/>
        <c:axId val="111431680"/>
      </c:lineChart>
      <c:dateAx>
        <c:axId val="111427584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11429504"/>
        <c:crosses val="autoZero"/>
        <c:auto val="1"/>
        <c:lblOffset val="100"/>
      </c:dateAx>
      <c:valAx>
        <c:axId val="1114295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1427584"/>
        <c:crosses val="autoZero"/>
        <c:crossBetween val="between"/>
      </c:valAx>
      <c:valAx>
        <c:axId val="111431680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1433600"/>
        <c:crosses val="max"/>
        <c:crossBetween val="between"/>
      </c:valAx>
      <c:dateAx>
        <c:axId val="111433600"/>
        <c:scaling>
          <c:orientation val="minMax"/>
        </c:scaling>
        <c:delete val="1"/>
        <c:axPos val="b"/>
        <c:numFmt formatCode="mmm/yy" sourceLinked="1"/>
        <c:tickLblPos val="none"/>
        <c:crossAx val="111431680"/>
        <c:crosses val="autoZero"/>
        <c:auto val="1"/>
        <c:lblOffset val="100"/>
      </c:dateAx>
    </c:plotArea>
    <c:legend>
      <c:legendPos val="b"/>
      <c:layout>
        <c:manualLayout>
          <c:xMode val="edge"/>
          <c:yMode val="edge"/>
          <c:x val="0.38343325824760982"/>
          <c:y val="0.92470711924060423"/>
          <c:w val="0.24405910691397675"/>
          <c:h val="4.7820060362830173E-2"/>
        </c:manualLayout>
      </c:layout>
    </c:legend>
    <c:plotVisOnly val="1"/>
    <c:dispBlanksAs val="gap"/>
  </c:chart>
  <c:spPr>
    <a:solidFill>
      <a:srgbClr val="F3F4BE"/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1D93D-F639-4A6B-BC75-9AB7BC7E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2358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3</cp:revision>
  <cp:lastPrinted>2013-05-13T05:48:00Z</cp:lastPrinted>
  <dcterms:created xsi:type="dcterms:W3CDTF">2013-05-15T12:27:00Z</dcterms:created>
  <dcterms:modified xsi:type="dcterms:W3CDTF">2013-05-15T12:32:00Z</dcterms:modified>
</cp:coreProperties>
</file>