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851"/>
        <w:gridCol w:w="286"/>
      </w:tblGrid>
      <w:tr w:rsidR="00120728" w:rsidTr="00D448B3">
        <w:trPr>
          <w:trHeight w:val="354"/>
        </w:trPr>
        <w:tc>
          <w:tcPr>
            <w:tcW w:w="10279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441866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</w:t>
            </w:r>
            <w:proofErr w:type="gramStart"/>
            <w:r w:rsidR="00441866">
              <w:rPr>
                <w:b/>
                <w:sz w:val="28"/>
              </w:rPr>
              <w:t xml:space="preserve">karta </w:t>
            </w:r>
            <w:r w:rsidR="0013178A">
              <w:rPr>
                <w:b/>
                <w:sz w:val="28"/>
              </w:rPr>
              <w:t xml:space="preserve">   </w:t>
            </w:r>
            <w:r w:rsidR="00DC6137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</w:t>
            </w:r>
            <w:r w:rsidR="00477B0A">
              <w:rPr>
                <w:b/>
                <w:sz w:val="28"/>
              </w:rPr>
              <w:t xml:space="preserve">              červen</w:t>
            </w:r>
            <w:proofErr w:type="gramEnd"/>
            <w:r w:rsidR="00DC613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201</w:t>
            </w:r>
            <w:r w:rsidR="00CE46B3">
              <w:rPr>
                <w:b/>
                <w:sz w:val="28"/>
              </w:rPr>
              <w:t>2</w:t>
            </w:r>
            <w:r w:rsidR="00441866">
              <w:rPr>
                <w:b/>
                <w:sz w:val="28"/>
              </w:rPr>
              <w:t xml:space="preserve">  </w:t>
            </w:r>
            <w:r w:rsidR="00CE46B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MLÉKO a mlékárenské výrobky</w:t>
            </w:r>
          </w:p>
        </w:tc>
      </w:tr>
      <w:tr w:rsidR="00120728" w:rsidTr="00D44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10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D448B3" w:rsidRPr="009A018E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9A018E" w:rsidRDefault="00D448B3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007195" w:rsidRDefault="00D448B3" w:rsidP="00545B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D448B3" w:rsidRPr="002C020B" w:rsidRDefault="00D448B3" w:rsidP="00545BBD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2011/10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422,9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98,8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6 370,4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2 694,4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2 612,1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FBD4B4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shd w:val="clear" w:color="auto" w:fill="FBD4B4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FBD4B4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99,9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198"/>
        </w:trPr>
        <w:tc>
          <w:tcPr>
            <w:tcW w:w="3189" w:type="dxa"/>
          </w:tcPr>
          <w:p w:rsidR="00D448B3" w:rsidRPr="00043863" w:rsidRDefault="00D448B3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448B3" w:rsidRPr="00043863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448B3" w:rsidRPr="002C020B" w:rsidRDefault="00D448B3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66,3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2 329,7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102,3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701,3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100,5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3 097,3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101,8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2 190,7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97,3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850,9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112,0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55,7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113,2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2"/>
        </w:trPr>
        <w:tc>
          <w:tcPr>
            <w:tcW w:w="3189" w:type="dxa"/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103,4</w:t>
            </w:r>
          </w:p>
        </w:tc>
      </w:tr>
      <w:tr w:rsidR="00D448B3" w:rsidRPr="007952AF" w:rsidTr="00D448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98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043863" w:rsidRDefault="00D448B3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D448B3" w:rsidRPr="002C020B" w:rsidRDefault="00D448B3" w:rsidP="00545BBD">
            <w:pPr>
              <w:jc w:val="right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109,5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D448B3" w:rsidRPr="009E7303" w:rsidRDefault="00D448B3" w:rsidP="00A00766">
      <w:pPr>
        <w:ind w:left="705"/>
        <w:rPr>
          <w:i/>
          <w:sz w:val="16"/>
          <w:szCs w:val="16"/>
        </w:rPr>
      </w:pP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50"/>
        <w:gridCol w:w="643"/>
      </w:tblGrid>
      <w:tr w:rsidR="001B15CB" w:rsidRPr="00B43AF0" w:rsidTr="0093673A">
        <w:trPr>
          <w:trHeight w:val="384"/>
        </w:trPr>
        <w:tc>
          <w:tcPr>
            <w:tcW w:w="10321" w:type="dxa"/>
            <w:gridSpan w:val="14"/>
            <w:shd w:val="clear" w:color="auto" w:fill="B8CCE4"/>
          </w:tcPr>
          <w:p w:rsidR="001B15CB" w:rsidRPr="00B43AF0" w:rsidRDefault="001B15CB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 w:rsidR="00CF7B2B"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tcBorders>
              <w:top w:val="double" w:sz="4" w:space="0" w:color="auto"/>
              <w:right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02" w:type="dxa"/>
            <w:tcBorders>
              <w:top w:val="double" w:sz="4" w:space="0" w:color="auto"/>
              <w:left w:val="nil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1B15CB" w:rsidRPr="00120728" w:rsidRDefault="001B15CB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643" w:type="dxa"/>
            <w:tcBorders>
              <w:top w:val="double" w:sz="4" w:space="0" w:color="auto"/>
            </w:tcBorders>
          </w:tcPr>
          <w:p w:rsidR="001B15CB" w:rsidRPr="001B15CB" w:rsidRDefault="001B15CB" w:rsidP="00D70536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2406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50" w:type="dxa"/>
            <w:tcBorders>
              <w:top w:val="nil"/>
            </w:tcBorders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4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43" w:type="dxa"/>
            <w:shd w:val="clear" w:color="auto" w:fill="FBD4B4"/>
          </w:tcPr>
          <w:p w:rsidR="001B15CB" w:rsidRDefault="004D2086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15CB" w:rsidRPr="009A018E" w:rsidTr="001B15C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52"/>
        </w:trPr>
        <w:tc>
          <w:tcPr>
            <w:tcW w:w="2406" w:type="dxa"/>
            <w:shd w:val="clear" w:color="auto" w:fill="FBD4B4"/>
          </w:tcPr>
          <w:p w:rsidR="001B15CB" w:rsidRPr="00B43AF0" w:rsidRDefault="001B15CB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02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50" w:type="dxa"/>
            <w:shd w:val="clear" w:color="auto" w:fill="FBD4B4"/>
          </w:tcPr>
          <w:p w:rsidR="001B15CB" w:rsidRPr="00B43AF0" w:rsidRDefault="001B15C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643" w:type="dxa"/>
            <w:shd w:val="clear" w:color="auto" w:fill="FBD4B4"/>
          </w:tcPr>
          <w:p w:rsidR="001B15CB" w:rsidRDefault="00CF7B2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D70536" w:rsidRDefault="001B15CB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B5114E" w:rsidP="000B309D">
      <w:pPr>
        <w:rPr>
          <w:b/>
          <w:noProof/>
        </w:rPr>
      </w:pPr>
      <w:r w:rsidRPr="00B5114E">
        <w:rPr>
          <w:b/>
          <w:noProof/>
        </w:rPr>
        <w:drawing>
          <wp:inline distT="0" distB="0" distL="0" distR="0">
            <wp:extent cx="6705600" cy="3905250"/>
            <wp:effectExtent l="19050" t="0" r="19050" b="0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0B309D" w:rsidRPr="00B85074" w:rsidRDefault="00704398" w:rsidP="006E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5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131"/>
        <w:gridCol w:w="990"/>
        <w:gridCol w:w="1034"/>
        <w:gridCol w:w="1228"/>
        <w:gridCol w:w="989"/>
        <w:gridCol w:w="1272"/>
        <w:gridCol w:w="848"/>
        <w:gridCol w:w="707"/>
        <w:gridCol w:w="1105"/>
      </w:tblGrid>
      <w:tr w:rsidR="000B309D" w:rsidRPr="005A0163" w:rsidTr="006E55A3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155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489" w:type="dxa"/>
            <w:gridSpan w:val="3"/>
            <w:shd w:val="clear" w:color="auto" w:fill="auto"/>
          </w:tcPr>
          <w:p w:rsidR="000B309D" w:rsidRPr="005A0163" w:rsidRDefault="000B309D" w:rsidP="00AC0CD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AC0CD4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2660" w:type="dxa"/>
            <w:gridSpan w:val="3"/>
            <w:shd w:val="clear" w:color="auto" w:fill="auto"/>
          </w:tcPr>
          <w:p w:rsidR="000B309D" w:rsidRPr="005A0163" w:rsidRDefault="000B309D" w:rsidP="00537D45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537D45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537D45"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6E55A3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0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034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2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89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48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70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105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C0CD4" w:rsidRPr="00B85074" w:rsidTr="006E55A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C0CD4" w:rsidRPr="00B85074" w:rsidRDefault="00A2098F" w:rsidP="00F256A5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  <w:r w:rsidR="00F256A5">
              <w:rPr>
                <w:sz w:val="16"/>
                <w:szCs w:val="16"/>
              </w:rPr>
              <w:t> 315 001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C0CD4" w:rsidRPr="00B85074" w:rsidRDefault="00A2098F" w:rsidP="00FD17B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547 </w:t>
            </w:r>
            <w:r w:rsidR="00FD17B2">
              <w:rPr>
                <w:sz w:val="16"/>
                <w:szCs w:val="16"/>
              </w:rPr>
              <w:t>353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C0CD4" w:rsidRPr="00B85074" w:rsidRDefault="00A2098F" w:rsidP="00FD17B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  <w:r w:rsidR="00FD17B2">
              <w:rPr>
                <w:sz w:val="16"/>
                <w:szCs w:val="16"/>
              </w:rPr>
              <w:t> 862 354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6,3</w:t>
            </w:r>
          </w:p>
        </w:tc>
      </w:tr>
      <w:tr w:rsidR="00AC0CD4" w:rsidRPr="00B85074" w:rsidTr="006E55A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C0CD4" w:rsidRPr="00B85074" w:rsidRDefault="00A2098F" w:rsidP="00F256A5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  <w:r w:rsidR="00F256A5">
              <w:rPr>
                <w:sz w:val="16"/>
                <w:szCs w:val="16"/>
              </w:rPr>
              <w:t> 599 855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C0CD4" w:rsidRPr="00B85074" w:rsidRDefault="00A2098F" w:rsidP="00FD17B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543 </w:t>
            </w:r>
            <w:r w:rsidR="00FD17B2">
              <w:rPr>
                <w:sz w:val="16"/>
                <w:szCs w:val="16"/>
              </w:rPr>
              <w:t>148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C0CD4" w:rsidRPr="00B85074" w:rsidRDefault="00A2098F" w:rsidP="00FD17B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="00FD17B2">
              <w:rPr>
                <w:sz w:val="16"/>
                <w:szCs w:val="16"/>
              </w:rPr>
              <w:t> 143 003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-1,9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</w:t>
            </w:r>
          </w:p>
        </w:tc>
      </w:tr>
      <w:tr w:rsidR="00AC0CD4" w:rsidRPr="00B85074" w:rsidTr="006E55A3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C0CD4" w:rsidRPr="00B85074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232 902 169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C0CD4" w:rsidRPr="00B85074" w:rsidRDefault="00A2098F" w:rsidP="00FD17B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677 5</w:t>
            </w:r>
            <w:r w:rsidR="00FD17B2">
              <w:rPr>
                <w:sz w:val="16"/>
                <w:szCs w:val="16"/>
              </w:rPr>
              <w:t>37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C0CD4" w:rsidRPr="00B85074" w:rsidRDefault="00A2098F" w:rsidP="00FD17B2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233 579 7</w:t>
            </w:r>
            <w:r w:rsidR="00FD17B2">
              <w:rPr>
                <w:sz w:val="16"/>
                <w:szCs w:val="16"/>
              </w:rPr>
              <w:t>06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0CD4" w:rsidRPr="00B85074" w:rsidRDefault="00A2098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4,5</w:t>
            </w:r>
          </w:p>
        </w:tc>
      </w:tr>
      <w:tr w:rsidR="00AC0CD4" w:rsidRPr="00B85074" w:rsidTr="006E55A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AC0CD4" w:rsidRPr="00B85074" w:rsidRDefault="00AC0CD4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632 576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C0CD4" w:rsidRPr="00672F03" w:rsidRDefault="00AC0CD4" w:rsidP="00070F10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220 891 884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C0CD4" w:rsidRPr="00672F03" w:rsidRDefault="00F256A5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230 115 536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C0CD4" w:rsidRPr="00672F03" w:rsidRDefault="00FD17B2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654 241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C0CD4" w:rsidRPr="00672F03" w:rsidRDefault="00FD17B2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230 769 777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C0CD4" w:rsidRPr="00672F03" w:rsidRDefault="00FD17B2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C0CD4" w:rsidRPr="00672F03" w:rsidRDefault="00FD17B2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C0CD4" w:rsidRPr="00672F03" w:rsidRDefault="00FD17B2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4,5</w:t>
            </w:r>
          </w:p>
        </w:tc>
      </w:tr>
      <w:tr w:rsidR="006E55A3" w:rsidRPr="00FD17B2" w:rsidTr="006E55A3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FD17B2" w:rsidRPr="00FD17B2" w:rsidRDefault="00FD17B2" w:rsidP="00FD17B2">
            <w:pPr>
              <w:outlineLvl w:val="0"/>
              <w:rPr>
                <w:sz w:val="16"/>
                <w:szCs w:val="16"/>
              </w:rPr>
            </w:pPr>
            <w:r w:rsidRPr="00FD17B2">
              <w:rPr>
                <w:sz w:val="16"/>
                <w:szCs w:val="16"/>
              </w:rPr>
              <w:t>MEZISOUČET</w:t>
            </w:r>
          </w:p>
        </w:tc>
        <w:tc>
          <w:tcPr>
            <w:tcW w:w="1131" w:type="dxa"/>
            <w:shd w:val="clear" w:color="auto" w:fill="FDE9D9" w:themeFill="accent6" w:themeFillTint="33"/>
            <w:vAlign w:val="center"/>
          </w:tcPr>
          <w:p w:rsidR="00FD17B2" w:rsidRPr="00FD17B2" w:rsidRDefault="00FD17B2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D17B2">
              <w:rPr>
                <w:b/>
                <w:sz w:val="16"/>
                <w:szCs w:val="16"/>
              </w:rPr>
              <w:t>852 832 834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</w:tcPr>
          <w:p w:rsidR="00FD17B2" w:rsidRPr="00FD17B2" w:rsidRDefault="00FD17B2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D17B2">
              <w:rPr>
                <w:b/>
                <w:sz w:val="16"/>
                <w:szCs w:val="16"/>
              </w:rPr>
              <w:t>2 363 979</w:t>
            </w:r>
          </w:p>
        </w:tc>
        <w:tc>
          <w:tcPr>
            <w:tcW w:w="1034" w:type="dxa"/>
            <w:shd w:val="clear" w:color="auto" w:fill="FDE9D9" w:themeFill="accent6" w:themeFillTint="33"/>
            <w:vAlign w:val="center"/>
          </w:tcPr>
          <w:p w:rsidR="00FD17B2" w:rsidRPr="00FD17B2" w:rsidRDefault="00FD17B2" w:rsidP="00070F10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FD17B2">
              <w:rPr>
                <w:b/>
                <w:sz w:val="16"/>
                <w:szCs w:val="16"/>
              </w:rPr>
              <w:t>855 196 813</w:t>
            </w:r>
          </w:p>
        </w:tc>
        <w:tc>
          <w:tcPr>
            <w:tcW w:w="1228" w:type="dxa"/>
            <w:shd w:val="clear" w:color="auto" w:fill="FDE9D9" w:themeFill="accent6" w:themeFillTint="33"/>
            <w:vAlign w:val="center"/>
          </w:tcPr>
          <w:p w:rsidR="00FD17B2" w:rsidRPr="00FD17B2" w:rsidRDefault="00FD17B2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899 932 561</w:t>
            </w:r>
          </w:p>
        </w:tc>
        <w:tc>
          <w:tcPr>
            <w:tcW w:w="989" w:type="dxa"/>
            <w:shd w:val="clear" w:color="auto" w:fill="FDE9D9" w:themeFill="accent6" w:themeFillTint="33"/>
            <w:vAlign w:val="center"/>
          </w:tcPr>
          <w:p w:rsidR="00FD17B2" w:rsidRPr="00FD17B2" w:rsidRDefault="00FD17B2" w:rsidP="0006023F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2 422 279</w:t>
            </w:r>
          </w:p>
        </w:tc>
        <w:tc>
          <w:tcPr>
            <w:tcW w:w="1272" w:type="dxa"/>
            <w:shd w:val="clear" w:color="auto" w:fill="FDE9D9" w:themeFill="accent6" w:themeFillTint="33"/>
            <w:vAlign w:val="center"/>
          </w:tcPr>
          <w:p w:rsidR="00FD17B2" w:rsidRPr="00FD17B2" w:rsidRDefault="00FD17B2" w:rsidP="0006023F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902 354 840</w:t>
            </w:r>
          </w:p>
        </w:tc>
        <w:tc>
          <w:tcPr>
            <w:tcW w:w="848" w:type="dxa"/>
            <w:shd w:val="clear" w:color="auto" w:fill="FDE9D9" w:themeFill="accent6" w:themeFillTint="33"/>
            <w:vAlign w:val="center"/>
          </w:tcPr>
          <w:p w:rsidR="00FD17B2" w:rsidRPr="00FD17B2" w:rsidRDefault="00FD17B2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</w:t>
            </w:r>
          </w:p>
        </w:tc>
        <w:tc>
          <w:tcPr>
            <w:tcW w:w="707" w:type="dxa"/>
            <w:shd w:val="clear" w:color="auto" w:fill="FDE9D9" w:themeFill="accent6" w:themeFillTint="33"/>
            <w:vAlign w:val="center"/>
          </w:tcPr>
          <w:p w:rsidR="00FD17B2" w:rsidRPr="00FD17B2" w:rsidRDefault="00FD17B2" w:rsidP="0006023F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</w:t>
            </w:r>
          </w:p>
        </w:tc>
        <w:tc>
          <w:tcPr>
            <w:tcW w:w="1105" w:type="dxa"/>
            <w:shd w:val="clear" w:color="auto" w:fill="FDE9D9" w:themeFill="accent6" w:themeFillTint="33"/>
            <w:vAlign w:val="center"/>
          </w:tcPr>
          <w:p w:rsidR="00FD17B2" w:rsidRPr="00FD17B2" w:rsidRDefault="00FD17B2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</w:t>
            </w: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</w:t>
      </w:r>
      <w:r w:rsidR="00FD17B2">
        <w:rPr>
          <w:i/>
          <w:sz w:val="16"/>
          <w:szCs w:val="16"/>
        </w:rPr>
        <w:t>12</w:t>
      </w:r>
      <w:r w:rsidR="009E7303" w:rsidRPr="009574AB">
        <w:rPr>
          <w:i/>
          <w:sz w:val="16"/>
          <w:szCs w:val="16"/>
        </w:rPr>
        <w:t>– předběžný údaj</w:t>
      </w:r>
    </w:p>
    <w:p w:rsidR="006E55A3" w:rsidRDefault="006E55A3" w:rsidP="000B309D">
      <w:pPr>
        <w:rPr>
          <w:i/>
          <w:sz w:val="16"/>
          <w:szCs w:val="16"/>
        </w:rPr>
      </w:pPr>
    </w:p>
    <w:p w:rsidR="006E55A3" w:rsidRDefault="006E55A3" w:rsidP="000B309D">
      <w:pPr>
        <w:rPr>
          <w:i/>
          <w:sz w:val="16"/>
          <w:szCs w:val="16"/>
        </w:rPr>
      </w:pPr>
    </w:p>
    <w:p w:rsidR="006E55A3" w:rsidRDefault="006E55A3" w:rsidP="000B309D">
      <w:pPr>
        <w:rPr>
          <w:i/>
          <w:sz w:val="16"/>
          <w:szCs w:val="16"/>
        </w:rPr>
      </w:pP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6E55A3" w:rsidRDefault="006E55A3" w:rsidP="009574AB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4606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759"/>
        <w:gridCol w:w="95"/>
        <w:gridCol w:w="1316"/>
        <w:gridCol w:w="1396"/>
        <w:gridCol w:w="1705"/>
        <w:gridCol w:w="2130"/>
      </w:tblGrid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F017D7" w:rsidRDefault="006E55A3" w:rsidP="006E55A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759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F017D7" w:rsidRDefault="006E55A3" w:rsidP="006E55A3">
            <w:pPr>
              <w:rPr>
                <w:b/>
                <w:sz w:val="20"/>
              </w:rPr>
            </w:pPr>
          </w:p>
        </w:tc>
        <w:tc>
          <w:tcPr>
            <w:tcW w:w="759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duben</w:t>
            </w:r>
          </w:p>
        </w:tc>
        <w:tc>
          <w:tcPr>
            <w:tcW w:w="1396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duben</w:t>
            </w:r>
          </w:p>
        </w:tc>
        <w:tc>
          <w:tcPr>
            <w:tcW w:w="1705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745 484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800 309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54 825,0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107,4</w:t>
            </w:r>
          </w:p>
        </w:tc>
      </w:tr>
      <w:tr w:rsidR="006E55A3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728 902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788 311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59 409,0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108,2</w:t>
            </w:r>
          </w:p>
        </w:tc>
      </w:tr>
      <w:tr w:rsidR="006E55A3" w:rsidRPr="00F017D7" w:rsidTr="006E55A3">
        <w:trPr>
          <w:trHeight w:val="212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39 595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79 692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40 097,0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201,3</w:t>
            </w:r>
          </w:p>
        </w:tc>
      </w:tr>
      <w:tr w:rsidR="006E55A3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3,98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3,94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-0,04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</w:t>
            </w:r>
          </w:p>
        </w:tc>
      </w:tr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3,43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100,9</w:t>
            </w:r>
          </w:p>
        </w:tc>
      </w:tr>
      <w:tr w:rsidR="006E55A3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8,17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8,15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-0,02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99,8</w:t>
            </w:r>
          </w:p>
        </w:tc>
      </w:tr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759" w:type="dxa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411" w:type="dxa"/>
            <w:gridSpan w:val="2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8,19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8,17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-0,02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99,8</w:t>
            </w:r>
          </w:p>
        </w:tc>
      </w:tr>
      <w:tr w:rsidR="006E55A3" w:rsidRPr="00F017D7" w:rsidTr="006E55A3">
        <w:trPr>
          <w:trHeight w:val="256"/>
        </w:trPr>
        <w:tc>
          <w:tcPr>
            <w:tcW w:w="10578" w:type="dxa"/>
            <w:gridSpan w:val="7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6E55A3" w:rsidRPr="00F017D7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F017D7" w:rsidRDefault="006E55A3" w:rsidP="006E55A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F017D7" w:rsidRDefault="006E55A3" w:rsidP="006E55A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211 768,1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216 786,2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5 018,1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102,4</w:t>
            </w:r>
          </w:p>
        </w:tc>
      </w:tr>
      <w:tr w:rsidR="006E55A3" w:rsidRPr="00F017D7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34 152,0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31 317,4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-2 834,6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91,7</w:t>
            </w:r>
          </w:p>
        </w:tc>
      </w:tr>
      <w:tr w:rsidR="006E55A3" w:rsidRPr="00F017D7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E55A3" w:rsidRPr="00F017D7" w:rsidRDefault="006E55A3" w:rsidP="006E55A3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F017D7" w:rsidRDefault="006E55A3" w:rsidP="006E55A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176 940,4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184 824,6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7 884,2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104,5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6822A0" w:rsidRDefault="006E55A3" w:rsidP="006E55A3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6822A0" w:rsidRDefault="006E55A3" w:rsidP="006E55A3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675,7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644,2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-31,5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95,3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16 016,7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15 169,0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-847,7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94,7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5 955,2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4 810,1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-1 145,1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80,8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-- smetany s obs. tuku nejm. 30 %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6 339,0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6 324,4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-14,6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99,8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46 552,6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46 102,5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-450,1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99,0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17 650,2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14 134,4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-3 515,8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80,1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7 648,7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5 809,5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-1 839,2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76,0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10 001,5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8 324,9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-1 676,6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83,2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12 819,4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12 943,2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123,8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10 102,7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10 089,6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-13,1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99,9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31 127,3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31 015,1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-112,2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26 175,2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26 080,0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-95,2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4 952,1</w:t>
            </w:r>
          </w:p>
        </w:tc>
        <w:tc>
          <w:tcPr>
            <w:tcW w:w="139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4 935,1</w:t>
            </w:r>
          </w:p>
        </w:tc>
        <w:tc>
          <w:tcPr>
            <w:tcW w:w="1705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-17,0</w:t>
            </w:r>
          </w:p>
        </w:tc>
        <w:tc>
          <w:tcPr>
            <w:tcW w:w="2130" w:type="dxa"/>
            <w:shd w:val="clear" w:color="auto" w:fill="auto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99,7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4 493,4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4 140,2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-353,2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92,1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1 429,2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1 461,4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32,2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102,3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3 835,2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3 528,3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-306,9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92,0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CF7A31" w:rsidRDefault="006E55A3" w:rsidP="006E55A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CF7A31" w:rsidRDefault="006E55A3" w:rsidP="006E55A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9 330,1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10 126,0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795,9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108,5</w:t>
            </w:r>
          </w:p>
        </w:tc>
      </w:tr>
      <w:tr w:rsidR="006E55A3" w:rsidRPr="00CF7A31" w:rsidTr="006E55A3">
        <w:trPr>
          <w:trHeight w:val="271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4 195,8</w:t>
            </w:r>
          </w:p>
        </w:tc>
        <w:tc>
          <w:tcPr>
            <w:tcW w:w="1396" w:type="dxa"/>
            <w:shd w:val="clear" w:color="auto" w:fill="auto"/>
          </w:tcPr>
          <w:p w:rsidR="006E55A3" w:rsidRDefault="00D970DD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5 756,0</w:t>
            </w:r>
          </w:p>
        </w:tc>
        <w:tc>
          <w:tcPr>
            <w:tcW w:w="1705" w:type="dxa"/>
            <w:shd w:val="clear" w:color="auto" w:fill="auto"/>
          </w:tcPr>
          <w:p w:rsidR="006E55A3" w:rsidRDefault="00D970DD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1 560,2</w:t>
            </w:r>
          </w:p>
        </w:tc>
        <w:tc>
          <w:tcPr>
            <w:tcW w:w="2130" w:type="dxa"/>
            <w:shd w:val="clear" w:color="auto" w:fill="auto"/>
          </w:tcPr>
          <w:p w:rsidR="006E55A3" w:rsidRDefault="00D970DD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137,2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auto"/>
          </w:tcPr>
          <w:p w:rsidR="006E55A3" w:rsidRPr="00CF7A31" w:rsidRDefault="006E55A3" w:rsidP="006E55A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E55A3" w:rsidRPr="00CF7A31" w:rsidRDefault="006E55A3" w:rsidP="006E55A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E55A3" w:rsidRDefault="006E55A3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5 134,3</w:t>
            </w:r>
          </w:p>
        </w:tc>
        <w:tc>
          <w:tcPr>
            <w:tcW w:w="1396" w:type="dxa"/>
            <w:shd w:val="clear" w:color="auto" w:fill="auto"/>
          </w:tcPr>
          <w:p w:rsidR="006E55A3" w:rsidRDefault="00D970DD" w:rsidP="006E55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4 370,0</w:t>
            </w:r>
          </w:p>
        </w:tc>
        <w:tc>
          <w:tcPr>
            <w:tcW w:w="1705" w:type="dxa"/>
            <w:shd w:val="clear" w:color="auto" w:fill="auto"/>
          </w:tcPr>
          <w:p w:rsidR="006E55A3" w:rsidRDefault="00D970DD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- 764,3</w:t>
            </w:r>
          </w:p>
        </w:tc>
        <w:tc>
          <w:tcPr>
            <w:tcW w:w="2130" w:type="dxa"/>
            <w:shd w:val="clear" w:color="auto" w:fill="auto"/>
          </w:tcPr>
          <w:p w:rsidR="006E55A3" w:rsidRDefault="00D970DD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</w:t>
            </w:r>
            <w:r w:rsidR="006E55A3">
              <w:rPr>
                <w:b/>
                <w:bCs/>
                <w:color w:val="000000"/>
                <w:sz w:val="20"/>
              </w:rPr>
              <w:t>,1</w:t>
            </w:r>
          </w:p>
        </w:tc>
      </w:tr>
      <w:tr w:rsidR="006E55A3" w:rsidRPr="00CF7A31" w:rsidTr="006E55A3">
        <w:trPr>
          <w:trHeight w:val="256"/>
        </w:trPr>
        <w:tc>
          <w:tcPr>
            <w:tcW w:w="3177" w:type="dxa"/>
            <w:shd w:val="clear" w:color="auto" w:fill="FDE9D9"/>
          </w:tcPr>
          <w:p w:rsidR="006E55A3" w:rsidRPr="003F4FB3" w:rsidRDefault="006E55A3" w:rsidP="006E55A3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gridSpan w:val="2"/>
            <w:shd w:val="clear" w:color="auto" w:fill="FDE9D9"/>
          </w:tcPr>
          <w:p w:rsidR="006E55A3" w:rsidRPr="003F4FB3" w:rsidRDefault="006E55A3" w:rsidP="006E55A3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4 611,4</w:t>
            </w:r>
          </w:p>
        </w:tc>
        <w:tc>
          <w:tcPr>
            <w:tcW w:w="1396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4 980,1</w:t>
            </w:r>
          </w:p>
        </w:tc>
        <w:tc>
          <w:tcPr>
            <w:tcW w:w="1705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368,7</w:t>
            </w:r>
          </w:p>
        </w:tc>
        <w:tc>
          <w:tcPr>
            <w:tcW w:w="2130" w:type="dxa"/>
            <w:shd w:val="clear" w:color="auto" w:fill="FDE9D9"/>
          </w:tcPr>
          <w:p w:rsidR="006E55A3" w:rsidRDefault="006E55A3" w:rsidP="006E55A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108,0</w:t>
            </w:r>
          </w:p>
        </w:tc>
      </w:tr>
    </w:tbl>
    <w:p w:rsidR="006E55A3" w:rsidRDefault="006E55A3" w:rsidP="009574AB">
      <w:pPr>
        <w:rPr>
          <w:i/>
          <w:sz w:val="18"/>
          <w:szCs w:val="18"/>
        </w:rPr>
      </w:pPr>
    </w:p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6E55A3" w:rsidRDefault="006E55A3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545BBD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545BBD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DD79FD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F11C62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545BBD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3 892</w:t>
            </w:r>
            <w:r w:rsidR="00D82A2F">
              <w:rPr>
                <w:sz w:val="20"/>
              </w:rPr>
              <w:t xml:space="preserve"> </w:t>
            </w:r>
          </w:p>
        </w:tc>
      </w:tr>
      <w:tr w:rsidR="00545BBD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DD79FD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F11C62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545BBD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0C0488" w:rsidRPr="000B309D" w:rsidRDefault="00732A6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0C0488" w:rsidRPr="000B309D" w:rsidRDefault="00513E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0C0488" w:rsidRPr="000B309D" w:rsidRDefault="005D0A69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545BBD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545BBD" w:rsidRPr="000B309D" w:rsidRDefault="00545BBD" w:rsidP="00CF7A31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C83B5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Pr="000B309D" w:rsidRDefault="00DD79FD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F11C62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545BBD" w:rsidRDefault="00545BBD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>Ceny zemědělských výrobců  (CZV) mléka kravského I. tř. j.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545BB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732A66" w:rsidP="009A018E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513E3A" w:rsidP="009A018E">
            <w:pPr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72DA" w:rsidRPr="00B43AF0" w:rsidRDefault="0095275C" w:rsidP="009A018E">
            <w:pPr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</w:tr>
      <w:tr w:rsidR="00545BBD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B21B41" w:rsidP="009A018E">
            <w:pPr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C83B5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DD79FD" w:rsidP="009A018E">
            <w:pPr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F11C62" w:rsidP="009A018E">
            <w:pPr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86576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BBD" w:rsidRDefault="00545BBD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435AEB" w:rsidRDefault="00435AEB" w:rsidP="009A018E">
      <w:pPr>
        <w:rPr>
          <w:b/>
        </w:rPr>
      </w:pP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3"/>
        <w:gridCol w:w="1254"/>
        <w:gridCol w:w="969"/>
        <w:gridCol w:w="950"/>
        <w:gridCol w:w="969"/>
        <w:gridCol w:w="1154"/>
        <w:gridCol w:w="1435"/>
      </w:tblGrid>
      <w:tr w:rsidR="00CD7824" w:rsidRPr="009A018E" w:rsidTr="00EB48F4">
        <w:trPr>
          <w:trHeight w:val="250"/>
        </w:trPr>
        <w:tc>
          <w:tcPr>
            <w:tcW w:w="358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F11C62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Duben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50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93673A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93673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93673A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96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Default="00F11C62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Duben</w:t>
            </w:r>
          </w:p>
          <w:p w:rsidR="00545BBD" w:rsidRPr="00374857" w:rsidRDefault="00545BBD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89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EB48F4">
        <w:trPr>
          <w:trHeight w:val="169"/>
        </w:trPr>
        <w:tc>
          <w:tcPr>
            <w:tcW w:w="3583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50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69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4" w:type="dxa"/>
            <w:shd w:val="clear" w:color="auto" w:fill="B8CCE4"/>
          </w:tcPr>
          <w:p w:rsidR="00CD7824" w:rsidRPr="00374857" w:rsidRDefault="00F11C62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Duben</w:t>
            </w:r>
          </w:p>
          <w:p w:rsidR="00CD7824" w:rsidRPr="00374857" w:rsidRDefault="00CD7824" w:rsidP="00545BBD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545BBD"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="00545BBD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35" w:type="dxa"/>
            <w:shd w:val="clear" w:color="auto" w:fill="B8CCE4"/>
          </w:tcPr>
          <w:p w:rsidR="00CD7824" w:rsidRPr="00374857" w:rsidRDefault="00F11C62" w:rsidP="0093673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Duben </w:t>
            </w:r>
            <w:r w:rsidR="00545BBD">
              <w:rPr>
                <w:b/>
                <w:sz w:val="20"/>
                <w:szCs w:val="18"/>
              </w:rPr>
              <w:t xml:space="preserve">2012 </w:t>
            </w:r>
            <w:r w:rsidR="00CD7824" w:rsidRPr="00374857">
              <w:rPr>
                <w:b/>
                <w:sz w:val="20"/>
                <w:szCs w:val="18"/>
              </w:rPr>
              <w:t>/</w:t>
            </w:r>
            <w:r w:rsidR="0093673A">
              <w:rPr>
                <w:b/>
                <w:sz w:val="20"/>
                <w:szCs w:val="18"/>
              </w:rPr>
              <w:t xml:space="preserve">leden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93673A">
              <w:rPr>
                <w:b/>
                <w:sz w:val="20"/>
                <w:szCs w:val="18"/>
              </w:rPr>
              <w:t>2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F11C62" w:rsidRPr="009A018E" w:rsidTr="00EB48F4">
        <w:trPr>
          <w:trHeight w:val="229"/>
        </w:trPr>
        <w:tc>
          <w:tcPr>
            <w:tcW w:w="3583" w:type="dxa"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8,27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7,85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94,92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93,90</w:t>
            </w:r>
          </w:p>
        </w:tc>
      </w:tr>
      <w:tr w:rsidR="00F11C62" w:rsidRPr="009A018E" w:rsidTr="00374857">
        <w:trPr>
          <w:trHeight w:val="247"/>
        </w:trPr>
        <w:tc>
          <w:tcPr>
            <w:tcW w:w="10314" w:type="dxa"/>
            <w:gridSpan w:val="7"/>
          </w:tcPr>
          <w:p w:rsidR="00F11C62" w:rsidRPr="00C03B3A" w:rsidRDefault="00F11C62" w:rsidP="009A018E">
            <w:pPr>
              <w:rPr>
                <w:b/>
                <w:sz w:val="20"/>
                <w:szCs w:val="22"/>
              </w:rPr>
            </w:pPr>
          </w:p>
        </w:tc>
      </w:tr>
      <w:tr w:rsidR="00F11C62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10,31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99,04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99,04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16,46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16,51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100,30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95,99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58,12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60,14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11C62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F11C62" w:rsidRPr="00374857" w:rsidRDefault="00F11C62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11,07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112,92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103,73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17,77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969" w:type="dxa"/>
          </w:tcPr>
          <w:p w:rsidR="00F11C62" w:rsidRDefault="00D970D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18,75</w:t>
            </w:r>
          </w:p>
        </w:tc>
        <w:tc>
          <w:tcPr>
            <w:tcW w:w="1154" w:type="dxa"/>
            <w:shd w:val="clear" w:color="auto" w:fill="FBD4B4"/>
          </w:tcPr>
          <w:p w:rsidR="00F11C62" w:rsidRDefault="00D970D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105,51</w:t>
            </w:r>
          </w:p>
        </w:tc>
        <w:tc>
          <w:tcPr>
            <w:tcW w:w="1435" w:type="dxa"/>
            <w:shd w:val="clear" w:color="auto" w:fill="FBD4B4"/>
          </w:tcPr>
          <w:p w:rsidR="00F11C62" w:rsidRDefault="00D970D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98,68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60,52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53,36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11C62" w:rsidRPr="009A018E" w:rsidTr="00EB48F4">
        <w:trPr>
          <w:trHeight w:val="229"/>
        </w:trPr>
        <w:tc>
          <w:tcPr>
            <w:tcW w:w="3583" w:type="dxa"/>
            <w:vMerge w:val="restart"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104,67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88,82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84,86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86,73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135,23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133,60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98,79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91,85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29,20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50,42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11C62" w:rsidRPr="009A018E" w:rsidTr="00EB48F4">
        <w:trPr>
          <w:trHeight w:val="247"/>
        </w:trPr>
        <w:tc>
          <w:tcPr>
            <w:tcW w:w="3583" w:type="dxa"/>
            <w:vMerge w:val="restart"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87,32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87,48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100,18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92,58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123,16</w:t>
            </w:r>
          </w:p>
        </w:tc>
        <w:tc>
          <w:tcPr>
            <w:tcW w:w="950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969" w:type="dxa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128,73</w:t>
            </w:r>
          </w:p>
        </w:tc>
        <w:tc>
          <w:tcPr>
            <w:tcW w:w="1154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104,52</w:t>
            </w:r>
          </w:p>
        </w:tc>
        <w:tc>
          <w:tcPr>
            <w:tcW w:w="1435" w:type="dxa"/>
            <w:shd w:val="clear" w:color="auto" w:fill="FBD4B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101,71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41,04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47,15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 w:val="restart"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42,36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49,16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116,05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99,68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63,58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71,49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112,44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100,87</w:t>
            </w:r>
          </w:p>
        </w:tc>
      </w:tr>
      <w:tr w:rsidR="00F11C62" w:rsidRPr="009A018E" w:rsidTr="00EB48F4">
        <w:trPr>
          <w:trHeight w:val="169"/>
        </w:trPr>
        <w:tc>
          <w:tcPr>
            <w:tcW w:w="3583" w:type="dxa"/>
            <w:vMerge/>
            <w:shd w:val="clear" w:color="auto" w:fill="FBD4B4"/>
          </w:tcPr>
          <w:p w:rsidR="00F11C62" w:rsidRPr="00374857" w:rsidRDefault="00F11C62" w:rsidP="009A018E">
            <w:pPr>
              <w:rPr>
                <w:sz w:val="20"/>
                <w:szCs w:val="22"/>
              </w:rPr>
            </w:pPr>
          </w:p>
        </w:tc>
        <w:tc>
          <w:tcPr>
            <w:tcW w:w="1254" w:type="dxa"/>
            <w:shd w:val="clear" w:color="auto" w:fill="B8CCE4"/>
          </w:tcPr>
          <w:p w:rsidR="00F11C62" w:rsidRPr="00374857" w:rsidRDefault="00F11C62" w:rsidP="00A2098F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50,09</w:t>
            </w:r>
          </w:p>
        </w:tc>
        <w:tc>
          <w:tcPr>
            <w:tcW w:w="950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969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45,42</w:t>
            </w:r>
          </w:p>
        </w:tc>
        <w:tc>
          <w:tcPr>
            <w:tcW w:w="1154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5" w:type="dxa"/>
            <w:shd w:val="clear" w:color="auto" w:fill="B8CCE4"/>
          </w:tcPr>
          <w:p w:rsidR="00F11C62" w:rsidRDefault="00F11C62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lastRenderedPageBreak/>
        <w:t>Pramen: Rezortní statistika Mlék (MZe) 6-12, ČSÚ</w:t>
      </w:r>
      <w:r w:rsidR="002056B1">
        <w:rPr>
          <w:i/>
          <w:sz w:val="18"/>
          <w:szCs w:val="18"/>
        </w:rPr>
        <w:t xml:space="preserve"> </w:t>
      </w: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  <w:r w:rsidRPr="008457DD">
        <w:rPr>
          <w:i/>
          <w:noProof/>
          <w:sz w:val="18"/>
          <w:szCs w:val="18"/>
        </w:rPr>
        <w:drawing>
          <wp:inline distT="0" distB="0" distL="0" distR="0">
            <wp:extent cx="5972810" cy="3830955"/>
            <wp:effectExtent l="19050" t="0" r="27940" b="0"/>
            <wp:docPr id="16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AB1560" w:rsidP="009A018E">
      <w:pPr>
        <w:rPr>
          <w:i/>
          <w:sz w:val="18"/>
          <w:szCs w:val="18"/>
        </w:rPr>
      </w:pPr>
      <w:r w:rsidRPr="00AB1560">
        <w:rPr>
          <w:i/>
          <w:noProof/>
          <w:sz w:val="18"/>
          <w:szCs w:val="18"/>
        </w:rPr>
        <w:drawing>
          <wp:inline distT="0" distB="0" distL="0" distR="0">
            <wp:extent cx="5972810" cy="3778250"/>
            <wp:effectExtent l="19050" t="0" r="27940" b="0"/>
            <wp:docPr id="19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</w:p>
    <w:p w:rsidR="008457DD" w:rsidRDefault="008457DD" w:rsidP="009A018E">
      <w:pPr>
        <w:rPr>
          <w:i/>
          <w:sz w:val="18"/>
          <w:szCs w:val="18"/>
        </w:rPr>
      </w:pPr>
    </w:p>
    <w:p w:rsidR="00CD7824" w:rsidRDefault="00CD7824" w:rsidP="009A018E"/>
    <w:p w:rsidR="004D0062" w:rsidRDefault="004D0062" w:rsidP="009A018E"/>
    <w:p w:rsidR="008457DD" w:rsidRDefault="008457DD" w:rsidP="009A018E"/>
    <w:p w:rsidR="008457DD" w:rsidRDefault="008457DD" w:rsidP="009A018E"/>
    <w:p w:rsidR="00BF749F" w:rsidRPr="007B426C" w:rsidRDefault="008457DD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AC0CD4">
        <w:rPr>
          <w:b/>
        </w:rPr>
        <w:t xml:space="preserve">- </w:t>
      </w:r>
      <w:r w:rsidR="00BF749F">
        <w:rPr>
          <w:b/>
        </w:rPr>
        <w:t xml:space="preserve">leden </w:t>
      </w:r>
      <w:r w:rsidR="00741FA5">
        <w:rPr>
          <w:b/>
        </w:rPr>
        <w:t xml:space="preserve">až </w:t>
      </w:r>
      <w:r w:rsidR="00F7788F">
        <w:rPr>
          <w:b/>
        </w:rPr>
        <w:t>duben</w:t>
      </w:r>
      <w:r w:rsidR="00741FA5">
        <w:rPr>
          <w:b/>
        </w:rPr>
        <w:t xml:space="preserve"> </w:t>
      </w:r>
      <w:r w:rsidR="00BF749F">
        <w:rPr>
          <w:b/>
        </w:rPr>
        <w:t>20</w:t>
      </w:r>
      <w:r w:rsidR="0085644D">
        <w:rPr>
          <w:b/>
        </w:rPr>
        <w:t>1</w:t>
      </w:r>
      <w:r w:rsidR="00AC0CD4">
        <w:rPr>
          <w:b/>
        </w:rPr>
        <w:t>1</w:t>
      </w:r>
      <w:r w:rsidR="00BF749F">
        <w:rPr>
          <w:b/>
        </w:rPr>
        <w:t xml:space="preserve"> a 201</w:t>
      </w:r>
      <w:r w:rsidR="00AC0CD4">
        <w:rPr>
          <w:b/>
        </w:rPr>
        <w:t>2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F7788F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 w:rsidR="00741FA5">
              <w:rPr>
                <w:b/>
                <w:sz w:val="20"/>
              </w:rPr>
              <w:t xml:space="preserve"> </w:t>
            </w:r>
            <w:r w:rsidR="00F7788F">
              <w:rPr>
                <w:b/>
                <w:sz w:val="20"/>
              </w:rPr>
              <w:t>duben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A47E37"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A47E37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A47E37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4 844 328</w:t>
            </w:r>
          </w:p>
        </w:tc>
        <w:tc>
          <w:tcPr>
            <w:tcW w:w="1768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5 189 636</w:t>
            </w:r>
          </w:p>
        </w:tc>
        <w:tc>
          <w:tcPr>
            <w:tcW w:w="1769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345 308</w:t>
            </w:r>
          </w:p>
        </w:tc>
        <w:tc>
          <w:tcPr>
            <w:tcW w:w="1569" w:type="dxa"/>
            <w:vAlign w:val="center"/>
          </w:tcPr>
          <w:p w:rsidR="00BF749F" w:rsidRPr="007D3526" w:rsidRDefault="001B262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107,1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3 225 889</w:t>
            </w:r>
          </w:p>
        </w:tc>
        <w:tc>
          <w:tcPr>
            <w:tcW w:w="1768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3 620 727</w:t>
            </w:r>
          </w:p>
        </w:tc>
        <w:tc>
          <w:tcPr>
            <w:tcW w:w="1769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394 838</w:t>
            </w:r>
          </w:p>
        </w:tc>
        <w:tc>
          <w:tcPr>
            <w:tcW w:w="1569" w:type="dxa"/>
            <w:vAlign w:val="center"/>
          </w:tcPr>
          <w:p w:rsidR="00BF749F" w:rsidRPr="007D3526" w:rsidRDefault="001B262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112,2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1 618 439</w:t>
            </w:r>
          </w:p>
        </w:tc>
        <w:tc>
          <w:tcPr>
            <w:tcW w:w="1768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1 568 909</w:t>
            </w:r>
          </w:p>
        </w:tc>
        <w:tc>
          <w:tcPr>
            <w:tcW w:w="1769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- 49 530</w:t>
            </w:r>
          </w:p>
        </w:tc>
        <w:tc>
          <w:tcPr>
            <w:tcW w:w="1569" w:type="dxa"/>
            <w:vAlign w:val="center"/>
          </w:tcPr>
          <w:p w:rsidR="00BF749F" w:rsidRPr="007D3526" w:rsidRDefault="001B2621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96,9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8 070 217</w:t>
            </w:r>
          </w:p>
        </w:tc>
        <w:tc>
          <w:tcPr>
            <w:tcW w:w="1768" w:type="dxa"/>
            <w:vAlign w:val="center"/>
          </w:tcPr>
          <w:p w:rsidR="00BF749F" w:rsidRPr="007D3526" w:rsidRDefault="001B262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8 810 363</w:t>
            </w:r>
          </w:p>
        </w:tc>
        <w:tc>
          <w:tcPr>
            <w:tcW w:w="1769" w:type="dxa"/>
            <w:vAlign w:val="center"/>
          </w:tcPr>
          <w:p w:rsidR="00BF749F" w:rsidRPr="007D3526" w:rsidRDefault="001B2621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740 146</w:t>
            </w:r>
          </w:p>
        </w:tc>
        <w:tc>
          <w:tcPr>
            <w:tcW w:w="1569" w:type="dxa"/>
            <w:vAlign w:val="center"/>
          </w:tcPr>
          <w:p w:rsidR="00BF749F" w:rsidRPr="007D3526" w:rsidRDefault="001B262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109,2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</w:t>
      </w:r>
      <w:r w:rsidR="002E6002">
        <w:rPr>
          <w:sz w:val="22"/>
          <w:szCs w:val="22"/>
        </w:rPr>
        <w:t>.</w:t>
      </w:r>
    </w:p>
    <w:p w:rsidR="00B279B5" w:rsidRPr="00170C55" w:rsidRDefault="00B279B5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Výrazně </w:t>
      </w:r>
      <w:r w:rsidRPr="00B279B5">
        <w:rPr>
          <w:sz w:val="22"/>
          <w:szCs w:val="22"/>
          <w:u w:val="single"/>
        </w:rPr>
        <w:t>zrychlené tempo dovozu</w:t>
      </w:r>
      <w:r>
        <w:rPr>
          <w:sz w:val="22"/>
          <w:szCs w:val="22"/>
        </w:rPr>
        <w:t>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B279B5" w:rsidRDefault="00B279B5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>Vývoj zahran.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4D2EA6">
        <w:rPr>
          <w:b/>
        </w:rPr>
        <w:t xml:space="preserve">až </w:t>
      </w:r>
      <w:r w:rsidR="00F7788F">
        <w:rPr>
          <w:b/>
        </w:rPr>
        <w:t>duben</w:t>
      </w:r>
      <w:r w:rsidR="004D2EA6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 w:rsidR="00A47E37">
        <w:rPr>
          <w:b/>
        </w:rPr>
        <w:t>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F778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741FA5">
              <w:rPr>
                <w:b/>
                <w:sz w:val="16"/>
                <w:szCs w:val="16"/>
              </w:rPr>
              <w:t>-I</w:t>
            </w:r>
            <w:r w:rsidR="00F7788F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BF749F" w:rsidRPr="007B426C" w:rsidRDefault="00BF749F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23 331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28 288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198 093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224 333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174 762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196 045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003C63" w:rsidRDefault="001B2621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14,94</w:t>
            </w:r>
          </w:p>
          <w:p w:rsidR="001B2621" w:rsidRPr="007B426C" w:rsidRDefault="001B2621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15,95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10,16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10,16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003C63" w:rsidRDefault="001B2621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348 646</w:t>
            </w:r>
          </w:p>
          <w:p w:rsidR="001B2621" w:rsidRPr="007B426C" w:rsidRDefault="001B2621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451 081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003C63" w:rsidRDefault="001B2621" w:rsidP="0067458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2 012 036</w:t>
            </w:r>
          </w:p>
          <w:p w:rsidR="001B2621" w:rsidRPr="007B426C" w:rsidRDefault="001B2621" w:rsidP="0067458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2 279 314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003C63" w:rsidRDefault="001B2621" w:rsidP="00003C6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1 663 390</w:t>
            </w:r>
          </w:p>
          <w:p w:rsidR="001B2621" w:rsidRPr="007B426C" w:rsidRDefault="001B2621" w:rsidP="00003C6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1 828 233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2 376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2 172</w:t>
            </w:r>
          </w:p>
        </w:tc>
        <w:tc>
          <w:tcPr>
            <w:tcW w:w="932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12 076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12 093</w:t>
            </w:r>
          </w:p>
        </w:tc>
        <w:tc>
          <w:tcPr>
            <w:tcW w:w="964" w:type="dxa"/>
            <w:vAlign w:val="center"/>
          </w:tcPr>
          <w:p w:rsidR="00003C63" w:rsidRDefault="001B2621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9 700</w:t>
            </w:r>
          </w:p>
          <w:p w:rsidR="001B2621" w:rsidRPr="007B426C" w:rsidRDefault="001B2621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9 921</w:t>
            </w:r>
          </w:p>
        </w:tc>
        <w:tc>
          <w:tcPr>
            <w:tcW w:w="688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36,08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39,35</w:t>
            </w:r>
          </w:p>
        </w:tc>
        <w:tc>
          <w:tcPr>
            <w:tcW w:w="817" w:type="dxa"/>
            <w:vAlign w:val="center"/>
          </w:tcPr>
          <w:p w:rsidR="00003C63" w:rsidRDefault="001B2621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59,30</w:t>
            </w:r>
          </w:p>
          <w:p w:rsidR="001B2621" w:rsidRPr="007B426C" w:rsidRDefault="001B2621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56,98</w:t>
            </w:r>
          </w:p>
        </w:tc>
        <w:tc>
          <w:tcPr>
            <w:tcW w:w="1110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85 722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85 459</w:t>
            </w:r>
          </w:p>
        </w:tc>
        <w:tc>
          <w:tcPr>
            <w:tcW w:w="1105" w:type="dxa"/>
            <w:vAlign w:val="center"/>
          </w:tcPr>
          <w:p w:rsidR="00003C63" w:rsidRDefault="001B2621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716 094</w:t>
            </w:r>
          </w:p>
          <w:p w:rsidR="001B2621" w:rsidRPr="007B426C" w:rsidRDefault="001B2621" w:rsidP="002E6002">
            <w:pPr>
              <w:jc w:val="right"/>
              <w:rPr>
                <w:sz w:val="20"/>
              </w:rPr>
            </w:pPr>
            <w:r>
              <w:rPr>
                <w:sz w:val="20"/>
              </w:rPr>
              <w:t>689 044</w:t>
            </w:r>
          </w:p>
        </w:tc>
        <w:tc>
          <w:tcPr>
            <w:tcW w:w="1161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630 372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603 585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14 029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15 442</w:t>
            </w:r>
          </w:p>
        </w:tc>
        <w:tc>
          <w:tcPr>
            <w:tcW w:w="932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22 233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21 240</w:t>
            </w:r>
          </w:p>
        </w:tc>
        <w:tc>
          <w:tcPr>
            <w:tcW w:w="964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8 204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5 798</w:t>
            </w:r>
          </w:p>
        </w:tc>
        <w:tc>
          <w:tcPr>
            <w:tcW w:w="688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25,14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28,66</w:t>
            </w:r>
          </w:p>
        </w:tc>
        <w:tc>
          <w:tcPr>
            <w:tcW w:w="817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28,42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29,42</w:t>
            </w:r>
          </w:p>
        </w:tc>
        <w:tc>
          <w:tcPr>
            <w:tcW w:w="1110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352 749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442 515</w:t>
            </w:r>
          </w:p>
        </w:tc>
        <w:tc>
          <w:tcPr>
            <w:tcW w:w="1105" w:type="dxa"/>
            <w:vAlign w:val="center"/>
          </w:tcPr>
          <w:p w:rsidR="00003C63" w:rsidRDefault="001B2621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631 897</w:t>
            </w:r>
          </w:p>
          <w:p w:rsidR="001B2621" w:rsidRPr="007B426C" w:rsidRDefault="001B2621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624 851</w:t>
            </w:r>
          </w:p>
        </w:tc>
        <w:tc>
          <w:tcPr>
            <w:tcW w:w="1161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279 148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182 336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7 866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11 748</w:t>
            </w:r>
          </w:p>
        </w:tc>
        <w:tc>
          <w:tcPr>
            <w:tcW w:w="932" w:type="dxa"/>
            <w:vAlign w:val="center"/>
          </w:tcPr>
          <w:p w:rsidR="00003C63" w:rsidRDefault="001B2621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17 408</w:t>
            </w:r>
          </w:p>
          <w:p w:rsidR="001B2621" w:rsidRPr="007B426C" w:rsidRDefault="001B2621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15 468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9 542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3 720</w:t>
            </w:r>
          </w:p>
        </w:tc>
        <w:tc>
          <w:tcPr>
            <w:tcW w:w="688" w:type="dxa"/>
            <w:vAlign w:val="center"/>
          </w:tcPr>
          <w:p w:rsidR="00003C63" w:rsidRDefault="001B2621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12,21</w:t>
            </w:r>
          </w:p>
          <w:p w:rsidR="001B2621" w:rsidRPr="007B426C" w:rsidRDefault="001B2621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11,46</w:t>
            </w:r>
          </w:p>
        </w:tc>
        <w:tc>
          <w:tcPr>
            <w:tcW w:w="817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16,00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23,07</w:t>
            </w:r>
          </w:p>
        </w:tc>
        <w:tc>
          <w:tcPr>
            <w:tcW w:w="1110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96 016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134 628</w:t>
            </w:r>
          </w:p>
        </w:tc>
        <w:tc>
          <w:tcPr>
            <w:tcW w:w="1105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278 575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356 879</w:t>
            </w:r>
          </w:p>
        </w:tc>
        <w:tc>
          <w:tcPr>
            <w:tcW w:w="1161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182 559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222 251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5 757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6 145</w:t>
            </w:r>
          </w:p>
        </w:tc>
        <w:tc>
          <w:tcPr>
            <w:tcW w:w="932" w:type="dxa"/>
            <w:vAlign w:val="center"/>
          </w:tcPr>
          <w:p w:rsidR="00003C63" w:rsidRDefault="001B2621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1 880</w:t>
            </w:r>
          </w:p>
          <w:p w:rsidR="001B2621" w:rsidRPr="007B426C" w:rsidRDefault="001B2621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1 147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- 3 877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- 4 998</w:t>
            </w:r>
          </w:p>
        </w:tc>
        <w:tc>
          <w:tcPr>
            <w:tcW w:w="688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84,03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86,71</w:t>
            </w:r>
          </w:p>
        </w:tc>
        <w:tc>
          <w:tcPr>
            <w:tcW w:w="817" w:type="dxa"/>
            <w:vAlign w:val="center"/>
          </w:tcPr>
          <w:p w:rsidR="00003C63" w:rsidRDefault="001B2621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92,69</w:t>
            </w:r>
          </w:p>
          <w:p w:rsidR="001B2621" w:rsidRPr="007B426C" w:rsidRDefault="001B2621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89,30</w:t>
            </w:r>
          </w:p>
        </w:tc>
        <w:tc>
          <w:tcPr>
            <w:tcW w:w="1110" w:type="dxa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483 751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532 840</w:t>
            </w:r>
          </w:p>
        </w:tc>
        <w:tc>
          <w:tcPr>
            <w:tcW w:w="1105" w:type="dxa"/>
            <w:vAlign w:val="center"/>
          </w:tcPr>
          <w:p w:rsidR="00003C63" w:rsidRDefault="001B2621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174 283</w:t>
            </w:r>
          </w:p>
          <w:p w:rsidR="001B2621" w:rsidRPr="007B426C" w:rsidRDefault="001B2621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102 462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- 309 468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- 430 378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A47E37">
              <w:rPr>
                <w:sz w:val="20"/>
              </w:rPr>
              <w:t>1</w:t>
            </w:r>
          </w:p>
          <w:p w:rsidR="0085644D" w:rsidRPr="007B426C" w:rsidRDefault="0085644D" w:rsidP="00A47E37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A47E37"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003C63" w:rsidRDefault="001B2621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24 536</w:t>
            </w:r>
          </w:p>
          <w:p w:rsidR="001B2621" w:rsidRPr="007B426C" w:rsidRDefault="001B2621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26 096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10 435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10 645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- 14 101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-15 451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75,77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75,65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98,84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106,82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1 859 006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1 974 204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1 031 442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1 137 085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03C63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- 827 564</w:t>
            </w:r>
          </w:p>
          <w:p w:rsidR="001B2621" w:rsidRPr="007B426C" w:rsidRDefault="001B262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- 837 119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6408F8" w:rsidRDefault="006408F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A50806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A50806">
        <w:rPr>
          <w:sz w:val="22"/>
          <w:szCs w:val="22"/>
        </w:rPr>
        <w:t xml:space="preserve"> až </w:t>
      </w:r>
      <w:r w:rsidR="001B2621">
        <w:rPr>
          <w:sz w:val="22"/>
          <w:szCs w:val="22"/>
        </w:rPr>
        <w:t>dub</w:t>
      </w:r>
      <w:r w:rsidR="00D96354">
        <w:rPr>
          <w:sz w:val="22"/>
          <w:szCs w:val="22"/>
        </w:rPr>
        <w:t>nu</w:t>
      </w:r>
      <w:r w:rsidR="00070F10">
        <w:rPr>
          <w:sz w:val="22"/>
          <w:szCs w:val="22"/>
        </w:rPr>
        <w:t xml:space="preserve"> 2012,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D96354">
        <w:rPr>
          <w:sz w:val="22"/>
          <w:szCs w:val="22"/>
        </w:rPr>
        <w:t>5</w:t>
      </w:r>
      <w:r w:rsidR="001B2621">
        <w:rPr>
          <w:sz w:val="22"/>
          <w:szCs w:val="22"/>
        </w:rPr>
        <w:t>4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A50806">
        <w:rPr>
          <w:sz w:val="22"/>
          <w:szCs w:val="22"/>
        </w:rPr>
        <w:t>-</w:t>
      </w:r>
      <w:r w:rsidR="00265534">
        <w:rPr>
          <w:sz w:val="22"/>
          <w:szCs w:val="22"/>
        </w:rPr>
        <w:t>duben</w:t>
      </w:r>
      <w:r w:rsidR="00070F10">
        <w:rPr>
          <w:sz w:val="22"/>
          <w:szCs w:val="22"/>
        </w:rPr>
        <w:t xml:space="preserve"> 2012/leden</w:t>
      </w:r>
      <w:r w:rsidR="00A50806">
        <w:rPr>
          <w:sz w:val="22"/>
          <w:szCs w:val="22"/>
        </w:rPr>
        <w:t>-</w:t>
      </w:r>
      <w:r w:rsidR="00265534">
        <w:rPr>
          <w:sz w:val="22"/>
          <w:szCs w:val="22"/>
        </w:rPr>
        <w:t>duben</w:t>
      </w:r>
      <w:r w:rsidR="00070F10">
        <w:rPr>
          <w:sz w:val="22"/>
          <w:szCs w:val="22"/>
        </w:rPr>
        <w:t xml:space="preserve"> 2011) došlo k </w:t>
      </w:r>
      <w:r w:rsidR="00A50806">
        <w:rPr>
          <w:sz w:val="22"/>
          <w:szCs w:val="22"/>
        </w:rPr>
        <w:t>na</w:t>
      </w:r>
      <w:r w:rsidR="00070F10">
        <w:rPr>
          <w:sz w:val="22"/>
          <w:szCs w:val="22"/>
        </w:rPr>
        <w:t xml:space="preserve">výšení finanční hodnoty vývozu o </w:t>
      </w:r>
      <w:r w:rsidR="00265534">
        <w:rPr>
          <w:sz w:val="22"/>
          <w:szCs w:val="22"/>
        </w:rPr>
        <w:t>7,1</w:t>
      </w:r>
      <w:r w:rsidR="00070F10">
        <w:rPr>
          <w:sz w:val="22"/>
          <w:szCs w:val="22"/>
        </w:rPr>
        <w:t xml:space="preserve"> %, tj. cca o </w:t>
      </w:r>
      <w:r w:rsidR="00265534">
        <w:rPr>
          <w:sz w:val="22"/>
          <w:szCs w:val="22"/>
        </w:rPr>
        <w:t>345,3</w:t>
      </w:r>
      <w:r w:rsidR="00070F10">
        <w:rPr>
          <w:sz w:val="22"/>
          <w:szCs w:val="22"/>
        </w:rPr>
        <w:t xml:space="preserve"> mil. Kč</w:t>
      </w:r>
      <w:r w:rsidR="00D96354">
        <w:rPr>
          <w:sz w:val="22"/>
          <w:szCs w:val="22"/>
        </w:rPr>
        <w:t xml:space="preserve">, oproti předchozím měsícům </w:t>
      </w:r>
      <w:r w:rsidR="00D96354" w:rsidRPr="00265534">
        <w:rPr>
          <w:sz w:val="22"/>
          <w:szCs w:val="22"/>
          <w:u w:val="single"/>
        </w:rPr>
        <w:t>do</w:t>
      </w:r>
      <w:r w:rsidR="00265534" w:rsidRPr="00265534">
        <w:rPr>
          <w:sz w:val="22"/>
          <w:szCs w:val="22"/>
          <w:u w:val="single"/>
        </w:rPr>
        <w:t>chází</w:t>
      </w:r>
      <w:r w:rsidR="00D96354" w:rsidRPr="00265534">
        <w:rPr>
          <w:sz w:val="22"/>
          <w:szCs w:val="22"/>
          <w:u w:val="single"/>
        </w:rPr>
        <w:t xml:space="preserve"> ke snížení tempa vývozu</w:t>
      </w:r>
      <w:r w:rsidR="00070F10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265534">
        <w:rPr>
          <w:b/>
          <w:sz w:val="22"/>
          <w:szCs w:val="22"/>
        </w:rPr>
        <w:t>6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A50806">
        <w:rPr>
          <w:sz w:val="22"/>
          <w:szCs w:val="22"/>
        </w:rPr>
        <w:t>3</w:t>
      </w:r>
      <w:r w:rsidR="00D96354">
        <w:rPr>
          <w:sz w:val="22"/>
          <w:szCs w:val="22"/>
        </w:rPr>
        <w:t>0</w:t>
      </w:r>
      <w:r w:rsidR="00A50806">
        <w:rPr>
          <w:sz w:val="22"/>
          <w:szCs w:val="22"/>
        </w:rPr>
        <w:t>,</w:t>
      </w:r>
      <w:r w:rsidR="00265534">
        <w:rPr>
          <w:sz w:val="22"/>
          <w:szCs w:val="22"/>
        </w:rPr>
        <w:t>6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A50806">
        <w:rPr>
          <w:sz w:val="22"/>
          <w:szCs w:val="22"/>
        </w:rPr>
        <w:t>18,</w:t>
      </w:r>
      <w:r w:rsidR="00265534">
        <w:rPr>
          <w:sz w:val="22"/>
          <w:szCs w:val="22"/>
        </w:rPr>
        <w:t>4</w:t>
      </w:r>
      <w:r w:rsidR="00170C55">
        <w:rPr>
          <w:sz w:val="22"/>
          <w:szCs w:val="22"/>
        </w:rPr>
        <w:t xml:space="preserve"> %, do Itálie </w:t>
      </w:r>
      <w:r w:rsidR="00D96354">
        <w:rPr>
          <w:sz w:val="22"/>
          <w:szCs w:val="22"/>
        </w:rPr>
        <w:t>13,</w:t>
      </w:r>
      <w:r w:rsidR="00265534">
        <w:rPr>
          <w:sz w:val="22"/>
          <w:szCs w:val="22"/>
        </w:rPr>
        <w:t>4</w:t>
      </w:r>
      <w:r w:rsidR="00170C55">
        <w:rPr>
          <w:sz w:val="22"/>
          <w:szCs w:val="22"/>
        </w:rPr>
        <w:t xml:space="preserve"> %, Maďarska </w:t>
      </w:r>
      <w:r w:rsidR="00070F10">
        <w:rPr>
          <w:sz w:val="22"/>
          <w:szCs w:val="22"/>
        </w:rPr>
        <w:t>4,</w:t>
      </w:r>
      <w:r w:rsidR="00265534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3,8 %, </w:t>
      </w:r>
      <w:r w:rsidR="00170C55">
        <w:rPr>
          <w:sz w:val="22"/>
          <w:szCs w:val="22"/>
        </w:rPr>
        <w:t xml:space="preserve">Polska </w:t>
      </w:r>
      <w:r w:rsidR="00A50806">
        <w:rPr>
          <w:sz w:val="22"/>
          <w:szCs w:val="22"/>
        </w:rPr>
        <w:t>3,</w:t>
      </w:r>
      <w:r w:rsidR="00265534">
        <w:rPr>
          <w:sz w:val="22"/>
          <w:szCs w:val="22"/>
        </w:rPr>
        <w:t>7</w:t>
      </w:r>
      <w:r w:rsidR="00170C55">
        <w:rPr>
          <w:sz w:val="22"/>
          <w:szCs w:val="22"/>
        </w:rPr>
        <w:t xml:space="preserve"> %). Do zemí EU-27 se v daném období vyvezlo </w:t>
      </w:r>
      <w:r w:rsidR="00A50806">
        <w:rPr>
          <w:sz w:val="22"/>
          <w:szCs w:val="22"/>
        </w:rPr>
        <w:t>83,</w:t>
      </w:r>
      <w:r w:rsidR="00265534">
        <w:rPr>
          <w:sz w:val="22"/>
          <w:szCs w:val="22"/>
        </w:rPr>
        <w:t>6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72395D">
        <w:rPr>
          <w:b/>
          <w:sz w:val="22"/>
          <w:szCs w:val="22"/>
        </w:rPr>
        <w:t>P</w:t>
      </w:r>
      <w:r w:rsidR="00170C55" w:rsidRPr="0072395D">
        <w:rPr>
          <w:b/>
          <w:sz w:val="22"/>
          <w:szCs w:val="22"/>
        </w:rPr>
        <w:t xml:space="preserve">odíl vývozu do třetích zemí představoval v daném období </w:t>
      </w:r>
      <w:r w:rsidR="00A50806" w:rsidRPr="0072395D">
        <w:rPr>
          <w:b/>
          <w:sz w:val="22"/>
          <w:szCs w:val="22"/>
        </w:rPr>
        <w:t>16,</w:t>
      </w:r>
      <w:r w:rsidR="00265534">
        <w:rPr>
          <w:b/>
          <w:sz w:val="22"/>
          <w:szCs w:val="22"/>
        </w:rPr>
        <w:t>4</w:t>
      </w:r>
      <w:r w:rsidR="002908B7" w:rsidRPr="0072395D">
        <w:rPr>
          <w:b/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070F10">
        <w:rPr>
          <w:sz w:val="22"/>
          <w:szCs w:val="22"/>
        </w:rPr>
        <w:t xml:space="preserve">Čína, </w:t>
      </w:r>
      <w:r w:rsidR="00A50806">
        <w:rPr>
          <w:sz w:val="22"/>
          <w:szCs w:val="22"/>
        </w:rPr>
        <w:t xml:space="preserve">Libanon, Bangladéš, </w:t>
      </w:r>
      <w:r w:rsidR="00070F10">
        <w:rPr>
          <w:sz w:val="22"/>
          <w:szCs w:val="22"/>
        </w:rPr>
        <w:t xml:space="preserve">Thajsko, </w:t>
      </w:r>
      <w:r w:rsidR="00A50806">
        <w:rPr>
          <w:sz w:val="22"/>
          <w:szCs w:val="22"/>
        </w:rPr>
        <w:t>Spojené arabské emiráty</w:t>
      </w:r>
      <w:r w:rsidR="00070F10">
        <w:rPr>
          <w:sz w:val="22"/>
          <w:szCs w:val="22"/>
        </w:rPr>
        <w:t>, Malajsie</w:t>
      </w:r>
      <w:r w:rsidR="00A50806">
        <w:rPr>
          <w:sz w:val="22"/>
          <w:szCs w:val="22"/>
        </w:rPr>
        <w:t>,</w:t>
      </w:r>
      <w:r w:rsidR="00A50806" w:rsidRPr="00A50806">
        <w:rPr>
          <w:sz w:val="22"/>
          <w:szCs w:val="22"/>
        </w:rPr>
        <w:t xml:space="preserve"> </w:t>
      </w:r>
      <w:r w:rsidR="00A50806">
        <w:rPr>
          <w:sz w:val="22"/>
          <w:szCs w:val="22"/>
        </w:rPr>
        <w:t>Saudská Arábie</w:t>
      </w:r>
      <w:r w:rsidR="00070F10">
        <w:rPr>
          <w:sz w:val="22"/>
          <w:szCs w:val="22"/>
        </w:rPr>
        <w:t xml:space="preserve">. Předmětem obchodu s těmito zeměmi byly zejména sušená mléka, sušená syrovátka, bílé sýry. </w:t>
      </w:r>
    </w:p>
    <w:p w:rsidR="00593F4A" w:rsidRDefault="00170C55" w:rsidP="00BF749F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265534">
        <w:rPr>
          <w:sz w:val="22"/>
          <w:szCs w:val="22"/>
          <w:u w:val="single"/>
        </w:rPr>
        <w:t>43,9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A50806">
        <w:rPr>
          <w:sz w:val="22"/>
          <w:szCs w:val="22"/>
        </w:rPr>
        <w:t>27,</w:t>
      </w:r>
      <w:r w:rsidR="00265534">
        <w:rPr>
          <w:sz w:val="22"/>
          <w:szCs w:val="22"/>
        </w:rPr>
        <w:t>3</w:t>
      </w:r>
      <w:r>
        <w:rPr>
          <w:sz w:val="22"/>
          <w:szCs w:val="22"/>
        </w:rPr>
        <w:t xml:space="preserve"> %. </w:t>
      </w:r>
    </w:p>
    <w:p w:rsidR="00265534" w:rsidRDefault="00593F4A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</w:t>
      </w:r>
      <w:r w:rsidR="00A50806">
        <w:rPr>
          <w:sz w:val="22"/>
          <w:szCs w:val="22"/>
        </w:rPr>
        <w:t xml:space="preserve">až </w:t>
      </w:r>
      <w:r w:rsidR="00265534">
        <w:rPr>
          <w:sz w:val="22"/>
          <w:szCs w:val="22"/>
        </w:rPr>
        <w:t>dubnu</w:t>
      </w:r>
      <w:r w:rsidR="00A508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2012 se meziročně </w:t>
      </w:r>
      <w:r w:rsidR="00265534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objem vývozu konzumního mléka (meziročně o </w:t>
      </w:r>
      <w:r w:rsidR="00265534">
        <w:rPr>
          <w:sz w:val="22"/>
          <w:szCs w:val="22"/>
        </w:rPr>
        <w:t>1,3</w:t>
      </w:r>
      <w:r w:rsidR="00B83EEE">
        <w:rPr>
          <w:sz w:val="22"/>
          <w:szCs w:val="22"/>
        </w:rPr>
        <w:t xml:space="preserve"> %)</w:t>
      </w:r>
      <w:r w:rsidR="00265534">
        <w:rPr>
          <w:sz w:val="22"/>
          <w:szCs w:val="22"/>
        </w:rPr>
        <w:t xml:space="preserve"> a objem </w:t>
      </w:r>
      <w:r w:rsidR="00B83EEE">
        <w:rPr>
          <w:sz w:val="22"/>
          <w:szCs w:val="22"/>
        </w:rPr>
        <w:t xml:space="preserve"> </w:t>
      </w:r>
    </w:p>
    <w:p w:rsidR="006408F8" w:rsidRDefault="00265534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vývozu smetan v cisternách byl nižší o 62,1 %. Ke zvýšení objemu vývozu v daném období došlo u vývozu mléka v cisternách (o 27,8 %) a vývozu konzumních smetan (o 31,1 %). </w:t>
      </w:r>
      <w:r w:rsidR="00B83EEE">
        <w:rPr>
          <w:sz w:val="22"/>
          <w:szCs w:val="22"/>
        </w:rPr>
        <w:t xml:space="preserve">Významným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21,</w:t>
      </w:r>
      <w:r>
        <w:rPr>
          <w:sz w:val="22"/>
          <w:szCs w:val="22"/>
        </w:rPr>
        <w:t>9</w:t>
      </w:r>
      <w:r w:rsidR="00B83EEE">
        <w:rPr>
          <w:sz w:val="22"/>
          <w:szCs w:val="22"/>
        </w:rPr>
        <w:t xml:space="preserve"> %). </w:t>
      </w:r>
      <w:r w:rsidR="00593F4A">
        <w:rPr>
          <w:sz w:val="22"/>
          <w:szCs w:val="22"/>
        </w:rPr>
        <w:t xml:space="preserve">Objem </w:t>
      </w:r>
      <w:r w:rsidR="00B83EEE">
        <w:rPr>
          <w:sz w:val="22"/>
          <w:szCs w:val="22"/>
        </w:rPr>
        <w:t>vývoz</w:t>
      </w:r>
      <w:r w:rsidR="00593F4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sýrů a tvarohů </w:t>
      </w:r>
      <w:r w:rsidR="00593F4A">
        <w:rPr>
          <w:sz w:val="22"/>
          <w:szCs w:val="22"/>
        </w:rPr>
        <w:t>se meziročně</w:t>
      </w:r>
      <w:r w:rsidR="00C27A66">
        <w:rPr>
          <w:sz w:val="22"/>
          <w:szCs w:val="22"/>
        </w:rPr>
        <w:t xml:space="preserve"> </w:t>
      </w:r>
      <w:r w:rsidR="00593F4A">
        <w:rPr>
          <w:sz w:val="22"/>
          <w:szCs w:val="22"/>
        </w:rPr>
        <w:t xml:space="preserve">zvýšil </w:t>
      </w:r>
      <w:r w:rsidR="00FC20FA">
        <w:rPr>
          <w:sz w:val="22"/>
          <w:szCs w:val="22"/>
        </w:rPr>
        <w:t xml:space="preserve">o </w:t>
      </w:r>
      <w:r w:rsidR="00D96354">
        <w:rPr>
          <w:sz w:val="22"/>
          <w:szCs w:val="22"/>
        </w:rPr>
        <w:t>2,</w:t>
      </w:r>
      <w:r>
        <w:rPr>
          <w:sz w:val="22"/>
          <w:szCs w:val="22"/>
        </w:rPr>
        <w:t>0</w:t>
      </w:r>
      <w:r w:rsidR="00FC20FA">
        <w:rPr>
          <w:sz w:val="22"/>
          <w:szCs w:val="22"/>
        </w:rPr>
        <w:t xml:space="preserve"> %</w:t>
      </w:r>
      <w:r w:rsidR="00B83EEE">
        <w:rPr>
          <w:sz w:val="22"/>
          <w:szCs w:val="22"/>
        </w:rPr>
        <w:t xml:space="preserve">. Vývoz sušeného plnotučného mléka a smetany se v meziročním porovnání </w:t>
      </w:r>
      <w:r w:rsidR="00593F4A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>
        <w:rPr>
          <w:sz w:val="22"/>
          <w:szCs w:val="22"/>
        </w:rPr>
        <w:t>duben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593F4A">
        <w:rPr>
          <w:sz w:val="22"/>
          <w:szCs w:val="22"/>
        </w:rPr>
        <w:t>2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leden-</w:t>
      </w:r>
      <w:r>
        <w:rPr>
          <w:sz w:val="22"/>
          <w:szCs w:val="22"/>
        </w:rPr>
        <w:t>duben</w:t>
      </w:r>
      <w:r w:rsidR="00CF3C41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593F4A">
        <w:rPr>
          <w:sz w:val="22"/>
          <w:szCs w:val="22"/>
        </w:rPr>
        <w:t>1</w:t>
      </w:r>
      <w:r w:rsidR="00B83EEE">
        <w:rPr>
          <w:sz w:val="22"/>
          <w:szCs w:val="22"/>
        </w:rPr>
        <w:t xml:space="preserve"> </w:t>
      </w:r>
      <w:r w:rsidR="00593F4A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>
        <w:rPr>
          <w:sz w:val="22"/>
          <w:szCs w:val="22"/>
        </w:rPr>
        <w:t>24,2</w:t>
      </w:r>
      <w:r w:rsidR="00B83EEE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 xml:space="preserve"> a vývoz sušeného odtučněného mléka o </w:t>
      </w:r>
      <w:r w:rsidR="0037568B">
        <w:rPr>
          <w:sz w:val="22"/>
          <w:szCs w:val="22"/>
        </w:rPr>
        <w:t>4</w:t>
      </w:r>
      <w:r>
        <w:rPr>
          <w:sz w:val="22"/>
          <w:szCs w:val="22"/>
        </w:rPr>
        <w:t>,5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883804">
        <w:rPr>
          <w:sz w:val="22"/>
          <w:szCs w:val="22"/>
        </w:rPr>
        <w:t>vyšší</w:t>
      </w:r>
      <w:r w:rsidR="00B83EEE">
        <w:rPr>
          <w:sz w:val="22"/>
          <w:szCs w:val="22"/>
        </w:rPr>
        <w:t xml:space="preserve"> o </w:t>
      </w:r>
      <w:r>
        <w:rPr>
          <w:sz w:val="22"/>
          <w:szCs w:val="22"/>
        </w:rPr>
        <w:t>51,8</w:t>
      </w:r>
      <w:r w:rsidR="00883804">
        <w:rPr>
          <w:sz w:val="22"/>
          <w:szCs w:val="22"/>
        </w:rPr>
        <w:t xml:space="preserve"> 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jogurtů se meziročně </w:t>
      </w:r>
      <w:r w:rsidR="00C27A66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>
        <w:rPr>
          <w:sz w:val="22"/>
          <w:szCs w:val="22"/>
        </w:rPr>
        <w:t>8</w:t>
      </w:r>
      <w:r w:rsidR="00C27A66">
        <w:rPr>
          <w:sz w:val="22"/>
          <w:szCs w:val="22"/>
        </w:rPr>
        <w:t>,5</w:t>
      </w:r>
      <w:r w:rsidR="00B83EEE">
        <w:rPr>
          <w:sz w:val="22"/>
          <w:szCs w:val="22"/>
        </w:rPr>
        <w:t xml:space="preserve"> %, posílil vývoz ostatních zakysaných mléčných výrobků o </w:t>
      </w:r>
      <w:r>
        <w:rPr>
          <w:sz w:val="22"/>
          <w:szCs w:val="22"/>
        </w:rPr>
        <w:t>8,0</w:t>
      </w:r>
      <w:r w:rsidR="00B83EEE">
        <w:rPr>
          <w:sz w:val="22"/>
          <w:szCs w:val="22"/>
        </w:rPr>
        <w:t xml:space="preserve"> %. Vývoz čerstvého másla ve spotřebitelském balení se meziročně </w:t>
      </w:r>
      <w:r w:rsidR="00D24F63">
        <w:rPr>
          <w:sz w:val="22"/>
          <w:szCs w:val="22"/>
        </w:rPr>
        <w:t>zvýšil</w:t>
      </w:r>
      <w:r w:rsidR="00883804">
        <w:rPr>
          <w:sz w:val="22"/>
          <w:szCs w:val="22"/>
        </w:rPr>
        <w:t xml:space="preserve"> z</w:t>
      </w:r>
      <w:r>
        <w:rPr>
          <w:sz w:val="22"/>
          <w:szCs w:val="22"/>
        </w:rPr>
        <w:t> 251,8</w:t>
      </w:r>
      <w:r w:rsidR="00883804">
        <w:rPr>
          <w:sz w:val="22"/>
          <w:szCs w:val="22"/>
        </w:rPr>
        <w:t xml:space="preserve"> t v</w:t>
      </w:r>
      <w:r w:rsidR="00CF3C41">
        <w:rPr>
          <w:sz w:val="22"/>
          <w:szCs w:val="22"/>
        </w:rPr>
        <w:t> </w:t>
      </w:r>
      <w:r w:rsidR="00883804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</w:t>
      </w:r>
      <w:r>
        <w:rPr>
          <w:sz w:val="22"/>
          <w:szCs w:val="22"/>
        </w:rPr>
        <w:t>dubnu</w:t>
      </w:r>
      <w:r w:rsidR="00883804">
        <w:rPr>
          <w:sz w:val="22"/>
          <w:szCs w:val="22"/>
        </w:rPr>
        <w:t xml:space="preserve"> 2011 na </w:t>
      </w:r>
      <w:r>
        <w:rPr>
          <w:sz w:val="22"/>
          <w:szCs w:val="22"/>
        </w:rPr>
        <w:t>317,5</w:t>
      </w:r>
      <w:r w:rsidR="00D24F63">
        <w:rPr>
          <w:sz w:val="22"/>
          <w:szCs w:val="22"/>
        </w:rPr>
        <w:t xml:space="preserve"> t v lednu </w:t>
      </w:r>
      <w:r w:rsidR="00CF3C41">
        <w:rPr>
          <w:sz w:val="22"/>
          <w:szCs w:val="22"/>
        </w:rPr>
        <w:t xml:space="preserve">až </w:t>
      </w:r>
      <w:r>
        <w:rPr>
          <w:sz w:val="22"/>
          <w:szCs w:val="22"/>
        </w:rPr>
        <w:t>dubnu</w:t>
      </w:r>
      <w:r w:rsidR="00CF3C41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 xml:space="preserve">2012, </w:t>
      </w:r>
      <w:r w:rsidR="00B83EEE">
        <w:rPr>
          <w:sz w:val="22"/>
          <w:szCs w:val="22"/>
        </w:rPr>
        <w:t xml:space="preserve">vývoz másla v blocích byl meziročně </w:t>
      </w:r>
      <w:r w:rsidR="00D24F63">
        <w:rPr>
          <w:sz w:val="22"/>
          <w:szCs w:val="22"/>
        </w:rPr>
        <w:t xml:space="preserve">nižší o </w:t>
      </w:r>
      <w:r>
        <w:rPr>
          <w:sz w:val="22"/>
          <w:szCs w:val="22"/>
        </w:rPr>
        <w:t>539,5</w:t>
      </w:r>
      <w:r w:rsidR="00D24F63">
        <w:rPr>
          <w:sz w:val="22"/>
          <w:szCs w:val="22"/>
        </w:rPr>
        <w:t xml:space="preserve"> t (</w:t>
      </w:r>
      <w:r w:rsidR="00CF3C41">
        <w:rPr>
          <w:sz w:val="22"/>
          <w:szCs w:val="22"/>
        </w:rPr>
        <w:t xml:space="preserve">o </w:t>
      </w:r>
      <w:r w:rsidR="00C27A66">
        <w:rPr>
          <w:sz w:val="22"/>
          <w:szCs w:val="22"/>
        </w:rPr>
        <w:t>6</w:t>
      </w:r>
      <w:r>
        <w:rPr>
          <w:sz w:val="22"/>
          <w:szCs w:val="22"/>
        </w:rPr>
        <w:t>4,2</w:t>
      </w:r>
      <w:r w:rsidR="00CF3C41">
        <w:rPr>
          <w:sz w:val="22"/>
          <w:szCs w:val="22"/>
        </w:rPr>
        <w:t xml:space="preserve"> %)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72395D">
        <w:rPr>
          <w:b/>
          <w:sz w:val="22"/>
          <w:szCs w:val="22"/>
        </w:rPr>
        <w:t>Dovozy ze tří zemí - z Německa (</w:t>
      </w:r>
      <w:r w:rsidR="002F1635">
        <w:rPr>
          <w:b/>
          <w:sz w:val="22"/>
          <w:szCs w:val="22"/>
        </w:rPr>
        <w:t>42,5</w:t>
      </w:r>
      <w:r w:rsidRPr="0072395D">
        <w:rPr>
          <w:b/>
          <w:sz w:val="22"/>
          <w:szCs w:val="22"/>
        </w:rPr>
        <w:t xml:space="preserve"> %), Polska (</w:t>
      </w:r>
      <w:r w:rsidR="00CF3C41" w:rsidRPr="0072395D">
        <w:rPr>
          <w:b/>
          <w:sz w:val="22"/>
          <w:szCs w:val="22"/>
        </w:rPr>
        <w:t>27,</w:t>
      </w:r>
      <w:r w:rsidR="008A5315">
        <w:rPr>
          <w:b/>
          <w:sz w:val="22"/>
          <w:szCs w:val="22"/>
        </w:rPr>
        <w:t>1</w:t>
      </w:r>
      <w:r w:rsidRPr="0072395D">
        <w:rPr>
          <w:b/>
          <w:sz w:val="22"/>
          <w:szCs w:val="22"/>
        </w:rPr>
        <w:t xml:space="preserve"> %) a Slovenska (</w:t>
      </w:r>
      <w:r w:rsidR="002F1635">
        <w:rPr>
          <w:b/>
          <w:sz w:val="22"/>
          <w:szCs w:val="22"/>
        </w:rPr>
        <w:t>13,6</w:t>
      </w:r>
      <w:r w:rsidRPr="0072395D">
        <w:rPr>
          <w:b/>
          <w:sz w:val="22"/>
          <w:szCs w:val="22"/>
        </w:rPr>
        <w:t xml:space="preserve"> %) představují </w:t>
      </w:r>
      <w:r w:rsidR="002567B0" w:rsidRPr="0072395D">
        <w:rPr>
          <w:b/>
          <w:sz w:val="22"/>
          <w:szCs w:val="22"/>
        </w:rPr>
        <w:t xml:space="preserve">celkem </w:t>
      </w:r>
      <w:r w:rsidR="00CF3C41" w:rsidRPr="0072395D">
        <w:rPr>
          <w:b/>
          <w:sz w:val="22"/>
          <w:szCs w:val="22"/>
        </w:rPr>
        <w:t>8</w:t>
      </w:r>
      <w:r w:rsidR="008A5315">
        <w:rPr>
          <w:b/>
          <w:sz w:val="22"/>
          <w:szCs w:val="22"/>
        </w:rPr>
        <w:t>3</w:t>
      </w:r>
      <w:r w:rsidR="00CF3C41" w:rsidRPr="0072395D">
        <w:rPr>
          <w:b/>
          <w:sz w:val="22"/>
          <w:szCs w:val="22"/>
        </w:rPr>
        <w:t>,</w:t>
      </w:r>
      <w:r w:rsidR="002F1635">
        <w:rPr>
          <w:b/>
          <w:sz w:val="22"/>
          <w:szCs w:val="22"/>
        </w:rPr>
        <w:t>2</w:t>
      </w:r>
      <w:r w:rsidR="00F82D6A" w:rsidRPr="0072395D">
        <w:rPr>
          <w:b/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 xml:space="preserve"> až </w:t>
      </w:r>
      <w:r w:rsidR="002F1635">
        <w:rPr>
          <w:sz w:val="22"/>
          <w:szCs w:val="22"/>
        </w:rPr>
        <w:t>dubnu</w:t>
      </w:r>
      <w:r w:rsidR="00F82D6A"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 w:rsidR="00F82D6A" w:rsidRPr="00AB3150">
        <w:rPr>
          <w:sz w:val="22"/>
          <w:szCs w:val="22"/>
        </w:rPr>
        <w:t xml:space="preserve"> se mléko 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>e 30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>, ze zemí EU-27 celkem 99,</w:t>
      </w:r>
      <w:r w:rsidR="008A5315">
        <w:rPr>
          <w:sz w:val="22"/>
          <w:szCs w:val="22"/>
        </w:rPr>
        <w:t>5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dochází k výraznému</w:t>
      </w:r>
      <w:r w:rsidR="00F82D6A">
        <w:rPr>
          <w:sz w:val="22"/>
          <w:szCs w:val="22"/>
        </w:rPr>
        <w:t xml:space="preserve"> </w:t>
      </w:r>
      <w:r w:rsidR="002B13BE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A82D18">
        <w:rPr>
          <w:sz w:val="22"/>
          <w:szCs w:val="22"/>
        </w:rPr>
        <w:t>394,8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8A5315">
        <w:rPr>
          <w:sz w:val="22"/>
          <w:szCs w:val="22"/>
        </w:rPr>
        <w:t>12,</w:t>
      </w:r>
      <w:r w:rsidR="00A82D18">
        <w:rPr>
          <w:sz w:val="22"/>
          <w:szCs w:val="22"/>
        </w:rPr>
        <w:t>2</w:t>
      </w:r>
      <w:r w:rsidR="00F82D6A">
        <w:rPr>
          <w:sz w:val="22"/>
          <w:szCs w:val="22"/>
        </w:rPr>
        <w:t xml:space="preserve"> %. </w:t>
      </w:r>
    </w:p>
    <w:p w:rsidR="00DF1492" w:rsidRDefault="009C379C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Vysoké objemy dovozu sýrů (včetně tvarohů) se v meziročním porovnání 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A82D18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CF3C41">
        <w:rPr>
          <w:sz w:val="22"/>
          <w:szCs w:val="22"/>
        </w:rPr>
        <w:t>-</w:t>
      </w:r>
      <w:r w:rsidR="00A82D18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D24F6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F3C41">
        <w:rPr>
          <w:sz w:val="22"/>
          <w:szCs w:val="22"/>
        </w:rPr>
        <w:t>dále zvýšily</w:t>
      </w:r>
      <w:r>
        <w:rPr>
          <w:sz w:val="22"/>
          <w:szCs w:val="22"/>
        </w:rPr>
        <w:t xml:space="preserve">, a to o </w:t>
      </w:r>
      <w:r w:rsidR="00A82D18">
        <w:rPr>
          <w:sz w:val="22"/>
          <w:szCs w:val="22"/>
        </w:rPr>
        <w:t xml:space="preserve">1 </w:t>
      </w:r>
      <w:r w:rsidR="00AB1FB4">
        <w:rPr>
          <w:sz w:val="22"/>
          <w:szCs w:val="22"/>
        </w:rPr>
        <w:t>5</w:t>
      </w:r>
      <w:r w:rsidR="00A82D18">
        <w:rPr>
          <w:sz w:val="22"/>
          <w:szCs w:val="22"/>
        </w:rPr>
        <w:t>60</w:t>
      </w:r>
      <w:r>
        <w:rPr>
          <w:sz w:val="22"/>
          <w:szCs w:val="22"/>
        </w:rPr>
        <w:t xml:space="preserve"> t na celkových </w:t>
      </w:r>
      <w:r w:rsidR="00A82D18">
        <w:rPr>
          <w:sz w:val="22"/>
          <w:szCs w:val="22"/>
        </w:rPr>
        <w:t>26 096</w:t>
      </w:r>
      <w:r>
        <w:rPr>
          <w:sz w:val="22"/>
          <w:szCs w:val="22"/>
        </w:rPr>
        <w:t xml:space="preserve"> t. </w:t>
      </w:r>
      <w:r w:rsidRPr="0072395D">
        <w:rPr>
          <w:b/>
          <w:sz w:val="22"/>
          <w:szCs w:val="22"/>
        </w:rPr>
        <w:t xml:space="preserve">Toto množství představuje cca </w:t>
      </w:r>
      <w:r w:rsidR="00CF3C41" w:rsidRPr="0072395D">
        <w:rPr>
          <w:b/>
          <w:sz w:val="22"/>
          <w:szCs w:val="22"/>
        </w:rPr>
        <w:t>6</w:t>
      </w:r>
      <w:r w:rsidR="00A82D18">
        <w:rPr>
          <w:b/>
          <w:sz w:val="22"/>
          <w:szCs w:val="22"/>
        </w:rPr>
        <w:t>3</w:t>
      </w:r>
      <w:r w:rsidR="00CF3C41" w:rsidRPr="0072395D">
        <w:rPr>
          <w:b/>
          <w:sz w:val="22"/>
          <w:szCs w:val="22"/>
        </w:rPr>
        <w:t>,</w:t>
      </w:r>
      <w:r w:rsidR="00A82D18">
        <w:rPr>
          <w:b/>
          <w:sz w:val="22"/>
          <w:szCs w:val="22"/>
        </w:rPr>
        <w:t>5</w:t>
      </w:r>
      <w:r w:rsidRPr="0072395D">
        <w:rPr>
          <w:b/>
          <w:sz w:val="22"/>
          <w:szCs w:val="22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CF3C41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CF3C41">
        <w:rPr>
          <w:sz w:val="22"/>
          <w:szCs w:val="22"/>
        </w:rPr>
        <w:t>-</w:t>
      </w:r>
      <w:r w:rsidR="00A82D18">
        <w:rPr>
          <w:sz w:val="22"/>
          <w:szCs w:val="22"/>
        </w:rPr>
        <w:t>dubnu</w:t>
      </w:r>
      <w:r w:rsidR="00D24F63">
        <w:rPr>
          <w:sz w:val="22"/>
          <w:szCs w:val="22"/>
        </w:rPr>
        <w:t xml:space="preserve"> 2012 </w:t>
      </w:r>
      <w:r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>
        <w:rPr>
          <w:sz w:val="22"/>
          <w:szCs w:val="22"/>
        </w:rPr>
        <w:t xml:space="preserve"> z Německa (celkem </w:t>
      </w:r>
      <w:r w:rsidR="00A82D18" w:rsidRPr="00A82D18">
        <w:rPr>
          <w:sz w:val="22"/>
          <w:szCs w:val="22"/>
          <w:u w:val="single"/>
        </w:rPr>
        <w:t>12 055</w:t>
      </w:r>
      <w:r w:rsidRPr="00A82D18">
        <w:rPr>
          <w:sz w:val="22"/>
          <w:szCs w:val="22"/>
          <w:u w:val="single"/>
        </w:rPr>
        <w:t xml:space="preserve"> t za průměrnou dovozní cenu </w:t>
      </w:r>
      <w:r w:rsidR="00A82D18" w:rsidRPr="00A82D18">
        <w:rPr>
          <w:sz w:val="22"/>
          <w:szCs w:val="22"/>
          <w:u w:val="single"/>
        </w:rPr>
        <w:t>65,97</w:t>
      </w:r>
      <w:r w:rsidRPr="00A82D18">
        <w:rPr>
          <w:sz w:val="22"/>
          <w:szCs w:val="22"/>
          <w:u w:val="single"/>
        </w:rPr>
        <w:t xml:space="preserve"> Kč/kg</w:t>
      </w:r>
      <w:r>
        <w:rPr>
          <w:sz w:val="22"/>
          <w:szCs w:val="22"/>
        </w:rPr>
        <w:t xml:space="preserve"> – z toho např. </w:t>
      </w:r>
      <w:r w:rsidR="00A82D18">
        <w:rPr>
          <w:sz w:val="22"/>
          <w:szCs w:val="22"/>
        </w:rPr>
        <w:t>4</w:t>
      </w:r>
      <w:r w:rsidR="00AB1FB4">
        <w:rPr>
          <w:sz w:val="22"/>
          <w:szCs w:val="22"/>
        </w:rPr>
        <w:t xml:space="preserve"> 37</w:t>
      </w:r>
      <w:r w:rsidR="00A82D18">
        <w:rPr>
          <w:sz w:val="22"/>
          <w:szCs w:val="22"/>
        </w:rPr>
        <w:t>9</w:t>
      </w:r>
      <w:r>
        <w:rPr>
          <w:sz w:val="22"/>
          <w:szCs w:val="22"/>
        </w:rPr>
        <w:t xml:space="preserve"> t Eidamu za průměrnou dovozní cenu </w:t>
      </w:r>
      <w:r w:rsidR="00A82D18">
        <w:rPr>
          <w:sz w:val="22"/>
          <w:szCs w:val="22"/>
        </w:rPr>
        <w:t>72,80</w:t>
      </w:r>
      <w:r>
        <w:rPr>
          <w:sz w:val="22"/>
          <w:szCs w:val="22"/>
        </w:rPr>
        <w:t xml:space="preserve"> Kč/kg</w:t>
      </w:r>
      <w:r w:rsidR="009D18AE">
        <w:rPr>
          <w:sz w:val="22"/>
          <w:szCs w:val="22"/>
        </w:rPr>
        <w:t xml:space="preserve"> </w:t>
      </w:r>
      <w:r w:rsidR="008816D1">
        <w:rPr>
          <w:sz w:val="22"/>
          <w:szCs w:val="22"/>
        </w:rPr>
        <w:t>–</w:t>
      </w:r>
      <w:r w:rsidR="006D2BE4">
        <w:rPr>
          <w:sz w:val="22"/>
          <w:szCs w:val="22"/>
        </w:rPr>
        <w:t xml:space="preserve"> </w:t>
      </w:r>
      <w:r w:rsidR="006D2BE4" w:rsidRPr="00A82D18">
        <w:rPr>
          <w:sz w:val="22"/>
          <w:szCs w:val="22"/>
          <w:u w:val="single"/>
        </w:rPr>
        <w:t xml:space="preserve">přitom spotřebitelská cena Eidamu na domácím trhu ČR v měsíci </w:t>
      </w:r>
      <w:r w:rsidR="00A82D18" w:rsidRPr="00A82D18">
        <w:rPr>
          <w:sz w:val="22"/>
          <w:szCs w:val="22"/>
          <w:u w:val="single"/>
        </w:rPr>
        <w:t>dubnu</w:t>
      </w:r>
      <w:r w:rsidR="006D2BE4" w:rsidRPr="00A82D18">
        <w:rPr>
          <w:sz w:val="22"/>
          <w:szCs w:val="22"/>
          <w:u w:val="single"/>
        </w:rPr>
        <w:t xml:space="preserve"> byla </w:t>
      </w:r>
      <w:r w:rsidR="00A82D18" w:rsidRPr="00A82D18">
        <w:rPr>
          <w:sz w:val="22"/>
          <w:szCs w:val="22"/>
          <w:u w:val="single"/>
        </w:rPr>
        <w:t>128,73</w:t>
      </w:r>
      <w:r w:rsidR="006D2BE4" w:rsidRPr="00A82D18">
        <w:rPr>
          <w:sz w:val="22"/>
          <w:szCs w:val="22"/>
          <w:u w:val="single"/>
        </w:rPr>
        <w:t xml:space="preserve"> Kč/kg</w:t>
      </w:r>
      <w:r w:rsidR="006D2BE4">
        <w:rPr>
          <w:sz w:val="22"/>
          <w:szCs w:val="22"/>
        </w:rPr>
        <w:t xml:space="preserve">) </w:t>
      </w:r>
      <w:r>
        <w:rPr>
          <w:sz w:val="22"/>
          <w:szCs w:val="22"/>
        </w:rPr>
        <w:t>a z </w:t>
      </w:r>
      <w:r w:rsidRPr="00A82D18">
        <w:rPr>
          <w:sz w:val="22"/>
          <w:szCs w:val="22"/>
          <w:u w:val="single"/>
        </w:rPr>
        <w:t xml:space="preserve">Polska (celkem </w:t>
      </w:r>
      <w:r w:rsidR="00A82D18" w:rsidRPr="00A82D18">
        <w:rPr>
          <w:sz w:val="22"/>
          <w:szCs w:val="22"/>
          <w:u w:val="single"/>
        </w:rPr>
        <w:t>8 925</w:t>
      </w:r>
      <w:r w:rsidRPr="00A82D18">
        <w:rPr>
          <w:sz w:val="22"/>
          <w:szCs w:val="22"/>
          <w:u w:val="single"/>
        </w:rPr>
        <w:t xml:space="preserve"> t za průměrnou dovozní cenu </w:t>
      </w:r>
      <w:r w:rsidR="00A82D18" w:rsidRPr="00A82D18">
        <w:rPr>
          <w:sz w:val="22"/>
          <w:szCs w:val="22"/>
          <w:u w:val="single"/>
        </w:rPr>
        <w:t>75,19</w:t>
      </w:r>
      <w:r w:rsidRPr="00A82D18">
        <w:rPr>
          <w:sz w:val="22"/>
          <w:szCs w:val="22"/>
          <w:u w:val="single"/>
        </w:rPr>
        <w:t xml:space="preserve"> Kč/kg, z toho např. tavené </w:t>
      </w:r>
      <w:r w:rsidR="00DF1492" w:rsidRPr="00A82D18">
        <w:rPr>
          <w:sz w:val="22"/>
          <w:szCs w:val="22"/>
          <w:u w:val="single"/>
        </w:rPr>
        <w:t xml:space="preserve">sýry </w:t>
      </w:r>
      <w:r w:rsidR="00D24F63" w:rsidRPr="00A82D18">
        <w:rPr>
          <w:sz w:val="22"/>
          <w:szCs w:val="22"/>
          <w:u w:val="single"/>
        </w:rPr>
        <w:t>–</w:t>
      </w:r>
      <w:r w:rsidR="00DF1492" w:rsidRPr="00A82D18">
        <w:rPr>
          <w:sz w:val="22"/>
          <w:szCs w:val="22"/>
          <w:u w:val="single"/>
        </w:rPr>
        <w:t xml:space="preserve"> </w:t>
      </w:r>
      <w:r w:rsidR="00AB1FB4" w:rsidRPr="00A82D18">
        <w:rPr>
          <w:sz w:val="22"/>
          <w:szCs w:val="22"/>
          <w:u w:val="single"/>
        </w:rPr>
        <w:t xml:space="preserve">1 </w:t>
      </w:r>
      <w:r w:rsidR="00A82D18" w:rsidRPr="00A82D18">
        <w:rPr>
          <w:sz w:val="22"/>
          <w:szCs w:val="22"/>
          <w:u w:val="single"/>
        </w:rPr>
        <w:t>917</w:t>
      </w:r>
      <w:r w:rsidR="00DF1492" w:rsidRPr="00A82D18">
        <w:rPr>
          <w:sz w:val="22"/>
          <w:szCs w:val="22"/>
          <w:u w:val="single"/>
        </w:rPr>
        <w:t xml:space="preserve"> t za </w:t>
      </w:r>
      <w:r w:rsidR="00CA2381" w:rsidRPr="00A82D18">
        <w:rPr>
          <w:sz w:val="22"/>
          <w:szCs w:val="22"/>
          <w:u w:val="single"/>
        </w:rPr>
        <w:t>71,</w:t>
      </w:r>
      <w:r w:rsidR="00A82D18" w:rsidRPr="00A82D18">
        <w:rPr>
          <w:sz w:val="22"/>
          <w:szCs w:val="22"/>
          <w:u w:val="single"/>
        </w:rPr>
        <w:t>40</w:t>
      </w:r>
      <w:r w:rsidR="00DF1492" w:rsidRPr="00A82D18">
        <w:rPr>
          <w:sz w:val="22"/>
          <w:szCs w:val="22"/>
          <w:u w:val="single"/>
        </w:rPr>
        <w:t xml:space="preserve"> Kč/kg</w:t>
      </w:r>
      <w:r w:rsidR="00AB1FB4" w:rsidRPr="00A82D18">
        <w:rPr>
          <w:sz w:val="22"/>
          <w:szCs w:val="22"/>
          <w:u w:val="single"/>
        </w:rPr>
        <w:t>,</w:t>
      </w:r>
      <w:r w:rsidR="006D2BE4">
        <w:rPr>
          <w:sz w:val="22"/>
          <w:szCs w:val="22"/>
        </w:rPr>
        <w:t xml:space="preserve"> </w:t>
      </w:r>
      <w:r w:rsidR="006D2BE4" w:rsidRPr="00A82D18">
        <w:rPr>
          <w:sz w:val="22"/>
          <w:szCs w:val="22"/>
          <w:u w:val="single"/>
        </w:rPr>
        <w:t xml:space="preserve">na domácím trhu ČR </w:t>
      </w:r>
      <w:r w:rsidR="00436DBA" w:rsidRPr="00A82D18">
        <w:rPr>
          <w:sz w:val="22"/>
          <w:szCs w:val="22"/>
          <w:u w:val="single"/>
        </w:rPr>
        <w:t>byla spotřebitelská cena</w:t>
      </w:r>
      <w:r w:rsidR="006D2BE4" w:rsidRPr="00A82D18">
        <w:rPr>
          <w:sz w:val="22"/>
          <w:szCs w:val="22"/>
          <w:u w:val="single"/>
        </w:rPr>
        <w:t xml:space="preserve"> </w:t>
      </w:r>
      <w:r w:rsidR="00A82D18" w:rsidRPr="00A82D18">
        <w:rPr>
          <w:sz w:val="22"/>
          <w:szCs w:val="22"/>
          <w:u w:val="single"/>
        </w:rPr>
        <w:t>198,75</w:t>
      </w:r>
      <w:r w:rsidR="006D2BE4" w:rsidRPr="00A82D18">
        <w:rPr>
          <w:sz w:val="22"/>
          <w:szCs w:val="22"/>
          <w:u w:val="single"/>
        </w:rPr>
        <w:t xml:space="preserve"> Kč/kg</w:t>
      </w:r>
      <w:r w:rsidR="00DF1492">
        <w:rPr>
          <w:sz w:val="22"/>
          <w:szCs w:val="22"/>
        </w:rPr>
        <w:t xml:space="preserve">, Eidam – </w:t>
      </w:r>
      <w:r w:rsidR="00AB1FB4">
        <w:rPr>
          <w:sz w:val="22"/>
          <w:szCs w:val="22"/>
        </w:rPr>
        <w:t xml:space="preserve">1 </w:t>
      </w:r>
      <w:r w:rsidR="00A82D18">
        <w:rPr>
          <w:sz w:val="22"/>
          <w:szCs w:val="22"/>
        </w:rPr>
        <w:t>720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7</w:t>
      </w:r>
      <w:r w:rsidR="00AB1FB4">
        <w:rPr>
          <w:sz w:val="22"/>
          <w:szCs w:val="22"/>
        </w:rPr>
        <w:t>7</w:t>
      </w:r>
      <w:r w:rsidR="00CA2381">
        <w:rPr>
          <w:sz w:val="22"/>
          <w:szCs w:val="22"/>
        </w:rPr>
        <w:t>,</w:t>
      </w:r>
      <w:r w:rsidR="00A82D18">
        <w:rPr>
          <w:sz w:val="22"/>
          <w:szCs w:val="22"/>
        </w:rPr>
        <w:t>38</w:t>
      </w:r>
      <w:r w:rsidR="00DF1492">
        <w:rPr>
          <w:sz w:val="22"/>
          <w:szCs w:val="22"/>
        </w:rPr>
        <w:t xml:space="preserve"> Kč/kg</w:t>
      </w:r>
      <w:r w:rsidR="00CA2381">
        <w:rPr>
          <w:sz w:val="22"/>
          <w:szCs w:val="22"/>
        </w:rPr>
        <w:t xml:space="preserve">, Camembert – </w:t>
      </w:r>
      <w:r w:rsidR="00A82D18">
        <w:rPr>
          <w:sz w:val="22"/>
          <w:szCs w:val="22"/>
        </w:rPr>
        <w:t>1 254</w:t>
      </w:r>
      <w:r w:rsidR="00CA2381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93,79</w:t>
      </w:r>
      <w:r w:rsidR="00CA2381">
        <w:rPr>
          <w:sz w:val="22"/>
          <w:szCs w:val="22"/>
        </w:rPr>
        <w:t xml:space="preserve"> Kč/kg)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 w:rsidR="00CA2381">
        <w:rPr>
          <w:sz w:val="22"/>
          <w:szCs w:val="22"/>
        </w:rPr>
        <w:t>vyšší</w:t>
      </w:r>
      <w:r w:rsidR="00DF1492">
        <w:rPr>
          <w:sz w:val="22"/>
          <w:szCs w:val="22"/>
        </w:rPr>
        <w:t xml:space="preserve"> jsou i objemy dovozu jogurtů a ostatních zakysaných mléčných výrobků (o </w:t>
      </w:r>
      <w:r w:rsidR="00A82D18">
        <w:rPr>
          <w:sz w:val="22"/>
          <w:szCs w:val="22"/>
        </w:rPr>
        <w:t>1 413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A82D18">
        <w:rPr>
          <w:sz w:val="22"/>
          <w:szCs w:val="22"/>
        </w:rPr>
        <w:t>10,1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), které se v daném období dovážely do ČR především z Německa (</w:t>
      </w:r>
      <w:r w:rsidR="00A82D18">
        <w:rPr>
          <w:sz w:val="22"/>
          <w:szCs w:val="22"/>
        </w:rPr>
        <w:t>8 256</w:t>
      </w:r>
      <w:r w:rsidR="00AB1FB4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t za </w:t>
      </w:r>
      <w:r w:rsidR="00CA2381">
        <w:rPr>
          <w:sz w:val="22"/>
          <w:szCs w:val="22"/>
        </w:rPr>
        <w:t>29,</w:t>
      </w:r>
      <w:r w:rsidR="00A82D18">
        <w:rPr>
          <w:sz w:val="22"/>
          <w:szCs w:val="22"/>
        </w:rPr>
        <w:t>09</w:t>
      </w:r>
      <w:r w:rsidR="00DF1492">
        <w:rPr>
          <w:sz w:val="22"/>
          <w:szCs w:val="22"/>
        </w:rPr>
        <w:t xml:space="preserve"> Kč/kg), Polska (</w:t>
      </w:r>
      <w:r w:rsidR="00A82D18">
        <w:rPr>
          <w:sz w:val="22"/>
          <w:szCs w:val="22"/>
        </w:rPr>
        <w:t>4 730</w:t>
      </w:r>
      <w:r w:rsidR="00DF1492">
        <w:rPr>
          <w:sz w:val="22"/>
          <w:szCs w:val="22"/>
        </w:rPr>
        <w:t xml:space="preserve"> t za </w:t>
      </w:r>
      <w:r w:rsidR="00CA2381">
        <w:rPr>
          <w:sz w:val="22"/>
          <w:szCs w:val="22"/>
        </w:rPr>
        <w:t>21,</w:t>
      </w:r>
      <w:r w:rsidR="00A82D18">
        <w:rPr>
          <w:sz w:val="22"/>
          <w:szCs w:val="22"/>
        </w:rPr>
        <w:t>62</w:t>
      </w:r>
      <w:r w:rsidR="00DF1492">
        <w:rPr>
          <w:sz w:val="22"/>
          <w:szCs w:val="22"/>
        </w:rPr>
        <w:t xml:space="preserve"> Kč/kg), </w:t>
      </w:r>
      <w:r w:rsidR="00CA2381">
        <w:rPr>
          <w:sz w:val="22"/>
          <w:szCs w:val="22"/>
        </w:rPr>
        <w:t>ze Slovenska (</w:t>
      </w:r>
      <w:r w:rsidR="00A82D18">
        <w:rPr>
          <w:sz w:val="22"/>
          <w:szCs w:val="22"/>
        </w:rPr>
        <w:t>1 071</w:t>
      </w:r>
      <w:r w:rsidR="00CA2381">
        <w:rPr>
          <w:sz w:val="22"/>
          <w:szCs w:val="22"/>
        </w:rPr>
        <w:t xml:space="preserve"> t za 27,</w:t>
      </w:r>
      <w:r w:rsidR="00A82D18">
        <w:rPr>
          <w:sz w:val="22"/>
          <w:szCs w:val="22"/>
        </w:rPr>
        <w:t>90</w:t>
      </w:r>
      <w:r w:rsidR="00CA2381">
        <w:rPr>
          <w:sz w:val="22"/>
          <w:szCs w:val="22"/>
        </w:rPr>
        <w:t xml:space="preserve"> Kč/kg),</w:t>
      </w:r>
      <w:r w:rsidR="00CA2381" w:rsidRPr="00CA2381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>z Francie (</w:t>
      </w:r>
      <w:r w:rsidR="00A82D18">
        <w:rPr>
          <w:sz w:val="22"/>
          <w:szCs w:val="22"/>
        </w:rPr>
        <w:t>615</w:t>
      </w:r>
      <w:r w:rsidR="00CA2381">
        <w:rPr>
          <w:sz w:val="22"/>
          <w:szCs w:val="22"/>
        </w:rPr>
        <w:t xml:space="preserve"> t za </w:t>
      </w:r>
      <w:r w:rsidR="00AB1FB4">
        <w:rPr>
          <w:sz w:val="22"/>
          <w:szCs w:val="22"/>
        </w:rPr>
        <w:t>29,</w:t>
      </w:r>
      <w:r w:rsidR="00A82D18">
        <w:rPr>
          <w:sz w:val="22"/>
          <w:szCs w:val="22"/>
        </w:rPr>
        <w:t>67</w:t>
      </w:r>
      <w:r w:rsidR="00CA2381">
        <w:rPr>
          <w:sz w:val="22"/>
          <w:szCs w:val="22"/>
        </w:rPr>
        <w:t xml:space="preserve"> Kč/kg). </w:t>
      </w:r>
      <w:r w:rsidR="00DF1492" w:rsidRPr="0072395D">
        <w:rPr>
          <w:b/>
          <w:sz w:val="22"/>
          <w:szCs w:val="22"/>
        </w:rPr>
        <w:t xml:space="preserve">Dovozy másla v objemu </w:t>
      </w:r>
      <w:r w:rsidR="00A82D18">
        <w:rPr>
          <w:b/>
          <w:sz w:val="22"/>
          <w:szCs w:val="22"/>
        </w:rPr>
        <w:t>6 145</w:t>
      </w:r>
      <w:r w:rsidR="00DF1492" w:rsidRPr="0072395D">
        <w:rPr>
          <w:b/>
          <w:sz w:val="22"/>
          <w:szCs w:val="22"/>
        </w:rPr>
        <w:t xml:space="preserve"> t </w:t>
      </w:r>
      <w:r w:rsidR="00EF2BEC" w:rsidRPr="0072395D">
        <w:rPr>
          <w:b/>
          <w:sz w:val="22"/>
          <w:szCs w:val="22"/>
        </w:rPr>
        <w:t>v</w:t>
      </w:r>
      <w:r w:rsidR="00CA2381" w:rsidRPr="0072395D">
        <w:rPr>
          <w:b/>
          <w:sz w:val="22"/>
          <w:szCs w:val="22"/>
        </w:rPr>
        <w:t> </w:t>
      </w:r>
      <w:r w:rsidR="00EF2BEC" w:rsidRPr="0072395D">
        <w:rPr>
          <w:b/>
          <w:sz w:val="22"/>
          <w:szCs w:val="22"/>
        </w:rPr>
        <w:t>lednu</w:t>
      </w:r>
      <w:r w:rsidR="00CA2381" w:rsidRPr="0072395D">
        <w:rPr>
          <w:b/>
          <w:sz w:val="22"/>
          <w:szCs w:val="22"/>
        </w:rPr>
        <w:t xml:space="preserve"> a</w:t>
      </w:r>
      <w:r w:rsidR="00AB1FB4">
        <w:rPr>
          <w:b/>
          <w:sz w:val="22"/>
          <w:szCs w:val="22"/>
        </w:rPr>
        <w:t>ž</w:t>
      </w:r>
      <w:r w:rsidR="00CA2381" w:rsidRPr="0072395D">
        <w:rPr>
          <w:b/>
          <w:sz w:val="22"/>
          <w:szCs w:val="22"/>
        </w:rPr>
        <w:t xml:space="preserve"> </w:t>
      </w:r>
      <w:r w:rsidR="00A82D18">
        <w:rPr>
          <w:b/>
          <w:sz w:val="22"/>
          <w:szCs w:val="22"/>
        </w:rPr>
        <w:t>dubnu</w:t>
      </w:r>
      <w:r w:rsidR="00EF2BEC" w:rsidRPr="0072395D">
        <w:rPr>
          <w:b/>
          <w:sz w:val="22"/>
          <w:szCs w:val="22"/>
        </w:rPr>
        <w:t xml:space="preserve"> 2012 představují </w:t>
      </w:r>
      <w:r w:rsidR="00A82D18">
        <w:rPr>
          <w:b/>
          <w:sz w:val="22"/>
          <w:szCs w:val="22"/>
        </w:rPr>
        <w:t>47,5</w:t>
      </w:r>
      <w:r w:rsidR="00DF1492" w:rsidRPr="0072395D">
        <w:rPr>
          <w:b/>
          <w:sz w:val="22"/>
          <w:szCs w:val="22"/>
        </w:rPr>
        <w:t xml:space="preserve"> % podílu z domácí výroby másla</w:t>
      </w:r>
      <w:r w:rsidR="00DF1492">
        <w:rPr>
          <w:sz w:val="22"/>
          <w:szCs w:val="22"/>
        </w:rPr>
        <w:t xml:space="preserve">. </w:t>
      </w:r>
      <w:r w:rsidR="00EF2BEC">
        <w:rPr>
          <w:sz w:val="22"/>
          <w:szCs w:val="22"/>
        </w:rPr>
        <w:t>V</w:t>
      </w:r>
      <w:r w:rsidR="00DF1492">
        <w:rPr>
          <w:sz w:val="22"/>
          <w:szCs w:val="22"/>
        </w:rPr>
        <w:t xml:space="preserve"> </w:t>
      </w:r>
      <w:r w:rsidR="00EF2BEC">
        <w:rPr>
          <w:sz w:val="22"/>
          <w:szCs w:val="22"/>
        </w:rPr>
        <w:t>lednu</w:t>
      </w:r>
      <w:r w:rsidR="00DF1492">
        <w:rPr>
          <w:sz w:val="22"/>
          <w:szCs w:val="22"/>
        </w:rPr>
        <w:t xml:space="preserve"> </w:t>
      </w:r>
      <w:r w:rsidR="00CA2381">
        <w:rPr>
          <w:sz w:val="22"/>
          <w:szCs w:val="22"/>
        </w:rPr>
        <w:t xml:space="preserve">až </w:t>
      </w:r>
      <w:r w:rsidR="00A82D18">
        <w:rPr>
          <w:sz w:val="22"/>
          <w:szCs w:val="22"/>
        </w:rPr>
        <w:t>dubnu</w:t>
      </w:r>
      <w:r w:rsidR="00CA2381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>201</w:t>
      </w:r>
      <w:r w:rsidR="00EF2BEC">
        <w:rPr>
          <w:sz w:val="22"/>
          <w:szCs w:val="22"/>
        </w:rPr>
        <w:t>2</w:t>
      </w:r>
      <w:r w:rsidR="00DF1492">
        <w:rPr>
          <w:sz w:val="22"/>
          <w:szCs w:val="22"/>
        </w:rPr>
        <w:t xml:space="preserve"> se máslo dováželo </w:t>
      </w:r>
      <w:r w:rsidR="00BA2902">
        <w:rPr>
          <w:sz w:val="22"/>
          <w:szCs w:val="22"/>
        </w:rPr>
        <w:t xml:space="preserve">do ČR </w:t>
      </w:r>
      <w:r w:rsidR="00DF1492">
        <w:rPr>
          <w:sz w:val="22"/>
          <w:szCs w:val="22"/>
        </w:rPr>
        <w:t>zejména z Německa (</w:t>
      </w:r>
      <w:r w:rsidR="00AB1FB4">
        <w:rPr>
          <w:sz w:val="22"/>
          <w:szCs w:val="22"/>
        </w:rPr>
        <w:t xml:space="preserve">2 </w:t>
      </w:r>
      <w:r w:rsidR="00A82D18">
        <w:rPr>
          <w:sz w:val="22"/>
          <w:szCs w:val="22"/>
        </w:rPr>
        <w:t>890</w:t>
      </w:r>
      <w:r w:rsidR="00DF1492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93,69</w:t>
      </w:r>
      <w:r w:rsidR="00DF1492">
        <w:rPr>
          <w:sz w:val="22"/>
          <w:szCs w:val="22"/>
        </w:rPr>
        <w:t xml:space="preserve"> Kč/kg), Polska (</w:t>
      </w:r>
      <w:r w:rsidR="00AB1FB4">
        <w:rPr>
          <w:sz w:val="22"/>
          <w:szCs w:val="22"/>
        </w:rPr>
        <w:t xml:space="preserve">1 </w:t>
      </w:r>
      <w:r w:rsidR="00A82D18">
        <w:rPr>
          <w:sz w:val="22"/>
          <w:szCs w:val="22"/>
        </w:rPr>
        <w:t>706</w:t>
      </w:r>
      <w:r w:rsidR="00DF1492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78,70</w:t>
      </w:r>
      <w:r w:rsidR="00DF1492">
        <w:rPr>
          <w:sz w:val="22"/>
          <w:szCs w:val="22"/>
        </w:rPr>
        <w:t xml:space="preserve"> Kč/kg) a z</w:t>
      </w:r>
      <w:r w:rsidR="00AB1FB4">
        <w:rPr>
          <w:sz w:val="22"/>
          <w:szCs w:val="22"/>
        </w:rPr>
        <w:t>e</w:t>
      </w:r>
      <w:r w:rsidR="00DF1492">
        <w:rPr>
          <w:sz w:val="22"/>
          <w:szCs w:val="22"/>
        </w:rPr>
        <w:t> </w:t>
      </w:r>
      <w:r w:rsidR="00AB1FB4">
        <w:rPr>
          <w:sz w:val="22"/>
          <w:szCs w:val="22"/>
        </w:rPr>
        <w:t>Slovenska</w:t>
      </w:r>
      <w:r w:rsidR="00DF1492">
        <w:rPr>
          <w:sz w:val="22"/>
          <w:szCs w:val="22"/>
        </w:rPr>
        <w:t xml:space="preserve"> (</w:t>
      </w:r>
      <w:r w:rsidR="00A82D18">
        <w:rPr>
          <w:sz w:val="22"/>
          <w:szCs w:val="22"/>
        </w:rPr>
        <w:t>709</w:t>
      </w:r>
      <w:r w:rsidR="00DF1492">
        <w:rPr>
          <w:sz w:val="22"/>
          <w:szCs w:val="22"/>
        </w:rPr>
        <w:t xml:space="preserve"> t za </w:t>
      </w:r>
      <w:r w:rsidR="00A82D18">
        <w:rPr>
          <w:sz w:val="22"/>
          <w:szCs w:val="22"/>
        </w:rPr>
        <w:t>68,07</w:t>
      </w:r>
      <w:r w:rsidR="00436DBA">
        <w:rPr>
          <w:sz w:val="22"/>
          <w:szCs w:val="22"/>
        </w:rPr>
        <w:t xml:space="preserve"> Kč/kg), spotřebitelská cena ČR v</w:t>
      </w:r>
      <w:r w:rsidR="00AB1FB4">
        <w:rPr>
          <w:sz w:val="22"/>
          <w:szCs w:val="22"/>
        </w:rPr>
        <w:t> </w:t>
      </w:r>
      <w:r w:rsidR="00A82D18">
        <w:rPr>
          <w:sz w:val="22"/>
          <w:szCs w:val="22"/>
        </w:rPr>
        <w:t>dubnu</w:t>
      </w:r>
      <w:r w:rsidR="00AB1FB4">
        <w:rPr>
          <w:sz w:val="22"/>
          <w:szCs w:val="22"/>
        </w:rPr>
        <w:t xml:space="preserve"> 2012</w:t>
      </w:r>
      <w:r w:rsidR="00436DBA">
        <w:rPr>
          <w:sz w:val="22"/>
          <w:szCs w:val="22"/>
        </w:rPr>
        <w:t xml:space="preserve"> byla </w:t>
      </w:r>
      <w:r w:rsidR="00A82D18">
        <w:rPr>
          <w:sz w:val="22"/>
          <w:szCs w:val="22"/>
        </w:rPr>
        <w:t>133,60</w:t>
      </w:r>
      <w:r w:rsidR="00436DBA">
        <w:rPr>
          <w:sz w:val="22"/>
          <w:szCs w:val="22"/>
        </w:rPr>
        <w:t xml:space="preserve"> Kč/kg.</w:t>
      </w: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6408F8" w:rsidRDefault="006408F8" w:rsidP="00C203E0">
      <w:pPr>
        <w:ind w:left="284"/>
        <w:jc w:val="both"/>
        <w:rPr>
          <w:sz w:val="22"/>
          <w:szCs w:val="22"/>
        </w:rPr>
      </w:pPr>
    </w:p>
    <w:p w:rsidR="00D70536" w:rsidRDefault="004D0062" w:rsidP="004D0062">
      <w:pPr>
        <w:ind w:left="284"/>
        <w:rPr>
          <w:b/>
          <w:sz w:val="22"/>
          <w:szCs w:val="22"/>
        </w:rPr>
      </w:pPr>
      <w:r w:rsidRPr="004D0062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7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D70536" w:rsidRDefault="00D70536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CF1A4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41 451</w:t>
            </w:r>
          </w:p>
        </w:tc>
        <w:tc>
          <w:tcPr>
            <w:tcW w:w="723" w:type="dxa"/>
          </w:tcPr>
          <w:p w:rsidR="006440F7" w:rsidRPr="006440F7" w:rsidRDefault="00093864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38 852</w:t>
            </w: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440F7" w:rsidRPr="006440F7" w:rsidRDefault="006440F7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40F7" w:rsidRPr="00CF1A4D" w:rsidRDefault="00093864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161 245</w:t>
            </w:r>
          </w:p>
        </w:tc>
      </w:tr>
      <w:tr w:rsidR="006440F7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CF1A4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093864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Pr="00D66B6A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440F7" w:rsidRDefault="006440F7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440F7" w:rsidRDefault="00CF1A4D" w:rsidP="000938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93864">
              <w:rPr>
                <w:i/>
                <w:sz w:val="18"/>
                <w:szCs w:val="18"/>
              </w:rPr>
              <w:t>78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57" w:rsidRDefault="00577A57" w:rsidP="00CC65A3">
      <w:pPr>
        <w:pStyle w:val="POZNMKA"/>
      </w:pPr>
      <w:r>
        <w:separator/>
      </w:r>
    </w:p>
  </w:endnote>
  <w:endnote w:type="continuationSeparator" w:id="0">
    <w:p w:rsidR="00577A57" w:rsidRDefault="00577A57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21" w:rsidRDefault="00C75214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262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B2621" w:rsidRDefault="001B26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21" w:rsidRDefault="001B2621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C75214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C75214" w:rsidRPr="00697EEE">
      <w:rPr>
        <w:sz w:val="20"/>
      </w:rPr>
      <w:fldChar w:fldCharType="separate"/>
    </w:r>
    <w:r w:rsidR="00477B0A">
      <w:rPr>
        <w:noProof/>
        <w:sz w:val="20"/>
      </w:rPr>
      <w:t>1</w:t>
    </w:r>
    <w:r w:rsidR="00C75214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57" w:rsidRDefault="00577A57" w:rsidP="00CC65A3">
      <w:pPr>
        <w:pStyle w:val="POZNMKA"/>
      </w:pPr>
      <w:r>
        <w:separator/>
      </w:r>
    </w:p>
  </w:footnote>
  <w:footnote w:type="continuationSeparator" w:id="0">
    <w:p w:rsidR="00577A57" w:rsidRDefault="00577A57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3C63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16B8C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0F10"/>
    <w:rsid w:val="00073840"/>
    <w:rsid w:val="00074A94"/>
    <w:rsid w:val="000751BE"/>
    <w:rsid w:val="00075744"/>
    <w:rsid w:val="00083C39"/>
    <w:rsid w:val="00083F92"/>
    <w:rsid w:val="00086B4B"/>
    <w:rsid w:val="00086DC1"/>
    <w:rsid w:val="00093864"/>
    <w:rsid w:val="00093FC1"/>
    <w:rsid w:val="00095002"/>
    <w:rsid w:val="00095191"/>
    <w:rsid w:val="0009794F"/>
    <w:rsid w:val="000A014B"/>
    <w:rsid w:val="000A1231"/>
    <w:rsid w:val="000A323E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D007A"/>
    <w:rsid w:val="000D0E8F"/>
    <w:rsid w:val="000D1CC3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F006B"/>
    <w:rsid w:val="000F2F4D"/>
    <w:rsid w:val="000F3DC4"/>
    <w:rsid w:val="000F4C25"/>
    <w:rsid w:val="000F5255"/>
    <w:rsid w:val="000F6240"/>
    <w:rsid w:val="000F6AC7"/>
    <w:rsid w:val="001005DD"/>
    <w:rsid w:val="0010140F"/>
    <w:rsid w:val="001031E4"/>
    <w:rsid w:val="00103784"/>
    <w:rsid w:val="0010523F"/>
    <w:rsid w:val="00105304"/>
    <w:rsid w:val="00106D95"/>
    <w:rsid w:val="00107C56"/>
    <w:rsid w:val="00110D86"/>
    <w:rsid w:val="00114F7A"/>
    <w:rsid w:val="00116195"/>
    <w:rsid w:val="00117A88"/>
    <w:rsid w:val="00120728"/>
    <w:rsid w:val="0012088B"/>
    <w:rsid w:val="00124352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4ECC"/>
    <w:rsid w:val="00145FC0"/>
    <w:rsid w:val="001478F0"/>
    <w:rsid w:val="001479E3"/>
    <w:rsid w:val="001514E2"/>
    <w:rsid w:val="00152BC8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A43F7"/>
    <w:rsid w:val="001A490F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5DF9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548D"/>
    <w:rsid w:val="001F5B53"/>
    <w:rsid w:val="00200EDE"/>
    <w:rsid w:val="00202F7A"/>
    <w:rsid w:val="002035C3"/>
    <w:rsid w:val="002056B1"/>
    <w:rsid w:val="0021076D"/>
    <w:rsid w:val="00211C25"/>
    <w:rsid w:val="00216855"/>
    <w:rsid w:val="00222020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65534"/>
    <w:rsid w:val="002662AE"/>
    <w:rsid w:val="002711C5"/>
    <w:rsid w:val="00271F22"/>
    <w:rsid w:val="00272382"/>
    <w:rsid w:val="002725B2"/>
    <w:rsid w:val="00276DF1"/>
    <w:rsid w:val="00281B69"/>
    <w:rsid w:val="00282125"/>
    <w:rsid w:val="002824C4"/>
    <w:rsid w:val="002847D2"/>
    <w:rsid w:val="00287047"/>
    <w:rsid w:val="002908B7"/>
    <w:rsid w:val="00291D3E"/>
    <w:rsid w:val="002A03B3"/>
    <w:rsid w:val="002A27D3"/>
    <w:rsid w:val="002A7068"/>
    <w:rsid w:val="002B0C7A"/>
    <w:rsid w:val="002B13BE"/>
    <w:rsid w:val="002B2318"/>
    <w:rsid w:val="002B2C35"/>
    <w:rsid w:val="002B3AAA"/>
    <w:rsid w:val="002B495D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6217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3549"/>
    <w:rsid w:val="003245B5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4C0"/>
    <w:rsid w:val="00341B13"/>
    <w:rsid w:val="0034523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9318D"/>
    <w:rsid w:val="00394C2C"/>
    <w:rsid w:val="00395423"/>
    <w:rsid w:val="00396A8C"/>
    <w:rsid w:val="003A1122"/>
    <w:rsid w:val="003A4142"/>
    <w:rsid w:val="003A42A4"/>
    <w:rsid w:val="003B47C3"/>
    <w:rsid w:val="003B710E"/>
    <w:rsid w:val="003C0B6C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26E2A"/>
    <w:rsid w:val="00431C68"/>
    <w:rsid w:val="0043218B"/>
    <w:rsid w:val="00432CBE"/>
    <w:rsid w:val="004341FB"/>
    <w:rsid w:val="00435AEB"/>
    <w:rsid w:val="00436DBA"/>
    <w:rsid w:val="004376CA"/>
    <w:rsid w:val="00441866"/>
    <w:rsid w:val="004419D1"/>
    <w:rsid w:val="00446238"/>
    <w:rsid w:val="00452675"/>
    <w:rsid w:val="00452EB2"/>
    <w:rsid w:val="004552EF"/>
    <w:rsid w:val="00457CC5"/>
    <w:rsid w:val="00460E6C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597F"/>
    <w:rsid w:val="00477B0A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A795C"/>
    <w:rsid w:val="004B4DAE"/>
    <w:rsid w:val="004B60E8"/>
    <w:rsid w:val="004C1993"/>
    <w:rsid w:val="004C1E3C"/>
    <w:rsid w:val="004C494B"/>
    <w:rsid w:val="004C7E97"/>
    <w:rsid w:val="004D0062"/>
    <w:rsid w:val="004D0CD1"/>
    <w:rsid w:val="004D1FA2"/>
    <w:rsid w:val="004D2086"/>
    <w:rsid w:val="004D2EA6"/>
    <w:rsid w:val="004D2F1D"/>
    <w:rsid w:val="004D409F"/>
    <w:rsid w:val="004E1BB4"/>
    <w:rsid w:val="004E286D"/>
    <w:rsid w:val="004E3443"/>
    <w:rsid w:val="004E4116"/>
    <w:rsid w:val="004E44C8"/>
    <w:rsid w:val="004E4504"/>
    <w:rsid w:val="004E7073"/>
    <w:rsid w:val="004E759E"/>
    <w:rsid w:val="004F2583"/>
    <w:rsid w:val="0050229B"/>
    <w:rsid w:val="00504B82"/>
    <w:rsid w:val="00505897"/>
    <w:rsid w:val="00507D72"/>
    <w:rsid w:val="00507F6B"/>
    <w:rsid w:val="005119C9"/>
    <w:rsid w:val="00513E3A"/>
    <w:rsid w:val="00515726"/>
    <w:rsid w:val="00521010"/>
    <w:rsid w:val="00521317"/>
    <w:rsid w:val="005230C4"/>
    <w:rsid w:val="00523DBB"/>
    <w:rsid w:val="00526A0B"/>
    <w:rsid w:val="0053092E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40E9"/>
    <w:rsid w:val="00544F47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0070"/>
    <w:rsid w:val="00571880"/>
    <w:rsid w:val="0057273C"/>
    <w:rsid w:val="00573C0F"/>
    <w:rsid w:val="0057436F"/>
    <w:rsid w:val="00575B7B"/>
    <w:rsid w:val="00575DB8"/>
    <w:rsid w:val="00576D74"/>
    <w:rsid w:val="00577A57"/>
    <w:rsid w:val="005807F3"/>
    <w:rsid w:val="00581B1B"/>
    <w:rsid w:val="0058467D"/>
    <w:rsid w:val="00584FE9"/>
    <w:rsid w:val="00587FB4"/>
    <w:rsid w:val="005904FA"/>
    <w:rsid w:val="005922A8"/>
    <w:rsid w:val="00593F4A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596E"/>
    <w:rsid w:val="005C6D9E"/>
    <w:rsid w:val="005D0A69"/>
    <w:rsid w:val="005D2893"/>
    <w:rsid w:val="005D3E9E"/>
    <w:rsid w:val="005D4285"/>
    <w:rsid w:val="005D7D18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54521"/>
    <w:rsid w:val="00663301"/>
    <w:rsid w:val="00666C78"/>
    <w:rsid w:val="00672F03"/>
    <w:rsid w:val="00673DE1"/>
    <w:rsid w:val="00674588"/>
    <w:rsid w:val="006753A3"/>
    <w:rsid w:val="0068003E"/>
    <w:rsid w:val="006809E5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A5C71"/>
    <w:rsid w:val="006B0C38"/>
    <w:rsid w:val="006B2128"/>
    <w:rsid w:val="006B4B37"/>
    <w:rsid w:val="006B64D0"/>
    <w:rsid w:val="006B7492"/>
    <w:rsid w:val="006C226C"/>
    <w:rsid w:val="006C37CF"/>
    <w:rsid w:val="006C652D"/>
    <w:rsid w:val="006C749E"/>
    <w:rsid w:val="006D0D39"/>
    <w:rsid w:val="006D1AFE"/>
    <w:rsid w:val="006D2BE4"/>
    <w:rsid w:val="006D685D"/>
    <w:rsid w:val="006E05BA"/>
    <w:rsid w:val="006E0E85"/>
    <w:rsid w:val="006E457B"/>
    <w:rsid w:val="006E4AE1"/>
    <w:rsid w:val="006E55A3"/>
    <w:rsid w:val="006E6529"/>
    <w:rsid w:val="006E770F"/>
    <w:rsid w:val="006F331D"/>
    <w:rsid w:val="006F3459"/>
    <w:rsid w:val="006F4E94"/>
    <w:rsid w:val="006F6071"/>
    <w:rsid w:val="00703221"/>
    <w:rsid w:val="00704398"/>
    <w:rsid w:val="00710E31"/>
    <w:rsid w:val="00711C22"/>
    <w:rsid w:val="00712004"/>
    <w:rsid w:val="007120D1"/>
    <w:rsid w:val="007179FC"/>
    <w:rsid w:val="0072124F"/>
    <w:rsid w:val="007213A1"/>
    <w:rsid w:val="00722318"/>
    <w:rsid w:val="007223D1"/>
    <w:rsid w:val="0072395D"/>
    <w:rsid w:val="00724BC3"/>
    <w:rsid w:val="007277E0"/>
    <w:rsid w:val="00732A66"/>
    <w:rsid w:val="00732EE7"/>
    <w:rsid w:val="00734413"/>
    <w:rsid w:val="007355C4"/>
    <w:rsid w:val="00735893"/>
    <w:rsid w:val="007371A4"/>
    <w:rsid w:val="00737668"/>
    <w:rsid w:val="007407BC"/>
    <w:rsid w:val="00741FA5"/>
    <w:rsid w:val="00742144"/>
    <w:rsid w:val="007432FB"/>
    <w:rsid w:val="00743984"/>
    <w:rsid w:val="00744D67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22A6"/>
    <w:rsid w:val="007632A6"/>
    <w:rsid w:val="007657DE"/>
    <w:rsid w:val="007747CF"/>
    <w:rsid w:val="007747FA"/>
    <w:rsid w:val="00775B2D"/>
    <w:rsid w:val="007775C8"/>
    <w:rsid w:val="00780382"/>
    <w:rsid w:val="0078055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33C9"/>
    <w:rsid w:val="007A5D6A"/>
    <w:rsid w:val="007A62DD"/>
    <w:rsid w:val="007B30F6"/>
    <w:rsid w:val="007B3926"/>
    <w:rsid w:val="007B3970"/>
    <w:rsid w:val="007B426C"/>
    <w:rsid w:val="007B5101"/>
    <w:rsid w:val="007B53DC"/>
    <w:rsid w:val="007B55A5"/>
    <w:rsid w:val="007B5B71"/>
    <w:rsid w:val="007C27F2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B04"/>
    <w:rsid w:val="007E5CE5"/>
    <w:rsid w:val="007E6E63"/>
    <w:rsid w:val="007E73F6"/>
    <w:rsid w:val="007F1C33"/>
    <w:rsid w:val="007F1EC0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5E9A"/>
    <w:rsid w:val="0083798F"/>
    <w:rsid w:val="00840271"/>
    <w:rsid w:val="008420FC"/>
    <w:rsid w:val="008421AF"/>
    <w:rsid w:val="0084273A"/>
    <w:rsid w:val="00843E2A"/>
    <w:rsid w:val="00844D1D"/>
    <w:rsid w:val="0084538A"/>
    <w:rsid w:val="008457DD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6741A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2F2D"/>
    <w:rsid w:val="00883804"/>
    <w:rsid w:val="008847E9"/>
    <w:rsid w:val="0088599E"/>
    <w:rsid w:val="00891AD2"/>
    <w:rsid w:val="00892320"/>
    <w:rsid w:val="00893D43"/>
    <w:rsid w:val="0089464E"/>
    <w:rsid w:val="00896AD9"/>
    <w:rsid w:val="008974DA"/>
    <w:rsid w:val="008A0BF6"/>
    <w:rsid w:val="008A3EBB"/>
    <w:rsid w:val="008A5315"/>
    <w:rsid w:val="008B10C6"/>
    <w:rsid w:val="008B19B1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901331"/>
    <w:rsid w:val="00902DCF"/>
    <w:rsid w:val="0090709A"/>
    <w:rsid w:val="00910C7E"/>
    <w:rsid w:val="009167C6"/>
    <w:rsid w:val="0091769E"/>
    <w:rsid w:val="009212F5"/>
    <w:rsid w:val="00923D6B"/>
    <w:rsid w:val="00924FCA"/>
    <w:rsid w:val="00932AE2"/>
    <w:rsid w:val="00932C0B"/>
    <w:rsid w:val="00932FC2"/>
    <w:rsid w:val="00933544"/>
    <w:rsid w:val="00935513"/>
    <w:rsid w:val="0093673A"/>
    <w:rsid w:val="0094050D"/>
    <w:rsid w:val="00940F0D"/>
    <w:rsid w:val="0094304D"/>
    <w:rsid w:val="0094461E"/>
    <w:rsid w:val="00945099"/>
    <w:rsid w:val="0095275C"/>
    <w:rsid w:val="00954576"/>
    <w:rsid w:val="00955D0A"/>
    <w:rsid w:val="00956FF7"/>
    <w:rsid w:val="009574AB"/>
    <w:rsid w:val="00962D0E"/>
    <w:rsid w:val="00964D38"/>
    <w:rsid w:val="0096712F"/>
    <w:rsid w:val="00972FE2"/>
    <w:rsid w:val="00973CA8"/>
    <w:rsid w:val="009763E6"/>
    <w:rsid w:val="00981700"/>
    <w:rsid w:val="00983303"/>
    <w:rsid w:val="0098477D"/>
    <w:rsid w:val="00985D84"/>
    <w:rsid w:val="00986DB2"/>
    <w:rsid w:val="00990C60"/>
    <w:rsid w:val="0099270D"/>
    <w:rsid w:val="009975E5"/>
    <w:rsid w:val="00997AE8"/>
    <w:rsid w:val="009A018E"/>
    <w:rsid w:val="009A0AD0"/>
    <w:rsid w:val="009A71BE"/>
    <w:rsid w:val="009A75B7"/>
    <w:rsid w:val="009B2A77"/>
    <w:rsid w:val="009B4731"/>
    <w:rsid w:val="009C08CD"/>
    <w:rsid w:val="009C190A"/>
    <w:rsid w:val="009C23BC"/>
    <w:rsid w:val="009C379C"/>
    <w:rsid w:val="009C39BA"/>
    <w:rsid w:val="009C54BB"/>
    <w:rsid w:val="009D06C4"/>
    <w:rsid w:val="009D1466"/>
    <w:rsid w:val="009D18AE"/>
    <w:rsid w:val="009D2FBA"/>
    <w:rsid w:val="009D638D"/>
    <w:rsid w:val="009E0B32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098F"/>
    <w:rsid w:val="00A232BD"/>
    <w:rsid w:val="00A23B7C"/>
    <w:rsid w:val="00A276AF"/>
    <w:rsid w:val="00A3205E"/>
    <w:rsid w:val="00A33711"/>
    <w:rsid w:val="00A343B7"/>
    <w:rsid w:val="00A360FF"/>
    <w:rsid w:val="00A37B54"/>
    <w:rsid w:val="00A37E38"/>
    <w:rsid w:val="00A4214E"/>
    <w:rsid w:val="00A42EB1"/>
    <w:rsid w:val="00A449CB"/>
    <w:rsid w:val="00A47E37"/>
    <w:rsid w:val="00A47E4A"/>
    <w:rsid w:val="00A50806"/>
    <w:rsid w:val="00A50895"/>
    <w:rsid w:val="00A50C58"/>
    <w:rsid w:val="00A553BD"/>
    <w:rsid w:val="00A61276"/>
    <w:rsid w:val="00A612D8"/>
    <w:rsid w:val="00A61974"/>
    <w:rsid w:val="00A62D5E"/>
    <w:rsid w:val="00A65B3F"/>
    <w:rsid w:val="00A67E64"/>
    <w:rsid w:val="00A7307D"/>
    <w:rsid w:val="00A74525"/>
    <w:rsid w:val="00A7656F"/>
    <w:rsid w:val="00A80247"/>
    <w:rsid w:val="00A81110"/>
    <w:rsid w:val="00A82D18"/>
    <w:rsid w:val="00A84222"/>
    <w:rsid w:val="00A85789"/>
    <w:rsid w:val="00A93732"/>
    <w:rsid w:val="00A941B3"/>
    <w:rsid w:val="00A97BFA"/>
    <w:rsid w:val="00AA02BC"/>
    <w:rsid w:val="00AA1A40"/>
    <w:rsid w:val="00AA24B8"/>
    <w:rsid w:val="00AA24C0"/>
    <w:rsid w:val="00AA3755"/>
    <w:rsid w:val="00AA5E13"/>
    <w:rsid w:val="00AA6A46"/>
    <w:rsid w:val="00AA73CA"/>
    <w:rsid w:val="00AA78E5"/>
    <w:rsid w:val="00AB033E"/>
    <w:rsid w:val="00AB1560"/>
    <w:rsid w:val="00AB1FB4"/>
    <w:rsid w:val="00AC024D"/>
    <w:rsid w:val="00AC0CD4"/>
    <w:rsid w:val="00AC2CC1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2C99"/>
    <w:rsid w:val="00B130CC"/>
    <w:rsid w:val="00B14E1E"/>
    <w:rsid w:val="00B1717D"/>
    <w:rsid w:val="00B204C7"/>
    <w:rsid w:val="00B21B41"/>
    <w:rsid w:val="00B22989"/>
    <w:rsid w:val="00B22D11"/>
    <w:rsid w:val="00B24C2B"/>
    <w:rsid w:val="00B26E8A"/>
    <w:rsid w:val="00B277D3"/>
    <w:rsid w:val="00B279B5"/>
    <w:rsid w:val="00B31D41"/>
    <w:rsid w:val="00B338B3"/>
    <w:rsid w:val="00B4000A"/>
    <w:rsid w:val="00B4112B"/>
    <w:rsid w:val="00B42775"/>
    <w:rsid w:val="00B43AF0"/>
    <w:rsid w:val="00B456D7"/>
    <w:rsid w:val="00B46D93"/>
    <w:rsid w:val="00B5114E"/>
    <w:rsid w:val="00B53721"/>
    <w:rsid w:val="00B54EA5"/>
    <w:rsid w:val="00B5645D"/>
    <w:rsid w:val="00B57AB3"/>
    <w:rsid w:val="00B6586F"/>
    <w:rsid w:val="00B67573"/>
    <w:rsid w:val="00B725E1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2902"/>
    <w:rsid w:val="00BA4814"/>
    <w:rsid w:val="00BB093D"/>
    <w:rsid w:val="00BB19BB"/>
    <w:rsid w:val="00BB4094"/>
    <w:rsid w:val="00BB4C8D"/>
    <w:rsid w:val="00BB708F"/>
    <w:rsid w:val="00BC161C"/>
    <w:rsid w:val="00BC21B1"/>
    <w:rsid w:val="00BC3AE6"/>
    <w:rsid w:val="00BC6E15"/>
    <w:rsid w:val="00BD5DF1"/>
    <w:rsid w:val="00BE23F2"/>
    <w:rsid w:val="00BE722E"/>
    <w:rsid w:val="00BF138A"/>
    <w:rsid w:val="00BF1DD7"/>
    <w:rsid w:val="00BF3776"/>
    <w:rsid w:val="00BF4BBA"/>
    <w:rsid w:val="00BF5B82"/>
    <w:rsid w:val="00BF6060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47EC"/>
    <w:rsid w:val="00C27A66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3062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75214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C8F"/>
    <w:rsid w:val="00CA233D"/>
    <w:rsid w:val="00CA2381"/>
    <w:rsid w:val="00CA2B80"/>
    <w:rsid w:val="00CA409D"/>
    <w:rsid w:val="00CA462A"/>
    <w:rsid w:val="00CA494E"/>
    <w:rsid w:val="00CA4D99"/>
    <w:rsid w:val="00CA68AB"/>
    <w:rsid w:val="00CA6EF3"/>
    <w:rsid w:val="00CB047D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3413"/>
    <w:rsid w:val="00D07E65"/>
    <w:rsid w:val="00D12A12"/>
    <w:rsid w:val="00D162D9"/>
    <w:rsid w:val="00D20E8E"/>
    <w:rsid w:val="00D22A24"/>
    <w:rsid w:val="00D23D79"/>
    <w:rsid w:val="00D24C2F"/>
    <w:rsid w:val="00D24F63"/>
    <w:rsid w:val="00D25591"/>
    <w:rsid w:val="00D305CC"/>
    <w:rsid w:val="00D30A96"/>
    <w:rsid w:val="00D31746"/>
    <w:rsid w:val="00D31A53"/>
    <w:rsid w:val="00D33B74"/>
    <w:rsid w:val="00D33D1C"/>
    <w:rsid w:val="00D354E8"/>
    <w:rsid w:val="00D361B2"/>
    <w:rsid w:val="00D366C4"/>
    <w:rsid w:val="00D36CCC"/>
    <w:rsid w:val="00D42458"/>
    <w:rsid w:val="00D448B3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57306"/>
    <w:rsid w:val="00D624D2"/>
    <w:rsid w:val="00D63791"/>
    <w:rsid w:val="00D63C56"/>
    <w:rsid w:val="00D65B00"/>
    <w:rsid w:val="00D66B6A"/>
    <w:rsid w:val="00D67408"/>
    <w:rsid w:val="00D6778D"/>
    <w:rsid w:val="00D70536"/>
    <w:rsid w:val="00D715FE"/>
    <w:rsid w:val="00D7276F"/>
    <w:rsid w:val="00D74EE6"/>
    <w:rsid w:val="00D759DD"/>
    <w:rsid w:val="00D82A2F"/>
    <w:rsid w:val="00D8320A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6354"/>
    <w:rsid w:val="00D967DC"/>
    <w:rsid w:val="00D970DD"/>
    <w:rsid w:val="00DA02B4"/>
    <w:rsid w:val="00DA1297"/>
    <w:rsid w:val="00DA525A"/>
    <w:rsid w:val="00DA5938"/>
    <w:rsid w:val="00DB632D"/>
    <w:rsid w:val="00DB754C"/>
    <w:rsid w:val="00DC2929"/>
    <w:rsid w:val="00DC2EB0"/>
    <w:rsid w:val="00DC5191"/>
    <w:rsid w:val="00DC6137"/>
    <w:rsid w:val="00DC6E33"/>
    <w:rsid w:val="00DD1175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BFB"/>
    <w:rsid w:val="00DF5D96"/>
    <w:rsid w:val="00DF682C"/>
    <w:rsid w:val="00E00EA6"/>
    <w:rsid w:val="00E02140"/>
    <w:rsid w:val="00E035E9"/>
    <w:rsid w:val="00E07167"/>
    <w:rsid w:val="00E11EF4"/>
    <w:rsid w:val="00E12877"/>
    <w:rsid w:val="00E164E0"/>
    <w:rsid w:val="00E21441"/>
    <w:rsid w:val="00E22318"/>
    <w:rsid w:val="00E23F13"/>
    <w:rsid w:val="00E26EB9"/>
    <w:rsid w:val="00E312F2"/>
    <w:rsid w:val="00E321BE"/>
    <w:rsid w:val="00E32833"/>
    <w:rsid w:val="00E329E2"/>
    <w:rsid w:val="00E34EB1"/>
    <w:rsid w:val="00E40F98"/>
    <w:rsid w:val="00E43F1B"/>
    <w:rsid w:val="00E46121"/>
    <w:rsid w:val="00E46D45"/>
    <w:rsid w:val="00E51EAF"/>
    <w:rsid w:val="00E5465E"/>
    <w:rsid w:val="00E54FEE"/>
    <w:rsid w:val="00E608C4"/>
    <w:rsid w:val="00E6172E"/>
    <w:rsid w:val="00E641DE"/>
    <w:rsid w:val="00E64D0B"/>
    <w:rsid w:val="00E64FE2"/>
    <w:rsid w:val="00E65FBD"/>
    <w:rsid w:val="00E73C54"/>
    <w:rsid w:val="00E75A3C"/>
    <w:rsid w:val="00E773FC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314"/>
    <w:rsid w:val="00E94D63"/>
    <w:rsid w:val="00EB1470"/>
    <w:rsid w:val="00EB15D1"/>
    <w:rsid w:val="00EB4140"/>
    <w:rsid w:val="00EB48F4"/>
    <w:rsid w:val="00EB4FA6"/>
    <w:rsid w:val="00EC0614"/>
    <w:rsid w:val="00EC26FE"/>
    <w:rsid w:val="00ED126D"/>
    <w:rsid w:val="00ED5E4D"/>
    <w:rsid w:val="00ED758A"/>
    <w:rsid w:val="00EE5038"/>
    <w:rsid w:val="00EF16AB"/>
    <w:rsid w:val="00EF2BEC"/>
    <w:rsid w:val="00EF5015"/>
    <w:rsid w:val="00EF596D"/>
    <w:rsid w:val="00F017D7"/>
    <w:rsid w:val="00F02916"/>
    <w:rsid w:val="00F0325D"/>
    <w:rsid w:val="00F03765"/>
    <w:rsid w:val="00F051A1"/>
    <w:rsid w:val="00F11C62"/>
    <w:rsid w:val="00F12067"/>
    <w:rsid w:val="00F12897"/>
    <w:rsid w:val="00F12F31"/>
    <w:rsid w:val="00F136A9"/>
    <w:rsid w:val="00F21922"/>
    <w:rsid w:val="00F22A42"/>
    <w:rsid w:val="00F256A5"/>
    <w:rsid w:val="00F27960"/>
    <w:rsid w:val="00F31578"/>
    <w:rsid w:val="00F3693D"/>
    <w:rsid w:val="00F36B50"/>
    <w:rsid w:val="00F40B51"/>
    <w:rsid w:val="00F4185E"/>
    <w:rsid w:val="00F429F9"/>
    <w:rsid w:val="00F42AE8"/>
    <w:rsid w:val="00F432DD"/>
    <w:rsid w:val="00F436A5"/>
    <w:rsid w:val="00F43A82"/>
    <w:rsid w:val="00F444FF"/>
    <w:rsid w:val="00F45757"/>
    <w:rsid w:val="00F459C4"/>
    <w:rsid w:val="00F47B5E"/>
    <w:rsid w:val="00F51CD0"/>
    <w:rsid w:val="00F52448"/>
    <w:rsid w:val="00F548D7"/>
    <w:rsid w:val="00F57ED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788F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20FA"/>
    <w:rsid w:val="00FC34C8"/>
    <w:rsid w:val="00FC35E4"/>
    <w:rsid w:val="00FC4A93"/>
    <w:rsid w:val="00FD17B2"/>
    <w:rsid w:val="00FD1979"/>
    <w:rsid w:val="00FD1F71"/>
    <w:rsid w:val="00FD2DF5"/>
    <w:rsid w:val="00FD64FA"/>
    <w:rsid w:val="00FD6689"/>
    <w:rsid w:val="00FE101B"/>
    <w:rsid w:val="00FE352E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45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početních stavů krav dle kategorií v kusech ke dni 1. 4. příslušného kalendářního roku (</a:t>
            </a:r>
            <a:r>
              <a:rPr lang="en-US" sz="800"/>
              <a:t>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List1!$B$268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1385120680678009E-2"/>
                  <c:y val="3.8015270298383405E-2"/>
                </c:manualLayout>
              </c:layout>
              <c:showVal val="1"/>
            </c:dLbl>
            <c:dLbl>
              <c:idx val="1"/>
              <c:layout>
                <c:manualLayout>
                  <c:x val="-4.433682295394932E-2"/>
                  <c:y val="4.4351065872863492E-2"/>
                </c:manualLayout>
              </c:layout>
              <c:showVal val="1"/>
            </c:dLbl>
            <c:dLbl>
              <c:idx val="2"/>
              <c:layout>
                <c:manualLayout>
                  <c:x val="-5.7370854211405434E-2"/>
                  <c:y val="5.1023365981691313E-2"/>
                </c:manualLayout>
              </c:layout>
              <c:showVal val="1"/>
            </c:dLbl>
            <c:dLbl>
              <c:idx val="3"/>
              <c:layout>
                <c:manualLayout>
                  <c:x val="-6.3134991648771427E-2"/>
                  <c:y val="4.4687536009218626E-2"/>
                </c:manualLayout>
              </c:layout>
              <c:showVal val="1"/>
            </c:dLbl>
            <c:dLbl>
              <c:idx val="4"/>
              <c:layout>
                <c:manualLayout>
                  <c:x val="-6.6475781436411571E-2"/>
                  <c:y val="3.2987644837078292E-2"/>
                </c:manualLayout>
              </c:layout>
              <c:showVal val="1"/>
            </c:dLbl>
            <c:dLbl>
              <c:idx val="5"/>
              <c:layout>
                <c:manualLayout>
                  <c:x val="-6.7758142448103104E-2"/>
                  <c:y val="4.2575507329876493E-2"/>
                </c:manualLayout>
              </c:layout>
              <c:showVal val="1"/>
            </c:dLbl>
            <c:dLbl>
              <c:idx val="6"/>
              <c:layout>
                <c:manualLayout>
                  <c:x val="-6.736995943688881E-2"/>
                  <c:y val="4.1435503488893147E-2"/>
                </c:manualLayout>
              </c:layout>
              <c:showVal val="1"/>
            </c:dLbl>
            <c:dLbl>
              <c:idx val="7"/>
              <c:layout>
                <c:manualLayout>
                  <c:x val="-6.2970353137675988E-2"/>
                  <c:y val="4.0295499647909884E-2"/>
                </c:manualLayout>
              </c:layout>
              <c:showVal val="1"/>
            </c:dLbl>
            <c:dLbl>
              <c:idx val="8"/>
              <c:layout>
                <c:manualLayout>
                  <c:x val="-5.5924003817704765E-2"/>
                  <c:y val="4.7771333461366097E-2"/>
                </c:manualLayout>
              </c:layout>
              <c:showVal val="1"/>
            </c:dLbl>
            <c:dLbl>
              <c:idx val="9"/>
              <c:layout>
                <c:manualLayout>
                  <c:x val="-5.6535731329038635E-2"/>
                  <c:y val="4.5827539850201986E-2"/>
                </c:manualLayout>
              </c:layout>
              <c:showVal val="1"/>
            </c:dLbl>
            <c:dLbl>
              <c:idx val="10"/>
              <c:layout>
                <c:manualLayout>
                  <c:x val="-7.00991708422814E-2"/>
                  <c:y val="6.1115933679021933E-2"/>
                </c:manualLayout>
              </c:layout>
              <c:showVal val="1"/>
            </c:dLbl>
            <c:dLbl>
              <c:idx val="11"/>
              <c:layout>
                <c:manualLayout>
                  <c:x val="-6.6922870436649962E-2"/>
                  <c:y val="5.7863901158697079E-2"/>
                </c:manualLayout>
              </c:layout>
              <c:showVal val="1"/>
            </c:dLbl>
            <c:dLbl>
              <c:idx val="12"/>
              <c:layout>
                <c:manualLayout>
                  <c:x val="-3.9572596039131464E-2"/>
                  <c:y val="7.0030855899110192E-2"/>
                </c:manualLayout>
              </c:layout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List1!$B$269:$B$281</c:f>
              <c:numCache>
                <c:formatCode>#,##0</c:formatCode>
                <c:ptCount val="13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  <c:pt idx="12">
                  <c:v>373136</c:v>
                </c:pt>
              </c:numCache>
            </c:numRef>
          </c:val>
        </c:ser>
        <c:ser>
          <c:idx val="1"/>
          <c:order val="1"/>
          <c:tx>
            <c:strRef>
              <c:f>List1!$C$268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4.6231060606060435E-2"/>
                  <c:y val="-3.8183470968567952E-2"/>
                </c:manualLayout>
              </c:layout>
              <c:showVal val="1"/>
            </c:dLbl>
            <c:dLbl>
              <c:idx val="1"/>
              <c:layout>
                <c:manualLayout>
                  <c:x val="-5.6006323073252214E-2"/>
                  <c:y val="-4.2575507329876493E-2"/>
                </c:manualLayout>
              </c:layout>
              <c:showVal val="1"/>
            </c:dLbl>
            <c:dLbl>
              <c:idx val="2"/>
              <c:layout>
                <c:manualLayout>
                  <c:x val="-6.6617155810069176E-2"/>
                  <c:y val="-3.7211446130209443E-2"/>
                </c:manualLayout>
              </c:layout>
              <c:showVal val="1"/>
            </c:dLbl>
            <c:dLbl>
              <c:idx val="3"/>
              <c:layout>
                <c:manualLayout>
                  <c:x val="-7.2298824862801522E-2"/>
                  <c:y val="-3.2987644837078292E-2"/>
                </c:manualLayout>
              </c:layout>
              <c:showVal val="1"/>
            </c:dLbl>
            <c:dLbl>
              <c:idx val="4"/>
              <c:layout>
                <c:manualLayout>
                  <c:x val="-7.4192764256741164E-2"/>
                  <c:y val="-3.7211446130209443E-2"/>
                </c:manualLayout>
              </c:layout>
              <c:showVal val="1"/>
            </c:dLbl>
            <c:dLbl>
              <c:idx val="5"/>
              <c:layout>
                <c:manualLayout>
                  <c:x val="-7.6921975662133144E-2"/>
                  <c:y val="-3.5099673516420377E-2"/>
                </c:manualLayout>
              </c:layout>
              <c:showVal val="1"/>
            </c:dLbl>
            <c:dLbl>
              <c:idx val="6"/>
              <c:layout>
                <c:manualLayout>
                  <c:x val="-7.0934293724648267E-2"/>
                  <c:y val="-3.9155239741373894E-2"/>
                </c:manualLayout>
              </c:layout>
              <c:showVal val="1"/>
            </c:dLbl>
            <c:dLbl>
              <c:idx val="7"/>
              <c:layout>
                <c:manualLayout>
                  <c:x val="-7.5028036268193904E-2"/>
                  <c:y val="-3.0539402086934397E-2"/>
                </c:manualLayout>
              </c:layout>
              <c:showVal val="1"/>
            </c:dLbl>
            <c:dLbl>
              <c:idx val="8"/>
              <c:layout>
                <c:manualLayout>
                  <c:x val="-7.1240157480314745E-2"/>
                  <c:y val="-2.9735612316753261E-2"/>
                </c:manualLayout>
              </c:layout>
              <c:showVal val="1"/>
            </c:dLbl>
            <c:dLbl>
              <c:idx val="9"/>
              <c:layout>
                <c:manualLayout>
                  <c:x val="-6.2299868766403983E-2"/>
                  <c:y val="-4.1435503488893147E-2"/>
                </c:manualLayout>
              </c:layout>
              <c:showVal val="1"/>
            </c:dLbl>
            <c:dLbl>
              <c:idx val="10"/>
              <c:layout>
                <c:manualLayout>
                  <c:x val="-6.9875626342162031E-2"/>
                  <c:y val="-3.949170987772882E-2"/>
                </c:manualLayout>
              </c:layout>
              <c:showVal val="1"/>
            </c:dLbl>
            <c:dLbl>
              <c:idx val="11"/>
              <c:layout>
                <c:manualLayout>
                  <c:x val="-7.0487204724409655E-2"/>
                  <c:y val="-4.5995774918379133E-2"/>
                </c:manualLayout>
              </c:layout>
              <c:showVal val="1"/>
            </c:dLbl>
            <c:dLbl>
              <c:idx val="12"/>
              <c:layout>
                <c:manualLayout>
                  <c:x val="-4.0937113931319116E-2"/>
                  <c:y val="-6.1246824369617495E-2"/>
                </c:manualLayout>
              </c:layout>
              <c:spPr>
                <a:solidFill>
                  <a:srgbClr val="F79646">
                    <a:lumMod val="20000"/>
                    <a:lumOff val="80000"/>
                  </a:srgbClr>
                </a:solidFill>
                <a:ln>
                  <a:solidFill>
                    <a:schemeClr val="accent6">
                      <a:lumMod val="50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900" b="1"/>
                  </a:pPr>
                  <a:endParaRPr lang="cs-CZ"/>
                </a:p>
              </c:txPr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numRef>
              <c:f>List1!$A$269:$A$281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List1!$C$269:$C$281</c:f>
              <c:numCache>
                <c:formatCode>#,##0</c:formatCode>
                <c:ptCount val="13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  <c:pt idx="12">
                  <c:v>178089</c:v>
                </c:pt>
              </c:numCache>
            </c:numRef>
          </c:val>
        </c:ser>
        <c:marker val="1"/>
        <c:axId val="99068160"/>
        <c:axId val="70750592"/>
      </c:lineChart>
      <c:catAx>
        <c:axId val="990681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0750592"/>
        <c:crosses val="autoZero"/>
        <c:auto val="1"/>
        <c:lblAlgn val="ctr"/>
        <c:lblOffset val="100"/>
      </c:catAx>
      <c:valAx>
        <c:axId val="70750592"/>
        <c:scaling>
          <c:orientation val="minMax"/>
          <c:max val="550000"/>
          <c:min val="5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9068160"/>
        <c:crosses val="autoZero"/>
        <c:crossBetween val="between"/>
        <c:majorUnit val="150000"/>
      </c:valAx>
    </c:plotArea>
    <c:legend>
      <c:legendPos val="b"/>
    </c:legend>
    <c:plotVisOnly val="1"/>
  </c:chart>
  <c:spPr>
    <a:solidFill>
      <a:schemeClr val="accent6">
        <a:lumMod val="40000"/>
        <a:lumOff val="60000"/>
      </a:schemeClr>
    </a:solidFill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3837620123441802"/>
          <c:w val="0.8140760923171676"/>
          <c:h val="0.75755366481725728"/>
        </c:manualLayout>
      </c:layout>
      <c:lineChart>
        <c:grouping val="standard"/>
        <c:ser>
          <c:idx val="0"/>
          <c:order val="0"/>
          <c:tx>
            <c:strRef>
              <c:f>List1!$H$139</c:f>
              <c:strCache>
                <c:ptCount val="1"/>
                <c:pt idx="0">
                  <c:v>CZV</c:v>
                </c:pt>
              </c:strCache>
            </c:strRef>
          </c:tx>
          <c:cat>
            <c:strRef>
              <c:f>List1!$G$140:$G$262</c:f>
              <c:strCache>
                <c:ptCount val="123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</c:strCache>
            </c:strRef>
          </c:cat>
          <c:val>
            <c:numRef>
              <c:f>List1!$H$140:$H$262</c:f>
              <c:numCache>
                <c:formatCode>General</c:formatCode>
                <c:ptCount val="123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8.2199999999999989</c:v>
                </c:pt>
                <c:pt idx="43">
                  <c:v>8.26</c:v>
                </c:pt>
                <c:pt idx="44">
                  <c:v>8.2199999999999989</c:v>
                </c:pt>
                <c:pt idx="45">
                  <c:v>8.2199999999999989</c:v>
                </c:pt>
                <c:pt idx="46">
                  <c:v>8.2199999999999989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8.2199999999999989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</c:numCache>
            </c:numRef>
          </c:val>
        </c:ser>
        <c:ser>
          <c:idx val="1"/>
          <c:order val="1"/>
          <c:tx>
            <c:strRef>
              <c:f>List1!$I$139</c:f>
              <c:strCache>
                <c:ptCount val="1"/>
                <c:pt idx="0">
                  <c:v>CPV</c:v>
                </c:pt>
              </c:strCache>
            </c:strRef>
          </c:tx>
          <c:cat>
            <c:strRef>
              <c:f>List1!$G$140:$G$262</c:f>
              <c:strCache>
                <c:ptCount val="123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</c:strCache>
            </c:strRef>
          </c:cat>
          <c:val>
            <c:numRef>
              <c:f>List1!$I$140:$I$262</c:f>
              <c:numCache>
                <c:formatCode>General</c:formatCode>
                <c:ptCount val="123"/>
                <c:pt idx="0">
                  <c:v>11.9</c:v>
                </c:pt>
                <c:pt idx="1">
                  <c:v>11.9</c:v>
                </c:pt>
                <c:pt idx="2">
                  <c:v>11.860000000000012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10.350000000000012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10.860000000000012</c:v>
                </c:pt>
                <c:pt idx="31">
                  <c:v>10.860000000000012</c:v>
                </c:pt>
                <c:pt idx="32">
                  <c:v>10.860000000000012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10.350000000000012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</c:numCache>
            </c:numRef>
          </c:val>
        </c:ser>
        <c:ser>
          <c:idx val="2"/>
          <c:order val="2"/>
          <c:tx>
            <c:strRef>
              <c:f>List1!$J$139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List1!$G$140:$G$262</c:f>
              <c:strCache>
                <c:ptCount val="123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</c:strCache>
            </c:strRef>
          </c:cat>
          <c:val>
            <c:numRef>
              <c:f>List1!$J$140:$J$262</c:f>
              <c:numCache>
                <c:formatCode>General</c:formatCode>
                <c:ptCount val="123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17.110000000000024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</c:numCache>
            </c:numRef>
          </c:val>
        </c:ser>
        <c:marker val="1"/>
        <c:axId val="87885696"/>
        <c:axId val="87887232"/>
      </c:lineChart>
      <c:catAx>
        <c:axId val="87885696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87887232"/>
        <c:crosses val="autoZero"/>
        <c:auto val="1"/>
        <c:lblAlgn val="ctr"/>
        <c:lblOffset val="100"/>
      </c:catAx>
      <c:valAx>
        <c:axId val="87887232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87885696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07"/>
          <c:y val="0.95423949254437279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březnu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r>
              <a:rPr lang="en-US" sz="900"/>
              <a:t>(Pramen: Evropská komise , Milk Market Situation, </a:t>
            </a:r>
            <a:r>
              <a:rPr lang="cs-CZ" sz="900"/>
              <a:t>19 April 2012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552"/>
          <c:y val="0.14047001471670345"/>
          <c:w val="0.82924124649860664"/>
          <c:h val="0.63370632459187626"/>
        </c:manualLayout>
      </c:layout>
      <c:barChart>
        <c:barDir val="col"/>
        <c:grouping val="clustered"/>
        <c:ser>
          <c:idx val="0"/>
          <c:order val="0"/>
          <c:tx>
            <c:strRef>
              <c:f>'[ceny a zahr obch 2011.xlsx]List1'!$P$5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'[ceny a zahr obch 2011.xlsx]List1'!$O$6:$O$33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Švédsko</c:v>
                </c:pt>
                <c:pt idx="7">
                  <c:v>Nizozemsko</c:v>
                </c:pt>
                <c:pt idx="8">
                  <c:v>Dánsko</c:v>
                </c:pt>
                <c:pt idx="9">
                  <c:v>Vážený průměr EU-27</c:v>
                </c:pt>
                <c:pt idx="10">
                  <c:v>Irsko</c:v>
                </c:pt>
                <c:pt idx="11">
                  <c:v>Spojené království</c:v>
                </c:pt>
                <c:pt idx="12">
                  <c:v>Lucembursko</c:v>
                </c:pt>
                <c:pt idx="13">
                  <c:v>Německo</c:v>
                </c:pt>
                <c:pt idx="14">
                  <c:v>Estonsko</c:v>
                </c:pt>
                <c:pt idx="15">
                  <c:v>Francie</c:v>
                </c:pt>
                <c:pt idx="16">
                  <c:v>Česká republika</c:v>
                </c:pt>
                <c:pt idx="17">
                  <c:v>Bulharsko</c:v>
                </c:pt>
                <c:pt idx="18">
                  <c:v>Španělsko</c:v>
                </c:pt>
                <c:pt idx="19">
                  <c:v>Slovinsko</c:v>
                </c:pt>
                <c:pt idx="20">
                  <c:v>Maďarsko</c:v>
                </c:pt>
                <c:pt idx="21">
                  <c:v>Portugalsko</c:v>
                </c:pt>
                <c:pt idx="22">
                  <c:v>Slovensko</c:v>
                </c:pt>
                <c:pt idx="23">
                  <c:v>Lotyšsko</c:v>
                </c:pt>
                <c:pt idx="24">
                  <c:v>Belgie</c:v>
                </c:pt>
                <c:pt idx="25">
                  <c:v>Polsko</c:v>
                </c:pt>
                <c:pt idx="26">
                  <c:v>Litva</c:v>
                </c:pt>
                <c:pt idx="27">
                  <c:v>Rumunsko</c:v>
                </c:pt>
              </c:strCache>
            </c:strRef>
          </c:cat>
          <c:val>
            <c:numRef>
              <c:f>'[ceny a zahr obch 2011.xlsx]List1'!$P$6:$P$33</c:f>
              <c:numCache>
                <c:formatCode>General</c:formatCode>
                <c:ptCount val="28"/>
                <c:pt idx="0" formatCode="0.00">
                  <c:v>52.17</c:v>
                </c:pt>
                <c:pt idx="1">
                  <c:v>41.339999999999996</c:v>
                </c:pt>
                <c:pt idx="2">
                  <c:v>47.01</c:v>
                </c:pt>
                <c:pt idx="3" formatCode="0.00">
                  <c:v>39.01</c:v>
                </c:pt>
                <c:pt idx="4" formatCode="0.00">
                  <c:v>37.61</c:v>
                </c:pt>
                <c:pt idx="5" formatCode="0.00">
                  <c:v>34.370000000000005</c:v>
                </c:pt>
                <c:pt idx="6" formatCode="0.00">
                  <c:v>38.96</c:v>
                </c:pt>
                <c:pt idx="7" formatCode="0.00">
                  <c:v>36</c:v>
                </c:pt>
                <c:pt idx="8" formatCode="0.00">
                  <c:v>34.5</c:v>
                </c:pt>
                <c:pt idx="9" formatCode="0.00">
                  <c:v>33.300000000000004</c:v>
                </c:pt>
                <c:pt idx="10" formatCode="0.00">
                  <c:v>32.44</c:v>
                </c:pt>
                <c:pt idx="11" formatCode="0.00">
                  <c:v>29.8</c:v>
                </c:pt>
                <c:pt idx="12" formatCode="0.00">
                  <c:v>31.7</c:v>
                </c:pt>
                <c:pt idx="13" formatCode="0.00">
                  <c:v>34.06</c:v>
                </c:pt>
                <c:pt idx="14" formatCode="0.00">
                  <c:v>32.4</c:v>
                </c:pt>
                <c:pt idx="15" formatCode="0.00">
                  <c:v>32.08</c:v>
                </c:pt>
                <c:pt idx="16">
                  <c:v>32.71</c:v>
                </c:pt>
                <c:pt idx="17" formatCode="0.00">
                  <c:v>32.67</c:v>
                </c:pt>
                <c:pt idx="18" formatCode="0.00">
                  <c:v>30.87</c:v>
                </c:pt>
                <c:pt idx="19" formatCode="0.00">
                  <c:v>29.24</c:v>
                </c:pt>
                <c:pt idx="20" formatCode="0.00">
                  <c:v>31.150000000000031</c:v>
                </c:pt>
                <c:pt idx="21" formatCode="0.00">
                  <c:v>31.02</c:v>
                </c:pt>
                <c:pt idx="22" formatCode="0.00">
                  <c:v>31.21</c:v>
                </c:pt>
                <c:pt idx="23" formatCode="0.00">
                  <c:v>29.82</c:v>
                </c:pt>
                <c:pt idx="24" formatCode="0.00">
                  <c:v>33.270000000000003</c:v>
                </c:pt>
                <c:pt idx="25" formatCode="0.00">
                  <c:v>30.279999999999987</c:v>
                </c:pt>
                <c:pt idx="26" formatCode="0.00">
                  <c:v>30.459999999999987</c:v>
                </c:pt>
                <c:pt idx="27" formatCode="0.00">
                  <c:v>28.57</c:v>
                </c:pt>
              </c:numCache>
            </c:numRef>
          </c:val>
        </c:ser>
        <c:ser>
          <c:idx val="1"/>
          <c:order val="1"/>
          <c:tx>
            <c:strRef>
              <c:f>'[ceny a zahr obch 2011.xlsx]List1'!$Q$5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9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'[ceny a zahr obch 2011.xlsx]List1'!$O$6:$O$33</c:f>
              <c:strCache>
                <c:ptCount val="28"/>
                <c:pt idx="0">
                  <c:v>Kypr</c:v>
                </c:pt>
                <c:pt idx="1">
                  <c:v>Řecko</c:v>
                </c:pt>
                <c:pt idx="2">
                  <c:v>Malta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Švédsko</c:v>
                </c:pt>
                <c:pt idx="7">
                  <c:v>Nizozemsko</c:v>
                </c:pt>
                <c:pt idx="8">
                  <c:v>Dánsko</c:v>
                </c:pt>
                <c:pt idx="9">
                  <c:v>Vážený průměr EU-27</c:v>
                </c:pt>
                <c:pt idx="10">
                  <c:v>Irsko</c:v>
                </c:pt>
                <c:pt idx="11">
                  <c:v>Spojené království</c:v>
                </c:pt>
                <c:pt idx="12">
                  <c:v>Lucembursko</c:v>
                </c:pt>
                <c:pt idx="13">
                  <c:v>Německo</c:v>
                </c:pt>
                <c:pt idx="14">
                  <c:v>Estonsko</c:v>
                </c:pt>
                <c:pt idx="15">
                  <c:v>Francie</c:v>
                </c:pt>
                <c:pt idx="16">
                  <c:v>Česká republika</c:v>
                </c:pt>
                <c:pt idx="17">
                  <c:v>Bulharsko</c:v>
                </c:pt>
                <c:pt idx="18">
                  <c:v>Španělsko</c:v>
                </c:pt>
                <c:pt idx="19">
                  <c:v>Slovinsko</c:v>
                </c:pt>
                <c:pt idx="20">
                  <c:v>Maďarsko</c:v>
                </c:pt>
                <c:pt idx="21">
                  <c:v>Portugalsko</c:v>
                </c:pt>
                <c:pt idx="22">
                  <c:v>Slovensko</c:v>
                </c:pt>
                <c:pt idx="23">
                  <c:v>Lotyšsko</c:v>
                </c:pt>
                <c:pt idx="24">
                  <c:v>Belgie</c:v>
                </c:pt>
                <c:pt idx="25">
                  <c:v>Polsko</c:v>
                </c:pt>
                <c:pt idx="26">
                  <c:v>Litva</c:v>
                </c:pt>
                <c:pt idx="27">
                  <c:v>Rumunsko</c:v>
                </c:pt>
              </c:strCache>
            </c:strRef>
          </c:cat>
          <c:val>
            <c:numRef>
              <c:f>'[ceny a zahr obch 2011.xlsx]List1'!$Q$6:$Q$33</c:f>
              <c:numCache>
                <c:formatCode>0.00</c:formatCode>
                <c:ptCount val="28"/>
                <c:pt idx="0">
                  <c:v>53.21</c:v>
                </c:pt>
                <c:pt idx="1">
                  <c:v>45.87</c:v>
                </c:pt>
                <c:pt idx="2" formatCode="General">
                  <c:v>44.02</c:v>
                </c:pt>
                <c:pt idx="3">
                  <c:v>43.1</c:v>
                </c:pt>
                <c:pt idx="4">
                  <c:v>39.630000000000003</c:v>
                </c:pt>
                <c:pt idx="5">
                  <c:v>36.480000000000004</c:v>
                </c:pt>
                <c:pt idx="6">
                  <c:v>35.57</c:v>
                </c:pt>
                <c:pt idx="7">
                  <c:v>34.25</c:v>
                </c:pt>
                <c:pt idx="8">
                  <c:v>34</c:v>
                </c:pt>
                <c:pt idx="9" formatCode="#,##0.00">
                  <c:v>33.5</c:v>
                </c:pt>
                <c:pt idx="10">
                  <c:v>33.410000000000004</c:v>
                </c:pt>
                <c:pt idx="11">
                  <c:v>33.309999999999995</c:v>
                </c:pt>
                <c:pt idx="12">
                  <c:v>33.200000000000003</c:v>
                </c:pt>
                <c:pt idx="13">
                  <c:v>32.700000000000003</c:v>
                </c:pt>
                <c:pt idx="14">
                  <c:v>32.700000000000003</c:v>
                </c:pt>
                <c:pt idx="15">
                  <c:v>32.590000000000003</c:v>
                </c:pt>
                <c:pt idx="16">
                  <c:v>32.14</c:v>
                </c:pt>
                <c:pt idx="17">
                  <c:v>31.69</c:v>
                </c:pt>
                <c:pt idx="18">
                  <c:v>31.459999999999987</c:v>
                </c:pt>
                <c:pt idx="19">
                  <c:v>31.439999999999987</c:v>
                </c:pt>
                <c:pt idx="20">
                  <c:v>31.29</c:v>
                </c:pt>
                <c:pt idx="21">
                  <c:v>30.939999999999987</c:v>
                </c:pt>
                <c:pt idx="22">
                  <c:v>30.84</c:v>
                </c:pt>
                <c:pt idx="23">
                  <c:v>30.27</c:v>
                </c:pt>
                <c:pt idx="24">
                  <c:v>30.25</c:v>
                </c:pt>
                <c:pt idx="25">
                  <c:v>30.25</c:v>
                </c:pt>
                <c:pt idx="26">
                  <c:v>29.279999999999987</c:v>
                </c:pt>
                <c:pt idx="27" formatCode="General">
                  <c:v>28.86</c:v>
                </c:pt>
              </c:numCache>
            </c:numRef>
          </c:val>
        </c:ser>
        <c:axId val="87959424"/>
        <c:axId val="87960960"/>
      </c:barChart>
      <c:catAx>
        <c:axId val="8795942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1" baseline="0"/>
            </a:pPr>
            <a:endParaRPr lang="cs-CZ"/>
          </a:p>
        </c:txPr>
        <c:crossAx val="87960960"/>
        <c:crosses val="autoZero"/>
        <c:auto val="1"/>
        <c:lblAlgn val="ctr"/>
        <c:lblOffset val="100"/>
      </c:catAx>
      <c:valAx>
        <c:axId val="87960960"/>
        <c:scaling>
          <c:orientation val="minMax"/>
          <c:min val="1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879594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367"/>
          <c:y val="0.95997482110680565"/>
          <c:w val="0.67299731559290465"/>
          <c:h val="3.5339189098690452E-2"/>
        </c:manualLayout>
      </c:layout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4313396876846921"/>
          <c:y val="0.15013995515735748"/>
          <c:w val="0.76045747311566914"/>
          <c:h val="0.68353736174489876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strRef>
              <c:f>List1!$G$41:$G$136</c:f>
              <c:strCache>
                <c:ptCount val="96"/>
                <c:pt idx="0">
                  <c:v>V.04</c:v>
                </c:pt>
                <c:pt idx="1">
                  <c:v>VI.04</c:v>
                </c:pt>
                <c:pt idx="2">
                  <c:v>VII.04</c:v>
                </c:pt>
                <c:pt idx="3">
                  <c:v>VIII.04</c:v>
                </c:pt>
                <c:pt idx="4">
                  <c:v>IX.04</c:v>
                </c:pt>
                <c:pt idx="5">
                  <c:v>X.04</c:v>
                </c:pt>
                <c:pt idx="6">
                  <c:v>XI.04</c:v>
                </c:pt>
                <c:pt idx="7">
                  <c:v>XII.04</c:v>
                </c:pt>
                <c:pt idx="8">
                  <c:v>I.05</c:v>
                </c:pt>
                <c:pt idx="9">
                  <c:v>II.05</c:v>
                </c:pt>
                <c:pt idx="10">
                  <c:v>III.05</c:v>
                </c:pt>
                <c:pt idx="11">
                  <c:v>IV.05</c:v>
                </c:pt>
                <c:pt idx="12">
                  <c:v>V.05</c:v>
                </c:pt>
                <c:pt idx="13">
                  <c:v>VI.05</c:v>
                </c:pt>
                <c:pt idx="14">
                  <c:v>VII.05</c:v>
                </c:pt>
                <c:pt idx="15">
                  <c:v>VIII.05</c:v>
                </c:pt>
                <c:pt idx="16">
                  <c:v>IX.05</c:v>
                </c:pt>
                <c:pt idx="17">
                  <c:v>X.05</c:v>
                </c:pt>
                <c:pt idx="18">
                  <c:v>XI.05</c:v>
                </c:pt>
                <c:pt idx="19">
                  <c:v>XII.05</c:v>
                </c:pt>
                <c:pt idx="20">
                  <c:v>I.06</c:v>
                </c:pt>
                <c:pt idx="21">
                  <c:v>II.06</c:v>
                </c:pt>
                <c:pt idx="22">
                  <c:v>III.06</c:v>
                </c:pt>
                <c:pt idx="23">
                  <c:v>IV.06</c:v>
                </c:pt>
                <c:pt idx="24">
                  <c:v>V.06</c:v>
                </c:pt>
                <c:pt idx="25">
                  <c:v>VI.06</c:v>
                </c:pt>
                <c:pt idx="26">
                  <c:v>VII.06</c:v>
                </c:pt>
                <c:pt idx="27">
                  <c:v>VIII.06</c:v>
                </c:pt>
                <c:pt idx="28">
                  <c:v>IX.06</c:v>
                </c:pt>
                <c:pt idx="29">
                  <c:v>X.06</c:v>
                </c:pt>
                <c:pt idx="30">
                  <c:v>XI.06</c:v>
                </c:pt>
                <c:pt idx="31">
                  <c:v>XII.06</c:v>
                </c:pt>
                <c:pt idx="32">
                  <c:v>I.07</c:v>
                </c:pt>
                <c:pt idx="33">
                  <c:v>II.07</c:v>
                </c:pt>
                <c:pt idx="34">
                  <c:v>III.07</c:v>
                </c:pt>
                <c:pt idx="35">
                  <c:v>IV.07</c:v>
                </c:pt>
                <c:pt idx="36">
                  <c:v>V.07</c:v>
                </c:pt>
                <c:pt idx="37">
                  <c:v>VI.07</c:v>
                </c:pt>
                <c:pt idx="38">
                  <c:v>VII.07</c:v>
                </c:pt>
                <c:pt idx="39">
                  <c:v>VIII.07</c:v>
                </c:pt>
                <c:pt idx="40">
                  <c:v>IX.07</c:v>
                </c:pt>
                <c:pt idx="41">
                  <c:v>X.07</c:v>
                </c:pt>
                <c:pt idx="42">
                  <c:v>XI.07</c:v>
                </c:pt>
                <c:pt idx="43">
                  <c:v>XII.07</c:v>
                </c:pt>
                <c:pt idx="44">
                  <c:v>I.08</c:v>
                </c:pt>
                <c:pt idx="45">
                  <c:v>II.08</c:v>
                </c:pt>
                <c:pt idx="46">
                  <c:v>III.08</c:v>
                </c:pt>
                <c:pt idx="47">
                  <c:v>IV.08</c:v>
                </c:pt>
                <c:pt idx="48">
                  <c:v>V.08</c:v>
                </c:pt>
                <c:pt idx="49">
                  <c:v>VI.08</c:v>
                </c:pt>
                <c:pt idx="50">
                  <c:v>VII.08</c:v>
                </c:pt>
                <c:pt idx="51">
                  <c:v>VIII.08</c:v>
                </c:pt>
                <c:pt idx="52">
                  <c:v>IX.08</c:v>
                </c:pt>
                <c:pt idx="53">
                  <c:v>X.08</c:v>
                </c:pt>
                <c:pt idx="54">
                  <c:v>XI.08</c:v>
                </c:pt>
                <c:pt idx="55">
                  <c:v>XII.08</c:v>
                </c:pt>
                <c:pt idx="56">
                  <c:v>I.09</c:v>
                </c:pt>
                <c:pt idx="57">
                  <c:v>II.09</c:v>
                </c:pt>
                <c:pt idx="58">
                  <c:v>III.09</c:v>
                </c:pt>
                <c:pt idx="59">
                  <c:v>IV.09</c:v>
                </c:pt>
                <c:pt idx="60">
                  <c:v>V.09</c:v>
                </c:pt>
                <c:pt idx="61">
                  <c:v>VI.09</c:v>
                </c:pt>
                <c:pt idx="62">
                  <c:v>VII.09</c:v>
                </c:pt>
                <c:pt idx="63">
                  <c:v>VIII.09</c:v>
                </c:pt>
                <c:pt idx="64">
                  <c:v>IX.09</c:v>
                </c:pt>
                <c:pt idx="65">
                  <c:v>X.09</c:v>
                </c:pt>
                <c:pt idx="66">
                  <c:v>XI.09</c:v>
                </c:pt>
                <c:pt idx="67">
                  <c:v>XII.09</c:v>
                </c:pt>
                <c:pt idx="68">
                  <c:v>I.10</c:v>
                </c:pt>
                <c:pt idx="69">
                  <c:v>II.10</c:v>
                </c:pt>
                <c:pt idx="70">
                  <c:v>III.10</c:v>
                </c:pt>
                <c:pt idx="71">
                  <c:v>IV.10</c:v>
                </c:pt>
                <c:pt idx="72">
                  <c:v>V.10</c:v>
                </c:pt>
                <c:pt idx="73">
                  <c:v>VI.10</c:v>
                </c:pt>
                <c:pt idx="74">
                  <c:v>VII.10</c:v>
                </c:pt>
                <c:pt idx="75">
                  <c:v>VIII.10</c:v>
                </c:pt>
                <c:pt idx="76">
                  <c:v>IX.10</c:v>
                </c:pt>
                <c:pt idx="77">
                  <c:v>X.10</c:v>
                </c:pt>
                <c:pt idx="78">
                  <c:v>XI.10</c:v>
                </c:pt>
                <c:pt idx="79">
                  <c:v>XII.10</c:v>
                </c:pt>
                <c:pt idx="80">
                  <c:v>I.11</c:v>
                </c:pt>
                <c:pt idx="81">
                  <c:v>II.11</c:v>
                </c:pt>
                <c:pt idx="82">
                  <c:v>III.11</c:v>
                </c:pt>
                <c:pt idx="83">
                  <c:v>IV.11</c:v>
                </c:pt>
                <c:pt idx="84">
                  <c:v>V.11</c:v>
                </c:pt>
                <c:pt idx="85">
                  <c:v>VI.11</c:v>
                </c:pt>
                <c:pt idx="86">
                  <c:v>VII.11</c:v>
                </c:pt>
                <c:pt idx="87">
                  <c:v>VIII.11</c:v>
                </c:pt>
                <c:pt idx="88">
                  <c:v>IX.11</c:v>
                </c:pt>
                <c:pt idx="89">
                  <c:v>X.11</c:v>
                </c:pt>
                <c:pt idx="90">
                  <c:v>XI.11</c:v>
                </c:pt>
                <c:pt idx="91">
                  <c:v>XII.11</c:v>
                </c:pt>
                <c:pt idx="92">
                  <c:v>I.12</c:v>
                </c:pt>
                <c:pt idx="93">
                  <c:v>II.12</c:v>
                </c:pt>
                <c:pt idx="94">
                  <c:v>III.12</c:v>
                </c:pt>
                <c:pt idx="95">
                  <c:v>Graf č    Ceny mléka CZV, CPV, SC</c:v>
                </c:pt>
              </c:strCache>
            </c:strRef>
          </c:cat>
          <c:val>
            <c:numRef>
              <c:f>List1!$H$41:$H$136</c:f>
              <c:numCache>
                <c:formatCode>General</c:formatCode>
                <c:ptCount val="96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41451</c:v>
                </c:pt>
              </c:numCache>
            </c:numRef>
          </c:val>
        </c:ser>
        <c:axId val="87988480"/>
        <c:axId val="8799846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strRef>
              <c:f>List1!$G$41:$G$136</c:f>
              <c:strCache>
                <c:ptCount val="96"/>
                <c:pt idx="0">
                  <c:v>V.04</c:v>
                </c:pt>
                <c:pt idx="1">
                  <c:v>VI.04</c:v>
                </c:pt>
                <c:pt idx="2">
                  <c:v>VII.04</c:v>
                </c:pt>
                <c:pt idx="3">
                  <c:v>VIII.04</c:v>
                </c:pt>
                <c:pt idx="4">
                  <c:v>IX.04</c:v>
                </c:pt>
                <c:pt idx="5">
                  <c:v>X.04</c:v>
                </c:pt>
                <c:pt idx="6">
                  <c:v>XI.04</c:v>
                </c:pt>
                <c:pt idx="7">
                  <c:v>XII.04</c:v>
                </c:pt>
                <c:pt idx="8">
                  <c:v>I.05</c:v>
                </c:pt>
                <c:pt idx="9">
                  <c:v>II.05</c:v>
                </c:pt>
                <c:pt idx="10">
                  <c:v>III.05</c:v>
                </c:pt>
                <c:pt idx="11">
                  <c:v>IV.05</c:v>
                </c:pt>
                <c:pt idx="12">
                  <c:v>V.05</c:v>
                </c:pt>
                <c:pt idx="13">
                  <c:v>VI.05</c:v>
                </c:pt>
                <c:pt idx="14">
                  <c:v>VII.05</c:v>
                </c:pt>
                <c:pt idx="15">
                  <c:v>VIII.05</c:v>
                </c:pt>
                <c:pt idx="16">
                  <c:v>IX.05</c:v>
                </c:pt>
                <c:pt idx="17">
                  <c:v>X.05</c:v>
                </c:pt>
                <c:pt idx="18">
                  <c:v>XI.05</c:v>
                </c:pt>
                <c:pt idx="19">
                  <c:v>XII.05</c:v>
                </c:pt>
                <c:pt idx="20">
                  <c:v>I.06</c:v>
                </c:pt>
                <c:pt idx="21">
                  <c:v>II.06</c:v>
                </c:pt>
                <c:pt idx="22">
                  <c:v>III.06</c:v>
                </c:pt>
                <c:pt idx="23">
                  <c:v>IV.06</c:v>
                </c:pt>
                <c:pt idx="24">
                  <c:v>V.06</c:v>
                </c:pt>
                <c:pt idx="25">
                  <c:v>VI.06</c:v>
                </c:pt>
                <c:pt idx="26">
                  <c:v>VII.06</c:v>
                </c:pt>
                <c:pt idx="27">
                  <c:v>VIII.06</c:v>
                </c:pt>
                <c:pt idx="28">
                  <c:v>IX.06</c:v>
                </c:pt>
                <c:pt idx="29">
                  <c:v>X.06</c:v>
                </c:pt>
                <c:pt idx="30">
                  <c:v>XI.06</c:v>
                </c:pt>
                <c:pt idx="31">
                  <c:v>XII.06</c:v>
                </c:pt>
                <c:pt idx="32">
                  <c:v>I.07</c:v>
                </c:pt>
                <c:pt idx="33">
                  <c:v>II.07</c:v>
                </c:pt>
                <c:pt idx="34">
                  <c:v>III.07</c:v>
                </c:pt>
                <c:pt idx="35">
                  <c:v>IV.07</c:v>
                </c:pt>
                <c:pt idx="36">
                  <c:v>V.07</c:v>
                </c:pt>
                <c:pt idx="37">
                  <c:v>VI.07</c:v>
                </c:pt>
                <c:pt idx="38">
                  <c:v>VII.07</c:v>
                </c:pt>
                <c:pt idx="39">
                  <c:v>VIII.07</c:v>
                </c:pt>
                <c:pt idx="40">
                  <c:v>IX.07</c:v>
                </c:pt>
                <c:pt idx="41">
                  <c:v>X.07</c:v>
                </c:pt>
                <c:pt idx="42">
                  <c:v>XI.07</c:v>
                </c:pt>
                <c:pt idx="43">
                  <c:v>XII.07</c:v>
                </c:pt>
                <c:pt idx="44">
                  <c:v>I.08</c:v>
                </c:pt>
                <c:pt idx="45">
                  <c:v>II.08</c:v>
                </c:pt>
                <c:pt idx="46">
                  <c:v>III.08</c:v>
                </c:pt>
                <c:pt idx="47">
                  <c:v>IV.08</c:v>
                </c:pt>
                <c:pt idx="48">
                  <c:v>V.08</c:v>
                </c:pt>
                <c:pt idx="49">
                  <c:v>VI.08</c:v>
                </c:pt>
                <c:pt idx="50">
                  <c:v>VII.08</c:v>
                </c:pt>
                <c:pt idx="51">
                  <c:v>VIII.08</c:v>
                </c:pt>
                <c:pt idx="52">
                  <c:v>IX.08</c:v>
                </c:pt>
                <c:pt idx="53">
                  <c:v>X.08</c:v>
                </c:pt>
                <c:pt idx="54">
                  <c:v>XI.08</c:v>
                </c:pt>
                <c:pt idx="55">
                  <c:v>XII.08</c:v>
                </c:pt>
                <c:pt idx="56">
                  <c:v>I.09</c:v>
                </c:pt>
                <c:pt idx="57">
                  <c:v>II.09</c:v>
                </c:pt>
                <c:pt idx="58">
                  <c:v>III.09</c:v>
                </c:pt>
                <c:pt idx="59">
                  <c:v>IV.09</c:v>
                </c:pt>
                <c:pt idx="60">
                  <c:v>V.09</c:v>
                </c:pt>
                <c:pt idx="61">
                  <c:v>VI.09</c:v>
                </c:pt>
                <c:pt idx="62">
                  <c:v>VII.09</c:v>
                </c:pt>
                <c:pt idx="63">
                  <c:v>VIII.09</c:v>
                </c:pt>
                <c:pt idx="64">
                  <c:v>IX.09</c:v>
                </c:pt>
                <c:pt idx="65">
                  <c:v>X.09</c:v>
                </c:pt>
                <c:pt idx="66">
                  <c:v>XI.09</c:v>
                </c:pt>
                <c:pt idx="67">
                  <c:v>XII.09</c:v>
                </c:pt>
                <c:pt idx="68">
                  <c:v>I.10</c:v>
                </c:pt>
                <c:pt idx="69">
                  <c:v>II.10</c:v>
                </c:pt>
                <c:pt idx="70">
                  <c:v>III.10</c:v>
                </c:pt>
                <c:pt idx="71">
                  <c:v>IV.10</c:v>
                </c:pt>
                <c:pt idx="72">
                  <c:v>V.10</c:v>
                </c:pt>
                <c:pt idx="73">
                  <c:v>VI.10</c:v>
                </c:pt>
                <c:pt idx="74">
                  <c:v>VII.10</c:v>
                </c:pt>
                <c:pt idx="75">
                  <c:v>VIII.10</c:v>
                </c:pt>
                <c:pt idx="76">
                  <c:v>IX.10</c:v>
                </c:pt>
                <c:pt idx="77">
                  <c:v>X.10</c:v>
                </c:pt>
                <c:pt idx="78">
                  <c:v>XI.10</c:v>
                </c:pt>
                <c:pt idx="79">
                  <c:v>XII.10</c:v>
                </c:pt>
                <c:pt idx="80">
                  <c:v>I.11</c:v>
                </c:pt>
                <c:pt idx="81">
                  <c:v>II.11</c:v>
                </c:pt>
                <c:pt idx="82">
                  <c:v>III.11</c:v>
                </c:pt>
                <c:pt idx="83">
                  <c:v>IV.11</c:v>
                </c:pt>
                <c:pt idx="84">
                  <c:v>V.11</c:v>
                </c:pt>
                <c:pt idx="85">
                  <c:v>VI.11</c:v>
                </c:pt>
                <c:pt idx="86">
                  <c:v>VII.11</c:v>
                </c:pt>
                <c:pt idx="87">
                  <c:v>VIII.11</c:v>
                </c:pt>
                <c:pt idx="88">
                  <c:v>IX.11</c:v>
                </c:pt>
                <c:pt idx="89">
                  <c:v>X.11</c:v>
                </c:pt>
                <c:pt idx="90">
                  <c:v>XI.11</c:v>
                </c:pt>
                <c:pt idx="91">
                  <c:v>XII.11</c:v>
                </c:pt>
                <c:pt idx="92">
                  <c:v>I.12</c:v>
                </c:pt>
                <c:pt idx="93">
                  <c:v>II.12</c:v>
                </c:pt>
                <c:pt idx="94">
                  <c:v>III.12</c:v>
                </c:pt>
                <c:pt idx="95">
                  <c:v>Graf č    Ceny mléka CZV, CPV, SC</c:v>
                </c:pt>
              </c:strCache>
            </c:strRef>
          </c:cat>
          <c:val>
            <c:numRef>
              <c:f>List1!$I$41:$I$136</c:f>
              <c:numCache>
                <c:formatCode>General</c:formatCode>
                <c:ptCount val="96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8.2199999999999989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8.89</c:v>
                </c:pt>
              </c:numCache>
            </c:numRef>
          </c:val>
        </c:ser>
        <c:marker val="1"/>
        <c:axId val="88002560"/>
        <c:axId val="88000384"/>
      </c:lineChart>
      <c:catAx>
        <c:axId val="87988480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600" baseline="0"/>
            </a:pPr>
            <a:endParaRPr lang="cs-CZ"/>
          </a:p>
        </c:txPr>
        <c:crossAx val="87998464"/>
        <c:crosses val="autoZero"/>
        <c:auto val="1"/>
        <c:lblAlgn val="ctr"/>
        <c:lblOffset val="100"/>
      </c:catAx>
      <c:valAx>
        <c:axId val="879984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7988480"/>
        <c:crosses val="autoZero"/>
        <c:crossBetween val="between"/>
      </c:valAx>
      <c:valAx>
        <c:axId val="88000384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002560"/>
        <c:crosses val="max"/>
        <c:crossBetween val="between"/>
      </c:valAx>
      <c:catAx>
        <c:axId val="88002560"/>
        <c:scaling>
          <c:orientation val="minMax"/>
        </c:scaling>
        <c:delete val="1"/>
        <c:axPos val="b"/>
        <c:numFmt formatCode="mmm/yy" sourceLinked="1"/>
        <c:tickLblPos val="none"/>
        <c:crossAx val="88000384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17F9-A160-4D56-9A5A-7F491196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2012-06-07T13:08:00Z</cp:lastPrinted>
  <dcterms:created xsi:type="dcterms:W3CDTF">2012-06-11T10:36:00Z</dcterms:created>
  <dcterms:modified xsi:type="dcterms:W3CDTF">2012-06-11T10:36:00Z</dcterms:modified>
</cp:coreProperties>
</file>