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69"/>
        <w:gridCol w:w="1021"/>
        <w:gridCol w:w="1021"/>
        <w:gridCol w:w="1021"/>
        <w:gridCol w:w="1021"/>
        <w:gridCol w:w="1021"/>
        <w:gridCol w:w="1021"/>
        <w:gridCol w:w="1021"/>
        <w:gridCol w:w="30"/>
      </w:tblGrid>
      <w:tr w:rsidR="00120728" w:rsidTr="00B074F4">
        <w:trPr>
          <w:trHeight w:val="455"/>
        </w:trPr>
        <w:tc>
          <w:tcPr>
            <w:tcW w:w="10446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20728" w:rsidRDefault="00120728" w:rsidP="00FB6A67">
            <w:pPr>
              <w:pStyle w:val="Normln0"/>
              <w:shd w:val="clear" w:color="auto" w:fill="FFFFFF"/>
              <w:rPr>
                <w:b/>
              </w:rPr>
            </w:pPr>
            <w:r>
              <w:rPr>
                <w:b/>
                <w:sz w:val="28"/>
              </w:rPr>
              <w:t>Komodit</w:t>
            </w:r>
            <w:r w:rsidR="00441866">
              <w:rPr>
                <w:b/>
                <w:sz w:val="28"/>
              </w:rPr>
              <w:t xml:space="preserve">ní karta </w:t>
            </w:r>
            <w:r w:rsidR="00FC3506">
              <w:rPr>
                <w:b/>
                <w:sz w:val="28"/>
              </w:rPr>
              <w:t xml:space="preserve">– </w:t>
            </w:r>
            <w:r w:rsidR="00C90ACA">
              <w:rPr>
                <w:b/>
              </w:rPr>
              <w:t>dostupná data k</w:t>
            </w:r>
            <w:r w:rsidR="002B4667">
              <w:rPr>
                <w:b/>
              </w:rPr>
              <w:t>e dni</w:t>
            </w:r>
            <w:r w:rsidR="00C90ACA">
              <w:rPr>
                <w:b/>
              </w:rPr>
              <w:t xml:space="preserve"> </w:t>
            </w:r>
            <w:r w:rsidR="000F66A8">
              <w:rPr>
                <w:b/>
              </w:rPr>
              <w:t>1</w:t>
            </w:r>
            <w:r w:rsidR="00FB6A67">
              <w:rPr>
                <w:b/>
              </w:rPr>
              <w:t>1</w:t>
            </w:r>
            <w:r w:rsidR="00FC3506" w:rsidRPr="00FC3506">
              <w:rPr>
                <w:b/>
              </w:rPr>
              <w:t xml:space="preserve">. </w:t>
            </w:r>
            <w:r w:rsidR="00FB6A67">
              <w:rPr>
                <w:b/>
              </w:rPr>
              <w:t>srpna</w:t>
            </w:r>
            <w:r w:rsidR="0044189B">
              <w:rPr>
                <w:b/>
              </w:rPr>
              <w:t xml:space="preserve"> </w:t>
            </w:r>
            <w:r w:rsidRPr="00FC3506">
              <w:rPr>
                <w:b/>
              </w:rPr>
              <w:t>201</w:t>
            </w:r>
            <w:r w:rsidR="007604D6">
              <w:rPr>
                <w:b/>
              </w:rPr>
              <w:t>4</w:t>
            </w:r>
            <w:r w:rsidR="0044186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  </w:t>
            </w:r>
            <w:r w:rsidR="00FC3506">
              <w:rPr>
                <w:b/>
                <w:sz w:val="28"/>
              </w:rPr>
              <w:t xml:space="preserve">  </w:t>
            </w:r>
            <w:r w:rsidR="0047013D">
              <w:rPr>
                <w:b/>
                <w:sz w:val="28"/>
              </w:rPr>
              <w:t xml:space="preserve">   </w:t>
            </w:r>
            <w:r w:rsidR="000D17E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MLÉKO a mlékárenské výrobky</w:t>
            </w:r>
          </w:p>
        </w:tc>
      </w:tr>
      <w:tr w:rsidR="00120728" w:rsidTr="00A81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3"/>
        </w:trPr>
        <w:tc>
          <w:tcPr>
            <w:tcW w:w="10446" w:type="dxa"/>
            <w:gridSpan w:val="9"/>
            <w:shd w:val="clear" w:color="auto" w:fill="C2D69B" w:themeFill="accent3" w:themeFillTint="99"/>
          </w:tcPr>
          <w:p w:rsidR="00120728" w:rsidRDefault="00120728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9A3674" w:rsidRPr="009A018E" w:rsidTr="00B074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9A018E" w:rsidRDefault="009A3674" w:rsidP="00545BBD">
            <w:r w:rsidRPr="009A018E">
              <w:t>Ukazatel/rok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007195" w:rsidRDefault="009A3674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007195" w:rsidRDefault="009A3674" w:rsidP="0030629E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2008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007195" w:rsidRDefault="009A3674" w:rsidP="0030629E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2009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007195" w:rsidRDefault="009A3674" w:rsidP="00306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2C020B" w:rsidRDefault="009A3674" w:rsidP="0030629E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5C5BA7" w:rsidRDefault="009A3674" w:rsidP="0030629E">
            <w:pPr>
              <w:jc w:val="center"/>
              <w:rPr>
                <w:sz w:val="20"/>
                <w:vertAlign w:val="superscript"/>
              </w:rPr>
            </w:pPr>
            <w:r w:rsidRPr="005C5BA7">
              <w:rPr>
                <w:sz w:val="20"/>
              </w:rPr>
              <w:t>2012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A3674" w:rsidRPr="009A3674" w:rsidRDefault="009A3674" w:rsidP="00261AA9">
            <w:pPr>
              <w:jc w:val="center"/>
              <w:rPr>
                <w:i/>
                <w:sz w:val="20"/>
                <w:vertAlign w:val="superscript"/>
              </w:rPr>
            </w:pPr>
            <w:r w:rsidRPr="009A3674">
              <w:rPr>
                <w:i/>
                <w:sz w:val="20"/>
              </w:rPr>
              <w:t>2013</w:t>
            </w:r>
            <w:r w:rsidRPr="009A3674">
              <w:rPr>
                <w:i/>
                <w:sz w:val="20"/>
                <w:vertAlign w:val="superscript"/>
              </w:rPr>
              <w:t>2)</w:t>
            </w:r>
          </w:p>
        </w:tc>
      </w:tr>
      <w:tr w:rsidR="009A3674" w:rsidRPr="007952AF" w:rsidTr="008309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tcBorders>
              <w:top w:val="nil"/>
            </w:tcBorders>
            <w:shd w:val="clear" w:color="auto" w:fill="D6E3BC" w:themeFill="accent3" w:themeFillTint="66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stav dojnic v tis. ks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D6E3BC" w:themeFill="accent3" w:themeFillTint="66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402,5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394,1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378,4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D6E3BC" w:themeFill="accent3" w:themeFillTint="66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368,7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D6E3BC" w:themeFill="accent3" w:themeFillTint="66"/>
          </w:tcPr>
          <w:p w:rsidR="009A3674" w:rsidRPr="008309BB" w:rsidRDefault="00732B76" w:rsidP="00545BBD">
            <w:pPr>
              <w:jc w:val="right"/>
              <w:rPr>
                <w:b/>
                <w:sz w:val="18"/>
                <w:szCs w:val="18"/>
              </w:rPr>
            </w:pPr>
            <w:r w:rsidRPr="008309BB">
              <w:rPr>
                <w:b/>
                <w:sz w:val="18"/>
                <w:szCs w:val="18"/>
              </w:rPr>
              <w:t>372,7</w:t>
            </w:r>
          </w:p>
        </w:tc>
      </w:tr>
      <w:tr w:rsidR="009A3674" w:rsidRPr="007952AF" w:rsidTr="008309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 w:themeFill="accent3" w:themeFillTint="66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roční dojivost v    l/ks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6 776,2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6 869,9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6 903,8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7 432,6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8309BB" w:rsidRDefault="00732B76" w:rsidP="00545BBD">
            <w:pPr>
              <w:jc w:val="right"/>
              <w:rPr>
                <w:b/>
                <w:sz w:val="18"/>
                <w:szCs w:val="18"/>
              </w:rPr>
            </w:pPr>
            <w:r w:rsidRPr="008309BB">
              <w:rPr>
                <w:b/>
                <w:sz w:val="18"/>
                <w:szCs w:val="18"/>
              </w:rPr>
              <w:t>7 443,4</w:t>
            </w:r>
          </w:p>
        </w:tc>
      </w:tr>
      <w:tr w:rsidR="009A3674" w:rsidRPr="007952AF" w:rsidTr="008309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 w:themeFill="accent3" w:themeFillTint="66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2 727,7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2 707,6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2 612,5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2 740,7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8309BB" w:rsidRDefault="00732B76" w:rsidP="00545BBD">
            <w:pPr>
              <w:jc w:val="right"/>
              <w:rPr>
                <w:b/>
                <w:sz w:val="18"/>
                <w:szCs w:val="18"/>
              </w:rPr>
            </w:pPr>
            <w:r w:rsidRPr="008309BB">
              <w:rPr>
                <w:b/>
                <w:sz w:val="18"/>
                <w:szCs w:val="18"/>
              </w:rPr>
              <w:t>2 774,5</w:t>
            </w:r>
          </w:p>
        </w:tc>
      </w:tr>
      <w:tr w:rsidR="009A3674" w:rsidRPr="007952AF" w:rsidTr="008309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D6E3BC" w:themeFill="accent3" w:themeFillTint="66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2 638,7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2 588,4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2 508,4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2 628,6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8309BB" w:rsidRDefault="00732B76" w:rsidP="00545BBD">
            <w:pPr>
              <w:jc w:val="right"/>
              <w:rPr>
                <w:b/>
                <w:sz w:val="18"/>
                <w:szCs w:val="18"/>
              </w:rPr>
            </w:pPr>
            <w:r w:rsidRPr="008309BB">
              <w:rPr>
                <w:b/>
                <w:sz w:val="18"/>
                <w:szCs w:val="18"/>
              </w:rPr>
              <w:t>2 665,5</w:t>
            </w:r>
          </w:p>
        </w:tc>
      </w:tr>
      <w:tr w:rsidR="009A3674" w:rsidRPr="007952AF" w:rsidTr="008309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 w:themeFill="accent3" w:themeFillTint="66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96,7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95,6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96,0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95,9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8309BB" w:rsidRDefault="00732B76" w:rsidP="00545BBD">
            <w:pPr>
              <w:jc w:val="right"/>
              <w:rPr>
                <w:b/>
                <w:sz w:val="18"/>
                <w:szCs w:val="18"/>
              </w:rPr>
            </w:pPr>
            <w:r w:rsidRPr="008309BB">
              <w:rPr>
                <w:b/>
                <w:sz w:val="18"/>
                <w:szCs w:val="18"/>
              </w:rPr>
              <w:t>96,1</w:t>
            </w:r>
          </w:p>
        </w:tc>
      </w:tr>
      <w:tr w:rsidR="009A3674" w:rsidRPr="007952AF" w:rsidTr="00B074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54"/>
        </w:trPr>
        <w:tc>
          <w:tcPr>
            <w:tcW w:w="3269" w:type="dxa"/>
          </w:tcPr>
          <w:p w:rsidR="009A3674" w:rsidRPr="00043863" w:rsidRDefault="009A3674" w:rsidP="00545BBD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1021" w:type="dxa"/>
          </w:tcPr>
          <w:p w:rsidR="009A3674" w:rsidRPr="00043863" w:rsidRDefault="009A3674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043863" w:rsidRDefault="009A3674" w:rsidP="0030629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043863" w:rsidRDefault="009A3674" w:rsidP="0030629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043863" w:rsidRDefault="009A3674" w:rsidP="0030629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043863" w:rsidRDefault="009A3674" w:rsidP="0030629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9A3674" w:rsidRPr="009A3674" w:rsidRDefault="009A3674" w:rsidP="00545BBD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9A3674" w:rsidRPr="007952AF" w:rsidTr="008309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97,7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59,9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68,7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8309BB" w:rsidRDefault="009A3674" w:rsidP="00545BBD">
            <w:pPr>
              <w:jc w:val="right"/>
              <w:rPr>
                <w:b/>
                <w:sz w:val="18"/>
                <w:szCs w:val="18"/>
              </w:rPr>
            </w:pPr>
            <w:r w:rsidRPr="008309BB">
              <w:rPr>
                <w:b/>
                <w:sz w:val="18"/>
                <w:szCs w:val="18"/>
              </w:rPr>
              <w:t>61,6</w:t>
            </w:r>
          </w:p>
        </w:tc>
      </w:tr>
      <w:tr w:rsidR="009A3674" w:rsidRPr="007952AF" w:rsidTr="008309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2 368,6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2 291,7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2 251,4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2 381,8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8309BB" w:rsidRDefault="009A3674" w:rsidP="00B32E53">
            <w:pPr>
              <w:jc w:val="right"/>
              <w:rPr>
                <w:b/>
                <w:sz w:val="18"/>
                <w:szCs w:val="18"/>
              </w:rPr>
            </w:pPr>
            <w:r w:rsidRPr="008309BB">
              <w:rPr>
                <w:b/>
                <w:sz w:val="18"/>
                <w:szCs w:val="18"/>
              </w:rPr>
              <w:t>2</w:t>
            </w:r>
            <w:r w:rsidR="00B32E53" w:rsidRPr="008309BB">
              <w:rPr>
                <w:b/>
                <w:sz w:val="18"/>
                <w:szCs w:val="18"/>
              </w:rPr>
              <w:t> 319,5</w:t>
            </w:r>
          </w:p>
        </w:tc>
      </w:tr>
      <w:tr w:rsidR="009A3674" w:rsidRPr="007952AF" w:rsidTr="008309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810,2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853,7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848,8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898,5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8309BB" w:rsidRDefault="00B32E53" w:rsidP="00B92280">
            <w:pPr>
              <w:jc w:val="right"/>
              <w:rPr>
                <w:b/>
                <w:sz w:val="18"/>
                <w:szCs w:val="18"/>
              </w:rPr>
            </w:pPr>
            <w:r w:rsidRPr="008309BB">
              <w:rPr>
                <w:b/>
                <w:sz w:val="18"/>
                <w:szCs w:val="18"/>
              </w:rPr>
              <w:t>879,5</w:t>
            </w:r>
          </w:p>
        </w:tc>
      </w:tr>
      <w:tr w:rsidR="009A3674" w:rsidRPr="007952AF" w:rsidTr="008309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3 249,9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3 243,1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3 160,1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3 349,0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8309BB" w:rsidRDefault="009A3674" w:rsidP="00B32E53">
            <w:pPr>
              <w:jc w:val="right"/>
              <w:rPr>
                <w:b/>
                <w:sz w:val="18"/>
                <w:szCs w:val="18"/>
              </w:rPr>
            </w:pPr>
            <w:r w:rsidRPr="008309BB">
              <w:rPr>
                <w:b/>
                <w:sz w:val="18"/>
                <w:szCs w:val="18"/>
              </w:rPr>
              <w:t>3</w:t>
            </w:r>
            <w:r w:rsidR="00B32E53" w:rsidRPr="008309BB">
              <w:rPr>
                <w:b/>
                <w:sz w:val="18"/>
                <w:szCs w:val="18"/>
              </w:rPr>
              <w:t> 260,6</w:t>
            </w:r>
          </w:p>
        </w:tc>
      </w:tr>
      <w:tr w:rsidR="009A3674" w:rsidRPr="007952AF" w:rsidTr="008309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2 214,6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2 233,2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2 197,0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2 201,0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8309BB" w:rsidRDefault="009A3674" w:rsidP="00B32E53">
            <w:pPr>
              <w:jc w:val="right"/>
              <w:rPr>
                <w:b/>
                <w:sz w:val="18"/>
                <w:szCs w:val="18"/>
              </w:rPr>
            </w:pPr>
            <w:r w:rsidRPr="008309BB">
              <w:rPr>
                <w:b/>
                <w:sz w:val="18"/>
                <w:szCs w:val="18"/>
              </w:rPr>
              <w:t>2</w:t>
            </w:r>
            <w:r w:rsidR="00B32E53" w:rsidRPr="008309BB">
              <w:rPr>
                <w:b/>
                <w:sz w:val="18"/>
                <w:szCs w:val="18"/>
              </w:rPr>
              <w:t> 156,0</w:t>
            </w:r>
          </w:p>
        </w:tc>
      </w:tr>
      <w:tr w:rsidR="009A3674" w:rsidRPr="007952AF" w:rsidTr="008309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937,6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909,7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902,4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1 086,4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8309BB" w:rsidRDefault="009A3674" w:rsidP="00B32E53">
            <w:pPr>
              <w:jc w:val="right"/>
              <w:rPr>
                <w:b/>
                <w:sz w:val="18"/>
                <w:szCs w:val="18"/>
              </w:rPr>
            </w:pPr>
            <w:r w:rsidRPr="008309BB">
              <w:rPr>
                <w:b/>
                <w:sz w:val="18"/>
                <w:szCs w:val="18"/>
              </w:rPr>
              <w:t>1</w:t>
            </w:r>
            <w:r w:rsidR="00B32E53" w:rsidRPr="008309BB">
              <w:rPr>
                <w:b/>
                <w:sz w:val="18"/>
                <w:szCs w:val="18"/>
              </w:rPr>
              <w:t> 041,7</w:t>
            </w:r>
          </w:p>
        </w:tc>
      </w:tr>
      <w:tr w:rsidR="009A3674" w:rsidRPr="007952AF" w:rsidTr="008309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97,7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59,9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60,7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61,6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8309BB" w:rsidRDefault="00B32E53" w:rsidP="00545BBD">
            <w:pPr>
              <w:jc w:val="right"/>
              <w:rPr>
                <w:b/>
                <w:sz w:val="18"/>
                <w:szCs w:val="18"/>
              </w:rPr>
            </w:pPr>
            <w:r w:rsidRPr="008309BB">
              <w:rPr>
                <w:b/>
                <w:sz w:val="18"/>
                <w:szCs w:val="18"/>
              </w:rPr>
              <w:t>62,9</w:t>
            </w:r>
          </w:p>
        </w:tc>
      </w:tr>
      <w:tr w:rsidR="009A3674" w:rsidRPr="007952AF" w:rsidTr="008309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40,3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8309BB" w:rsidRDefault="009A3674" w:rsidP="00545BBD">
            <w:pPr>
              <w:jc w:val="right"/>
              <w:rPr>
                <w:sz w:val="18"/>
                <w:szCs w:val="18"/>
              </w:rPr>
            </w:pPr>
          </w:p>
        </w:tc>
      </w:tr>
      <w:tr w:rsidR="009A3674" w:rsidRPr="007952AF" w:rsidTr="008309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dovozu na spotřebě            v %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36,6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38,2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40,8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8309BB" w:rsidRDefault="00B92280" w:rsidP="00B32E53">
            <w:pPr>
              <w:jc w:val="right"/>
              <w:rPr>
                <w:sz w:val="18"/>
                <w:szCs w:val="18"/>
              </w:rPr>
            </w:pPr>
            <w:r w:rsidRPr="008309BB">
              <w:rPr>
                <w:sz w:val="18"/>
                <w:szCs w:val="18"/>
              </w:rPr>
              <w:t>40,</w:t>
            </w:r>
            <w:r w:rsidR="00B32E53" w:rsidRPr="008309BB">
              <w:rPr>
                <w:sz w:val="18"/>
                <w:szCs w:val="18"/>
              </w:rPr>
              <w:t>8</w:t>
            </w:r>
          </w:p>
        </w:tc>
      </w:tr>
      <w:tr w:rsidR="009A3674" w:rsidRPr="007952AF" w:rsidTr="008309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vývozu na nákupu              v %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39,6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39,7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40,1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45,6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A3674" w:rsidRPr="008309BB" w:rsidRDefault="00B92280" w:rsidP="00B32E53">
            <w:pPr>
              <w:jc w:val="right"/>
              <w:rPr>
                <w:sz w:val="18"/>
                <w:szCs w:val="18"/>
              </w:rPr>
            </w:pPr>
            <w:r w:rsidRPr="008309BB">
              <w:rPr>
                <w:sz w:val="18"/>
                <w:szCs w:val="18"/>
              </w:rPr>
              <w:t>44,</w:t>
            </w:r>
            <w:r w:rsidR="00B32E53" w:rsidRPr="008309BB">
              <w:rPr>
                <w:sz w:val="18"/>
                <w:szCs w:val="18"/>
              </w:rPr>
              <w:t>9</w:t>
            </w:r>
          </w:p>
        </w:tc>
      </w:tr>
    </w:tbl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Pramen: ČSÚ, celní statistika, rezortní statistika MZe </w:t>
      </w:r>
      <w:r w:rsidR="000D5752" w:rsidRPr="009E7303">
        <w:rPr>
          <w:i/>
          <w:sz w:val="16"/>
          <w:szCs w:val="16"/>
        </w:rPr>
        <w:t>(6-12),  SZIF (tržní produkce),</w:t>
      </w:r>
      <w:r w:rsidRPr="009E7303">
        <w:rPr>
          <w:i/>
          <w:sz w:val="16"/>
          <w:szCs w:val="16"/>
        </w:rPr>
        <w:t xml:space="preserve"> propočty MZe ČR</w:t>
      </w:r>
    </w:p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předběžný údaj, </w:t>
      </w:r>
    </w:p>
    <w:p w:rsidR="00CD7824" w:rsidRDefault="00CD7824" w:rsidP="00A00766">
      <w:pPr>
        <w:ind w:left="705"/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údaje o dovozu a vývozu jsou předběžné, rovněž navazující výpočty nabídky a spotřeby. Ve vývozu jsou zahrnuty výrobky a </w:t>
      </w:r>
      <w:r w:rsidR="00A00766" w:rsidRPr="009E7303">
        <w:rPr>
          <w:i/>
          <w:sz w:val="16"/>
          <w:szCs w:val="16"/>
        </w:rPr>
        <w:t xml:space="preserve">syrové mléko </w:t>
      </w:r>
      <w:r w:rsidR="00007195" w:rsidRPr="009E7303">
        <w:rPr>
          <w:i/>
          <w:sz w:val="16"/>
          <w:szCs w:val="16"/>
        </w:rPr>
        <w:t>vyvážené mlékárnami</w:t>
      </w:r>
      <w:r w:rsidRPr="009E7303">
        <w:rPr>
          <w:i/>
          <w:sz w:val="16"/>
          <w:szCs w:val="16"/>
        </w:rPr>
        <w:t xml:space="preserve"> z nákupu mléka,</w:t>
      </w:r>
    </w:p>
    <w:p w:rsidR="00B23BEF" w:rsidRDefault="00B23BEF" w:rsidP="005A044F">
      <w:pPr>
        <w:rPr>
          <w:b/>
          <w:sz w:val="22"/>
          <w:szCs w:val="22"/>
        </w:rPr>
      </w:pPr>
    </w:p>
    <w:p w:rsidR="005A044F" w:rsidRPr="005A044F" w:rsidRDefault="005A044F" w:rsidP="005A044F">
      <w:pPr>
        <w:rPr>
          <w:b/>
          <w:sz w:val="22"/>
          <w:szCs w:val="22"/>
        </w:rPr>
      </w:pPr>
      <w:r w:rsidRPr="005A044F">
        <w:rPr>
          <w:b/>
          <w:sz w:val="22"/>
          <w:szCs w:val="22"/>
        </w:rPr>
        <w:t>Spotřeba mléka a mléčných výrobků</w:t>
      </w:r>
      <w:r>
        <w:rPr>
          <w:b/>
          <w:sz w:val="22"/>
          <w:szCs w:val="22"/>
        </w:rPr>
        <w:t xml:space="preserve"> (kg/rok)</w:t>
      </w:r>
    </w:p>
    <w:tbl>
      <w:tblPr>
        <w:tblW w:w="103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4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5B7C08" w:rsidRPr="00A814B3" w:rsidTr="005B7C08">
        <w:trPr>
          <w:trHeight w:val="257"/>
        </w:trPr>
        <w:tc>
          <w:tcPr>
            <w:tcW w:w="3184" w:type="dxa"/>
            <w:tcBorders>
              <w:top w:val="double" w:sz="4" w:space="0" w:color="auto"/>
              <w:right w:val="double" w:sz="4" w:space="0" w:color="auto"/>
            </w:tcBorders>
          </w:tcPr>
          <w:p w:rsidR="005B7C08" w:rsidRPr="00A814B3" w:rsidRDefault="005B7C08" w:rsidP="00CF7A31">
            <w:pPr>
              <w:rPr>
                <w:b/>
                <w:sz w:val="20"/>
              </w:rPr>
            </w:pPr>
            <w:r w:rsidRPr="00A814B3">
              <w:rPr>
                <w:b/>
                <w:sz w:val="20"/>
              </w:rPr>
              <w:t>Druh/</w:t>
            </w:r>
            <w:r w:rsidR="005A044F" w:rsidRPr="00A814B3">
              <w:rPr>
                <w:b/>
                <w:sz w:val="20"/>
              </w:rPr>
              <w:t>kg/</w:t>
            </w:r>
            <w:r w:rsidRPr="00A814B3">
              <w:rPr>
                <w:b/>
                <w:sz w:val="20"/>
              </w:rPr>
              <w:t>rok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A814B3" w:rsidRDefault="005B7C08" w:rsidP="005B7C08">
            <w:pPr>
              <w:jc w:val="right"/>
              <w:outlineLvl w:val="0"/>
              <w:rPr>
                <w:b/>
                <w:sz w:val="20"/>
              </w:rPr>
            </w:pPr>
            <w:r w:rsidRPr="00A814B3">
              <w:rPr>
                <w:b/>
                <w:sz w:val="20"/>
              </w:rPr>
              <w:t>2004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A814B3" w:rsidRDefault="005B7C08" w:rsidP="005B7C08">
            <w:pPr>
              <w:jc w:val="right"/>
              <w:outlineLvl w:val="0"/>
              <w:rPr>
                <w:b/>
                <w:sz w:val="20"/>
              </w:rPr>
            </w:pPr>
            <w:r w:rsidRPr="00A814B3">
              <w:rPr>
                <w:b/>
                <w:sz w:val="20"/>
              </w:rPr>
              <w:t>2006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A814B3" w:rsidRDefault="005B7C08" w:rsidP="005B7C08">
            <w:pPr>
              <w:jc w:val="right"/>
              <w:outlineLvl w:val="0"/>
              <w:rPr>
                <w:b/>
                <w:sz w:val="20"/>
              </w:rPr>
            </w:pPr>
            <w:r w:rsidRPr="00A814B3">
              <w:rPr>
                <w:b/>
                <w:sz w:val="20"/>
              </w:rPr>
              <w:t>2007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A814B3" w:rsidRDefault="005B7C08" w:rsidP="005B7C08">
            <w:pPr>
              <w:jc w:val="right"/>
              <w:outlineLvl w:val="0"/>
              <w:rPr>
                <w:b/>
                <w:sz w:val="20"/>
              </w:rPr>
            </w:pPr>
            <w:r w:rsidRPr="00A814B3">
              <w:rPr>
                <w:b/>
                <w:sz w:val="20"/>
              </w:rPr>
              <w:t>2008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A814B3" w:rsidRDefault="005B7C08" w:rsidP="005B7C08">
            <w:pPr>
              <w:jc w:val="right"/>
              <w:outlineLvl w:val="0"/>
              <w:rPr>
                <w:b/>
                <w:sz w:val="20"/>
              </w:rPr>
            </w:pPr>
            <w:r w:rsidRPr="00A814B3">
              <w:rPr>
                <w:b/>
                <w:sz w:val="20"/>
              </w:rPr>
              <w:t>2009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A814B3" w:rsidRDefault="005B7C08" w:rsidP="005B7C08">
            <w:pPr>
              <w:jc w:val="right"/>
              <w:outlineLvl w:val="0"/>
              <w:rPr>
                <w:b/>
                <w:sz w:val="20"/>
              </w:rPr>
            </w:pPr>
            <w:r w:rsidRPr="00A814B3">
              <w:rPr>
                <w:b/>
                <w:sz w:val="20"/>
              </w:rPr>
              <w:t>2010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A814B3" w:rsidRDefault="005B7C08" w:rsidP="005B7C08">
            <w:pPr>
              <w:jc w:val="right"/>
              <w:outlineLvl w:val="0"/>
              <w:rPr>
                <w:b/>
                <w:sz w:val="20"/>
                <w:vertAlign w:val="superscript"/>
              </w:rPr>
            </w:pPr>
            <w:r w:rsidRPr="00A814B3">
              <w:rPr>
                <w:b/>
                <w:sz w:val="20"/>
              </w:rPr>
              <w:t>2011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A814B3" w:rsidRDefault="005B7C08" w:rsidP="005B7C08">
            <w:pPr>
              <w:jc w:val="right"/>
              <w:outlineLvl w:val="0"/>
              <w:rPr>
                <w:b/>
                <w:sz w:val="20"/>
                <w:vertAlign w:val="superscript"/>
              </w:rPr>
            </w:pPr>
            <w:r w:rsidRPr="00A814B3">
              <w:rPr>
                <w:b/>
                <w:sz w:val="20"/>
              </w:rPr>
              <w:t>2012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A814B3" w:rsidRDefault="005B7C08" w:rsidP="005B7C08">
            <w:pPr>
              <w:jc w:val="right"/>
              <w:outlineLvl w:val="0"/>
              <w:rPr>
                <w:b/>
                <w:sz w:val="20"/>
                <w:vertAlign w:val="superscript"/>
              </w:rPr>
            </w:pPr>
            <w:r w:rsidRPr="00A814B3">
              <w:rPr>
                <w:b/>
                <w:sz w:val="20"/>
              </w:rPr>
              <w:t>2013</w:t>
            </w:r>
            <w:r w:rsidRPr="00A814B3">
              <w:rPr>
                <w:b/>
                <w:sz w:val="20"/>
                <w:vertAlign w:val="superscript"/>
              </w:rPr>
              <w:t>*)</w:t>
            </w:r>
          </w:p>
        </w:tc>
      </w:tr>
      <w:tr w:rsidR="005B7C08" w:rsidRPr="009A018E" w:rsidTr="00A814B3">
        <w:trPr>
          <w:trHeight w:val="240"/>
        </w:trPr>
        <w:tc>
          <w:tcPr>
            <w:tcW w:w="3184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Konzumní mléko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61,6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53,6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52,0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57,0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59,8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58,9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62,2</w:t>
            </w:r>
          </w:p>
        </w:tc>
      </w:tr>
      <w:tr w:rsidR="005B7C08" w:rsidRPr="009A018E" w:rsidTr="00A814B3">
        <w:trPr>
          <w:trHeight w:val="240"/>
        </w:trPr>
        <w:tc>
          <w:tcPr>
            <w:tcW w:w="3184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93673A">
            <w:pPr>
              <w:rPr>
                <w:sz w:val="20"/>
              </w:rPr>
            </w:pPr>
            <w:r w:rsidRPr="00B43AF0">
              <w:rPr>
                <w:sz w:val="20"/>
              </w:rPr>
              <w:t>Máslo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4,6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4,4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4,7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  <w:r>
              <w:rPr>
                <w:sz w:val="20"/>
              </w:rPr>
              <w:t>,0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5,2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5,1</w:t>
            </w:r>
          </w:p>
        </w:tc>
      </w:tr>
      <w:tr w:rsidR="005B7C08" w:rsidRPr="009A018E" w:rsidTr="00A814B3">
        <w:trPr>
          <w:trHeight w:val="278"/>
        </w:trPr>
        <w:tc>
          <w:tcPr>
            <w:tcW w:w="3184" w:type="dxa"/>
            <w:shd w:val="clear" w:color="auto" w:fill="EAF1DD" w:themeFill="accent3" w:themeFillTint="33"/>
          </w:tcPr>
          <w:p w:rsidR="005B7C08" w:rsidRPr="00B43AF0" w:rsidRDefault="005B7C08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Sýry</w:t>
            </w:r>
            <w:r>
              <w:rPr>
                <w:sz w:val="20"/>
              </w:rPr>
              <w:t xml:space="preserve"> celkem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13,7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12,9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13,3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13,2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13,4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12,7</w:t>
            </w:r>
          </w:p>
        </w:tc>
      </w:tr>
      <w:tr w:rsidR="005B7C08" w:rsidRPr="009A018E" w:rsidTr="00A814B3">
        <w:trPr>
          <w:trHeight w:val="278"/>
        </w:trPr>
        <w:tc>
          <w:tcPr>
            <w:tcW w:w="3184" w:type="dxa"/>
            <w:shd w:val="clear" w:color="auto" w:fill="EAF1DD" w:themeFill="accent3" w:themeFillTint="33"/>
          </w:tcPr>
          <w:p w:rsidR="005B7C08" w:rsidRPr="00B43AF0" w:rsidRDefault="005B7C08" w:rsidP="00ED4E43">
            <w:pPr>
              <w:rPr>
                <w:sz w:val="20"/>
              </w:rPr>
            </w:pPr>
            <w:r>
              <w:rPr>
                <w:sz w:val="20"/>
              </w:rPr>
              <w:t xml:space="preserve">- tavené 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2,2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</w:tr>
      <w:tr w:rsidR="005B7C08" w:rsidRPr="009A018E" w:rsidTr="00A814B3">
        <w:trPr>
          <w:trHeight w:val="278"/>
        </w:trPr>
        <w:tc>
          <w:tcPr>
            <w:tcW w:w="3184" w:type="dxa"/>
            <w:shd w:val="clear" w:color="auto" w:fill="EAF1DD" w:themeFill="accent3" w:themeFillTint="33"/>
          </w:tcPr>
          <w:p w:rsidR="005B7C08" w:rsidRPr="00B43AF0" w:rsidRDefault="005B7C08" w:rsidP="00ED4E43">
            <w:pPr>
              <w:rPr>
                <w:sz w:val="20"/>
              </w:rPr>
            </w:pPr>
            <w:r>
              <w:rPr>
                <w:sz w:val="20"/>
              </w:rPr>
              <w:t>- přírodní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9,4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10,8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11,2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</w:tr>
      <w:tr w:rsidR="005B7C08" w:rsidRPr="009A018E" w:rsidTr="00A814B3">
        <w:trPr>
          <w:trHeight w:val="257"/>
        </w:trPr>
        <w:tc>
          <w:tcPr>
            <w:tcW w:w="3184" w:type="dxa"/>
            <w:shd w:val="clear" w:color="auto" w:fill="EAF1DD" w:themeFill="accent3" w:themeFillTint="33"/>
          </w:tcPr>
          <w:p w:rsidR="005B7C08" w:rsidRPr="00B43AF0" w:rsidRDefault="005B7C08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Tvarohy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3,3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3,6</w:t>
            </w:r>
          </w:p>
        </w:tc>
      </w:tr>
      <w:tr w:rsidR="005B7C08" w:rsidRPr="009A018E" w:rsidTr="00A814B3">
        <w:trPr>
          <w:trHeight w:val="257"/>
        </w:trPr>
        <w:tc>
          <w:tcPr>
            <w:tcW w:w="3184" w:type="dxa"/>
            <w:shd w:val="clear" w:color="auto" w:fill="EAF1DD" w:themeFill="accent3" w:themeFillTint="33"/>
          </w:tcPr>
          <w:p w:rsidR="005B7C08" w:rsidRPr="00B43AF0" w:rsidRDefault="005B7C08" w:rsidP="00CF7A31">
            <w:pPr>
              <w:rPr>
                <w:sz w:val="20"/>
              </w:rPr>
            </w:pPr>
            <w:r>
              <w:rPr>
                <w:sz w:val="20"/>
              </w:rPr>
              <w:t>Ostatní mléčné výrobky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31,7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32,3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32,7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33,2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31,5</w:t>
            </w:r>
          </w:p>
        </w:tc>
      </w:tr>
      <w:tr w:rsidR="005B7C08" w:rsidRPr="009A018E" w:rsidTr="00A814B3">
        <w:trPr>
          <w:trHeight w:val="278"/>
        </w:trPr>
        <w:tc>
          <w:tcPr>
            <w:tcW w:w="3184" w:type="dxa"/>
            <w:shd w:val="clear" w:color="auto" w:fill="EAF1DD" w:themeFill="accent3" w:themeFillTint="33"/>
          </w:tcPr>
          <w:p w:rsidR="005B7C08" w:rsidRPr="00B43AF0" w:rsidRDefault="005B7C08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Mléčné konzervy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1,8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2,0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1,4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</w:tr>
    </w:tbl>
    <w:p w:rsidR="000B309D" w:rsidRDefault="00E14253" w:rsidP="000B309D">
      <w:pPr>
        <w:rPr>
          <w:i/>
          <w:sz w:val="16"/>
          <w:szCs w:val="16"/>
        </w:rPr>
      </w:pPr>
      <w:r>
        <w:rPr>
          <w:i/>
          <w:sz w:val="16"/>
          <w:szCs w:val="16"/>
        </w:rPr>
        <w:t>Pramen:  ČSÚ – Spotřeba potravin</w:t>
      </w:r>
      <w:r w:rsidR="000B309D" w:rsidRPr="009E7303">
        <w:rPr>
          <w:i/>
          <w:sz w:val="16"/>
          <w:szCs w:val="16"/>
        </w:rPr>
        <w:t>,</w:t>
      </w:r>
      <w:r w:rsidR="005B7C08">
        <w:rPr>
          <w:i/>
          <w:sz w:val="16"/>
          <w:szCs w:val="16"/>
        </w:rPr>
        <w:t xml:space="preserve"> Pozn.: *) odhad</w:t>
      </w:r>
    </w:p>
    <w:p w:rsidR="00B23BEF" w:rsidRDefault="00B23BEF" w:rsidP="000B309D">
      <w:pPr>
        <w:rPr>
          <w:i/>
          <w:sz w:val="16"/>
          <w:szCs w:val="16"/>
        </w:rPr>
      </w:pPr>
    </w:p>
    <w:p w:rsidR="00B5114E" w:rsidRPr="009E7303" w:rsidRDefault="00ED18DA" w:rsidP="000B309D">
      <w:pPr>
        <w:rPr>
          <w:i/>
          <w:sz w:val="16"/>
          <w:szCs w:val="16"/>
        </w:rPr>
      </w:pPr>
      <w:r w:rsidRPr="00ED18DA">
        <w:rPr>
          <w:i/>
          <w:noProof/>
          <w:sz w:val="16"/>
          <w:szCs w:val="16"/>
        </w:rPr>
        <w:drawing>
          <wp:inline distT="0" distB="0" distL="0" distR="0">
            <wp:extent cx="6653722" cy="3614468"/>
            <wp:effectExtent l="19050" t="0" r="13778" b="5032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B4667" w:rsidRDefault="002B4667" w:rsidP="002B4667">
      <w:pPr>
        <w:rPr>
          <w:b/>
          <w:noProof/>
        </w:rPr>
      </w:pPr>
    </w:p>
    <w:p w:rsidR="00165C4A" w:rsidRPr="00165C4A" w:rsidRDefault="00165C4A" w:rsidP="00165C4A">
      <w:pPr>
        <w:rPr>
          <w:rFonts w:asciiTheme="minorHAnsi" w:hAnsiTheme="minorHAnsi"/>
          <w:b/>
          <w:noProof/>
        </w:rPr>
      </w:pPr>
      <w:r w:rsidRPr="00165C4A">
        <w:rPr>
          <w:rFonts w:asciiTheme="minorHAnsi" w:hAnsiTheme="minorHAnsi"/>
          <w:b/>
          <w:noProof/>
        </w:rPr>
        <w:lastRenderedPageBreak/>
        <w:t>Výsledky chovu skotu - 1. pololetí 2014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93"/>
        <w:gridCol w:w="1015"/>
        <w:gridCol w:w="1011"/>
        <w:gridCol w:w="721"/>
        <w:gridCol w:w="868"/>
        <w:gridCol w:w="864"/>
        <w:gridCol w:w="868"/>
        <w:gridCol w:w="1015"/>
        <w:gridCol w:w="1289"/>
        <w:gridCol w:w="1054"/>
      </w:tblGrid>
      <w:tr w:rsidR="00165C4A" w:rsidRPr="00165C4A" w:rsidTr="00237412">
        <w:tc>
          <w:tcPr>
            <w:tcW w:w="969" w:type="pct"/>
            <w:vMerge w:val="restart"/>
          </w:tcPr>
          <w:p w:rsidR="00165C4A" w:rsidRPr="00165C4A" w:rsidRDefault="00165C4A" w:rsidP="001B7EFC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2" w:type="pct"/>
            <w:gridSpan w:val="3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65C4A">
              <w:rPr>
                <w:rFonts w:asciiTheme="minorHAnsi" w:hAnsiTheme="minorHAnsi"/>
                <w:b/>
                <w:sz w:val="16"/>
                <w:szCs w:val="16"/>
              </w:rPr>
              <w:t>Stavy dojných krav k 30.6.</w:t>
            </w:r>
            <w:r w:rsidR="00237412">
              <w:rPr>
                <w:rFonts w:asciiTheme="minorHAnsi" w:hAnsiTheme="minorHAnsi"/>
                <w:b/>
                <w:sz w:val="16"/>
                <w:szCs w:val="16"/>
              </w:rPr>
              <w:t xml:space="preserve"> (ks)</w:t>
            </w:r>
          </w:p>
        </w:tc>
        <w:tc>
          <w:tcPr>
            <w:tcW w:w="1204" w:type="pct"/>
            <w:gridSpan w:val="3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65C4A">
              <w:rPr>
                <w:rFonts w:asciiTheme="minorHAnsi" w:hAnsiTheme="minorHAnsi"/>
                <w:b/>
                <w:sz w:val="16"/>
                <w:szCs w:val="16"/>
              </w:rPr>
              <w:t>Průměrná denní dojivost</w:t>
            </w:r>
            <w:r w:rsidR="00237412">
              <w:rPr>
                <w:rFonts w:asciiTheme="minorHAnsi" w:hAnsiTheme="minorHAnsi"/>
                <w:b/>
                <w:sz w:val="16"/>
                <w:szCs w:val="16"/>
              </w:rPr>
              <w:t xml:space="preserve"> (l/ks/den)</w:t>
            </w:r>
          </w:p>
        </w:tc>
        <w:tc>
          <w:tcPr>
            <w:tcW w:w="1554" w:type="pct"/>
            <w:gridSpan w:val="3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65C4A">
              <w:rPr>
                <w:rFonts w:asciiTheme="minorHAnsi" w:hAnsiTheme="minorHAnsi"/>
                <w:b/>
                <w:sz w:val="16"/>
                <w:szCs w:val="16"/>
              </w:rPr>
              <w:t>Výroba mléka podle krajů</w:t>
            </w:r>
            <w:r w:rsidR="00237412">
              <w:rPr>
                <w:rFonts w:asciiTheme="minorHAnsi" w:hAnsiTheme="minorHAnsi"/>
                <w:b/>
                <w:sz w:val="16"/>
                <w:szCs w:val="16"/>
              </w:rPr>
              <w:t xml:space="preserve"> (tis.l)</w:t>
            </w:r>
          </w:p>
        </w:tc>
      </w:tr>
      <w:tr w:rsidR="00165C4A" w:rsidRPr="00165C4A" w:rsidTr="00237412">
        <w:tc>
          <w:tcPr>
            <w:tcW w:w="969" w:type="pct"/>
            <w:vMerge/>
          </w:tcPr>
          <w:p w:rsidR="00165C4A" w:rsidRPr="00165C4A" w:rsidRDefault="00165C4A" w:rsidP="001B7EFC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65C4A">
              <w:rPr>
                <w:rFonts w:asciiTheme="minorHAnsi" w:hAnsiTheme="minorHAnsi"/>
                <w:b/>
                <w:sz w:val="16"/>
                <w:szCs w:val="16"/>
              </w:rPr>
              <w:t>1. pol.</w:t>
            </w:r>
          </w:p>
          <w:p w:rsidR="00165C4A" w:rsidRPr="00165C4A" w:rsidRDefault="00165C4A" w:rsidP="001B7EF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b/>
                <w:sz w:val="16"/>
                <w:szCs w:val="16"/>
              </w:rPr>
              <w:t>2013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65C4A">
              <w:rPr>
                <w:rFonts w:asciiTheme="minorHAnsi" w:hAnsiTheme="minorHAnsi"/>
                <w:b/>
                <w:sz w:val="16"/>
                <w:szCs w:val="16"/>
              </w:rPr>
              <w:t>1. pol.</w:t>
            </w:r>
          </w:p>
          <w:p w:rsidR="00165C4A" w:rsidRPr="00165C4A" w:rsidRDefault="00165C4A" w:rsidP="001B7EF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b/>
                <w:sz w:val="16"/>
                <w:szCs w:val="16"/>
              </w:rPr>
              <w:t>2014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65C4A">
              <w:rPr>
                <w:rFonts w:asciiTheme="minorHAnsi" w:hAnsiTheme="minorHAnsi"/>
                <w:b/>
                <w:sz w:val="16"/>
                <w:szCs w:val="16"/>
              </w:rPr>
              <w:t>Index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65C4A">
              <w:rPr>
                <w:rFonts w:asciiTheme="minorHAnsi" w:hAnsiTheme="minorHAnsi"/>
                <w:b/>
                <w:sz w:val="16"/>
                <w:szCs w:val="16"/>
              </w:rPr>
              <w:t>1. pol. 2013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b/>
                <w:sz w:val="16"/>
                <w:szCs w:val="16"/>
              </w:rPr>
              <w:t>1. pol. 2014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b/>
                <w:sz w:val="16"/>
                <w:szCs w:val="16"/>
              </w:rPr>
              <w:t>Index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65C4A">
              <w:rPr>
                <w:rFonts w:asciiTheme="minorHAnsi" w:hAnsiTheme="minorHAnsi"/>
                <w:b/>
                <w:sz w:val="16"/>
                <w:szCs w:val="16"/>
              </w:rPr>
              <w:t xml:space="preserve">1. pol. </w:t>
            </w:r>
          </w:p>
          <w:p w:rsidR="00165C4A" w:rsidRPr="00165C4A" w:rsidRDefault="00165C4A" w:rsidP="001B7EF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65C4A">
              <w:rPr>
                <w:rFonts w:asciiTheme="minorHAnsi" w:hAnsiTheme="minorHAnsi"/>
                <w:b/>
                <w:sz w:val="16"/>
                <w:szCs w:val="16"/>
              </w:rPr>
              <w:t>2013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65C4A">
              <w:rPr>
                <w:rFonts w:asciiTheme="minorHAnsi" w:hAnsiTheme="minorHAnsi"/>
                <w:b/>
                <w:sz w:val="16"/>
                <w:szCs w:val="16"/>
              </w:rPr>
              <w:t xml:space="preserve">1. pol. </w:t>
            </w:r>
          </w:p>
          <w:p w:rsidR="00165C4A" w:rsidRPr="00165C4A" w:rsidRDefault="00165C4A" w:rsidP="001B7EF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b/>
                <w:sz w:val="16"/>
                <w:szCs w:val="16"/>
              </w:rPr>
              <w:t>2014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b/>
                <w:sz w:val="16"/>
                <w:szCs w:val="16"/>
              </w:rPr>
              <w:t>Index</w:t>
            </w:r>
          </w:p>
        </w:tc>
      </w:tr>
      <w:tr w:rsidR="00165C4A" w:rsidRPr="00165C4A" w:rsidTr="00237412">
        <w:tc>
          <w:tcPr>
            <w:tcW w:w="969" w:type="pct"/>
          </w:tcPr>
          <w:p w:rsidR="00165C4A" w:rsidRPr="00165C4A" w:rsidRDefault="00165C4A" w:rsidP="001B7EFC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 xml:space="preserve">Praha + Středočeský 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45 878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44 879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21,59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22,73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179 135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183 287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102,3</w:t>
            </w:r>
          </w:p>
        </w:tc>
      </w:tr>
      <w:tr w:rsidR="00165C4A" w:rsidRPr="00165C4A" w:rsidTr="00237412">
        <w:tc>
          <w:tcPr>
            <w:tcW w:w="969" w:type="pct"/>
          </w:tcPr>
          <w:p w:rsidR="00165C4A" w:rsidRPr="00165C4A" w:rsidRDefault="00165C4A" w:rsidP="001B7EFC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Jihočeský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48 398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48 066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18,51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19,32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162 544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165 954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102,1</w:t>
            </w:r>
          </w:p>
        </w:tc>
      </w:tr>
      <w:tr w:rsidR="00165C4A" w:rsidRPr="00165C4A" w:rsidTr="00237412">
        <w:tc>
          <w:tcPr>
            <w:tcW w:w="969" w:type="pct"/>
          </w:tcPr>
          <w:p w:rsidR="00165C4A" w:rsidRPr="00165C4A" w:rsidRDefault="00165C4A" w:rsidP="001B7EFC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Plzeňský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39 695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40 355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19,96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20,92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143 622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151 037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105,2</w:t>
            </w:r>
          </w:p>
        </w:tc>
      </w:tr>
      <w:tr w:rsidR="00165C4A" w:rsidRPr="00165C4A" w:rsidTr="00237412">
        <w:tc>
          <w:tcPr>
            <w:tcW w:w="969" w:type="pct"/>
          </w:tcPr>
          <w:p w:rsidR="00165C4A" w:rsidRPr="00165C4A" w:rsidRDefault="00165C4A" w:rsidP="001B7EFC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Karlovarský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6 853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7 279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16,82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17,86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20 891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23 328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111,7</w:t>
            </w:r>
          </w:p>
        </w:tc>
      </w:tr>
      <w:tr w:rsidR="00165C4A" w:rsidRPr="00165C4A" w:rsidTr="00237412">
        <w:tc>
          <w:tcPr>
            <w:tcW w:w="969" w:type="pct"/>
          </w:tcPr>
          <w:p w:rsidR="00165C4A" w:rsidRPr="00165C4A" w:rsidRDefault="00165C4A" w:rsidP="001B7EFC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Ústecký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7 740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7 820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19,70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20,57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27 525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28 843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104,8</w:t>
            </w:r>
          </w:p>
        </w:tc>
      </w:tr>
      <w:tr w:rsidR="00165C4A" w:rsidRPr="00165C4A" w:rsidTr="00237412">
        <w:tc>
          <w:tcPr>
            <w:tcW w:w="969" w:type="pct"/>
          </w:tcPr>
          <w:p w:rsidR="00165C4A" w:rsidRPr="00165C4A" w:rsidRDefault="00165C4A" w:rsidP="001B7EFC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Liberecký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10 647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10 517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18,37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19,19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35 571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36 190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101,7</w:t>
            </w:r>
          </w:p>
        </w:tc>
      </w:tr>
      <w:tr w:rsidR="00165C4A" w:rsidRPr="00165C4A" w:rsidTr="00237412">
        <w:tc>
          <w:tcPr>
            <w:tcW w:w="969" w:type="pct"/>
          </w:tcPr>
          <w:p w:rsidR="00165C4A" w:rsidRPr="00165C4A" w:rsidRDefault="00165C4A" w:rsidP="001B7EFC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Královéhradecký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29 385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28 922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20,75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21,84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110 657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113 683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102,7</w:t>
            </w:r>
          </w:p>
        </w:tc>
      </w:tr>
      <w:tr w:rsidR="00165C4A" w:rsidRPr="00165C4A" w:rsidTr="00237412">
        <w:tc>
          <w:tcPr>
            <w:tcW w:w="969" w:type="pct"/>
          </w:tcPr>
          <w:p w:rsidR="00165C4A" w:rsidRPr="00165C4A" w:rsidRDefault="00165C4A" w:rsidP="001B7EFC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Pardubický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35 070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35 651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20,47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21,18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130 834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135 442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103,5</w:t>
            </w:r>
          </w:p>
        </w:tc>
      </w:tr>
      <w:tr w:rsidR="00165C4A" w:rsidRPr="00165C4A" w:rsidTr="00237412">
        <w:tc>
          <w:tcPr>
            <w:tcW w:w="969" w:type="pct"/>
          </w:tcPr>
          <w:p w:rsidR="00165C4A" w:rsidRPr="00165C4A" w:rsidRDefault="00165C4A" w:rsidP="001B7EFC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Vysočina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64 683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64 437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20,81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21,50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243 123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248 977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102,4</w:t>
            </w:r>
          </w:p>
        </w:tc>
      </w:tr>
      <w:tr w:rsidR="00165C4A" w:rsidRPr="00165C4A" w:rsidTr="00237412">
        <w:tc>
          <w:tcPr>
            <w:tcW w:w="969" w:type="pct"/>
          </w:tcPr>
          <w:p w:rsidR="00165C4A" w:rsidRPr="00165C4A" w:rsidRDefault="00165C4A" w:rsidP="001B7EFC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Jihomoravský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20 453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20 212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21,31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22,05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77 943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79 995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102,6</w:t>
            </w:r>
          </w:p>
        </w:tc>
      </w:tr>
      <w:tr w:rsidR="00165C4A" w:rsidRPr="00165C4A" w:rsidTr="00237412">
        <w:tc>
          <w:tcPr>
            <w:tcW w:w="969" w:type="pct"/>
          </w:tcPr>
          <w:p w:rsidR="00165C4A" w:rsidRPr="00165C4A" w:rsidRDefault="00165C4A" w:rsidP="001B7EFC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Olomoucký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25 256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25 179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21,37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22,06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97 760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99 819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102,1</w:t>
            </w:r>
          </w:p>
        </w:tc>
      </w:tr>
      <w:tr w:rsidR="00165C4A" w:rsidRPr="00165C4A" w:rsidTr="00237412">
        <w:tc>
          <w:tcPr>
            <w:tcW w:w="969" w:type="pct"/>
          </w:tcPr>
          <w:p w:rsidR="00165C4A" w:rsidRPr="00165C4A" w:rsidRDefault="00165C4A" w:rsidP="001B7EFC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Zlínský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18 016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18 593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22,28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23,16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72 956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77 196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105,8</w:t>
            </w:r>
          </w:p>
        </w:tc>
      </w:tr>
      <w:tr w:rsidR="00165C4A" w:rsidRPr="00165C4A" w:rsidTr="00237412">
        <w:tc>
          <w:tcPr>
            <w:tcW w:w="969" w:type="pct"/>
          </w:tcPr>
          <w:p w:rsidR="00165C4A" w:rsidRPr="00165C4A" w:rsidRDefault="00165C4A" w:rsidP="001B7EFC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Moravskoslezský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20 777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20 951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22,46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22,42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83 329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sz w:val="16"/>
                <w:szCs w:val="16"/>
              </w:rPr>
              <w:t>84 163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65C4A">
              <w:rPr>
                <w:rFonts w:asciiTheme="minorHAnsi" w:hAnsiTheme="minorHAnsi"/>
                <w:color w:val="000000"/>
                <w:sz w:val="16"/>
                <w:szCs w:val="16"/>
              </w:rPr>
              <w:t>101,0</w:t>
            </w:r>
          </w:p>
        </w:tc>
      </w:tr>
      <w:tr w:rsidR="00165C4A" w:rsidRPr="00165C4A" w:rsidTr="00237412">
        <w:tc>
          <w:tcPr>
            <w:tcW w:w="969" w:type="pct"/>
            <w:shd w:val="clear" w:color="auto" w:fill="B6DDE8" w:themeFill="accent5" w:themeFillTint="66"/>
          </w:tcPr>
          <w:p w:rsidR="00165C4A" w:rsidRPr="00165C4A" w:rsidRDefault="00165C4A" w:rsidP="001B7EFC">
            <w:pPr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 w:rsidRPr="00165C4A">
              <w:rPr>
                <w:rFonts w:asciiTheme="minorHAnsi" w:hAnsiTheme="minorHAnsi"/>
                <w:b/>
                <w:sz w:val="16"/>
                <w:szCs w:val="16"/>
              </w:rPr>
              <w:t>Česká republika</w:t>
            </w:r>
          </w:p>
        </w:tc>
        <w:tc>
          <w:tcPr>
            <w:tcW w:w="470" w:type="pct"/>
            <w:shd w:val="clear" w:color="auto" w:fill="B6DDE8" w:themeFill="accent5" w:themeFillTint="66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165C4A">
              <w:rPr>
                <w:rFonts w:asciiTheme="minorHAnsi" w:hAnsiTheme="minorHAnsi"/>
                <w:b/>
                <w:sz w:val="16"/>
                <w:szCs w:val="16"/>
              </w:rPr>
              <w:t>372 973</w:t>
            </w:r>
          </w:p>
        </w:tc>
        <w:tc>
          <w:tcPr>
            <w:tcW w:w="468" w:type="pct"/>
            <w:shd w:val="clear" w:color="auto" w:fill="B6DDE8" w:themeFill="accent5" w:themeFillTint="66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165C4A">
              <w:rPr>
                <w:rFonts w:asciiTheme="minorHAnsi" w:hAnsiTheme="minorHAnsi"/>
                <w:b/>
                <w:sz w:val="16"/>
                <w:szCs w:val="16"/>
              </w:rPr>
              <w:t>372 861</w:t>
            </w:r>
          </w:p>
        </w:tc>
        <w:tc>
          <w:tcPr>
            <w:tcW w:w="334" w:type="pct"/>
            <w:shd w:val="clear" w:color="auto" w:fill="B6DDE8" w:themeFill="accent5" w:themeFillTint="66"/>
          </w:tcPr>
          <w:p w:rsidR="00165C4A" w:rsidRPr="00B41768" w:rsidRDefault="00165C4A" w:rsidP="001B7EFC">
            <w:pPr>
              <w:jc w:val="right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B4176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100,0</w:t>
            </w:r>
          </w:p>
        </w:tc>
        <w:tc>
          <w:tcPr>
            <w:tcW w:w="402" w:type="pct"/>
            <w:shd w:val="clear" w:color="auto" w:fill="B6DDE8" w:themeFill="accent5" w:themeFillTint="66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165C4A">
              <w:rPr>
                <w:rFonts w:asciiTheme="minorHAnsi" w:hAnsiTheme="minorHAnsi"/>
                <w:b/>
                <w:sz w:val="16"/>
                <w:szCs w:val="16"/>
              </w:rPr>
              <w:t>20,54</w:t>
            </w:r>
          </w:p>
        </w:tc>
        <w:tc>
          <w:tcPr>
            <w:tcW w:w="400" w:type="pct"/>
            <w:shd w:val="clear" w:color="auto" w:fill="B6DDE8" w:themeFill="accent5" w:themeFillTint="66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165C4A">
              <w:rPr>
                <w:rFonts w:asciiTheme="minorHAnsi" w:hAnsiTheme="minorHAnsi"/>
                <w:b/>
                <w:sz w:val="16"/>
                <w:szCs w:val="16"/>
              </w:rPr>
              <w:t>21,35</w:t>
            </w:r>
          </w:p>
        </w:tc>
        <w:tc>
          <w:tcPr>
            <w:tcW w:w="402" w:type="pct"/>
            <w:shd w:val="clear" w:color="auto" w:fill="B6DDE8" w:themeFill="accent5" w:themeFillTint="66"/>
          </w:tcPr>
          <w:p w:rsidR="00165C4A" w:rsidRPr="00B41768" w:rsidRDefault="00165C4A" w:rsidP="001B7EFC">
            <w:pPr>
              <w:jc w:val="right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B4176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103,9</w:t>
            </w:r>
          </w:p>
        </w:tc>
        <w:tc>
          <w:tcPr>
            <w:tcW w:w="470" w:type="pct"/>
            <w:shd w:val="clear" w:color="auto" w:fill="B6DDE8" w:themeFill="accent5" w:themeFillTint="66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165C4A">
              <w:rPr>
                <w:rFonts w:asciiTheme="minorHAnsi" w:hAnsiTheme="minorHAnsi"/>
                <w:b/>
                <w:sz w:val="16"/>
                <w:szCs w:val="16"/>
              </w:rPr>
              <w:t>1 385 889</w:t>
            </w:r>
          </w:p>
        </w:tc>
        <w:tc>
          <w:tcPr>
            <w:tcW w:w="597" w:type="pct"/>
            <w:shd w:val="clear" w:color="auto" w:fill="B6DDE8" w:themeFill="accent5" w:themeFillTint="66"/>
          </w:tcPr>
          <w:p w:rsidR="00165C4A" w:rsidRPr="00165C4A" w:rsidRDefault="00165C4A" w:rsidP="001B7EFC">
            <w:pPr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165C4A">
              <w:rPr>
                <w:rFonts w:asciiTheme="minorHAnsi" w:hAnsiTheme="minorHAnsi"/>
                <w:b/>
                <w:sz w:val="16"/>
                <w:szCs w:val="16"/>
              </w:rPr>
              <w:t>1 427 915</w:t>
            </w:r>
          </w:p>
        </w:tc>
        <w:tc>
          <w:tcPr>
            <w:tcW w:w="488" w:type="pct"/>
            <w:shd w:val="clear" w:color="auto" w:fill="B6DDE8" w:themeFill="accent5" w:themeFillTint="66"/>
          </w:tcPr>
          <w:p w:rsidR="00165C4A" w:rsidRPr="00B41768" w:rsidRDefault="00165C4A" w:rsidP="001B7EFC">
            <w:pPr>
              <w:jc w:val="right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B4176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103,0</w:t>
            </w:r>
          </w:p>
        </w:tc>
      </w:tr>
    </w:tbl>
    <w:p w:rsidR="00165C4A" w:rsidRPr="00165C4A" w:rsidRDefault="00165C4A" w:rsidP="00165C4A">
      <w:pPr>
        <w:jc w:val="both"/>
        <w:rPr>
          <w:rFonts w:asciiTheme="minorHAnsi" w:hAnsiTheme="minorHAnsi"/>
          <w:i/>
          <w:sz w:val="16"/>
          <w:szCs w:val="16"/>
        </w:rPr>
      </w:pPr>
      <w:r w:rsidRPr="00165C4A">
        <w:rPr>
          <w:rFonts w:asciiTheme="minorHAnsi" w:hAnsiTheme="minorHAnsi"/>
          <w:i/>
          <w:sz w:val="16"/>
          <w:szCs w:val="16"/>
        </w:rPr>
        <w:t>Pramen: ČSÚ - Výsledky chovu skotu, údaje jsou zaokrouhleny</w:t>
      </w:r>
    </w:p>
    <w:p w:rsidR="002B4667" w:rsidRDefault="002B4667" w:rsidP="00EC0974">
      <w:pPr>
        <w:jc w:val="both"/>
        <w:rPr>
          <w:i/>
          <w:sz w:val="18"/>
        </w:rPr>
      </w:pPr>
    </w:p>
    <w:p w:rsidR="00B23BEF" w:rsidRDefault="00B23BEF" w:rsidP="00EC0974">
      <w:pPr>
        <w:jc w:val="both"/>
        <w:rPr>
          <w:i/>
          <w:sz w:val="18"/>
        </w:rPr>
      </w:pPr>
    </w:p>
    <w:p w:rsidR="00B23BEF" w:rsidRDefault="00B23BEF" w:rsidP="00EC0974">
      <w:pPr>
        <w:jc w:val="both"/>
        <w:rPr>
          <w:i/>
          <w:sz w:val="18"/>
        </w:rPr>
      </w:pPr>
    </w:p>
    <w:p w:rsidR="001C6242" w:rsidRPr="00B85074" w:rsidRDefault="001C6242" w:rsidP="00A81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2D69B" w:themeFill="accent3" w:themeFillTint="99"/>
        <w:jc w:val="center"/>
        <w:rPr>
          <w:b/>
          <w:szCs w:val="24"/>
        </w:rPr>
      </w:pPr>
      <w:r>
        <w:rPr>
          <w:b/>
          <w:szCs w:val="24"/>
        </w:rPr>
        <w:t>Dodávky mléka a přímý prodej v průběhu kalendářního roku 20</w:t>
      </w:r>
      <w:r w:rsidR="00C00BB4">
        <w:rPr>
          <w:b/>
          <w:szCs w:val="24"/>
        </w:rPr>
        <w:t>13</w:t>
      </w:r>
      <w:r>
        <w:rPr>
          <w:b/>
          <w:szCs w:val="24"/>
        </w:rPr>
        <w:t xml:space="preserve"> a 201</w:t>
      </w:r>
      <w:r w:rsidR="00C00BB4">
        <w:rPr>
          <w:b/>
          <w:szCs w:val="24"/>
        </w:rPr>
        <w:t>4</w:t>
      </w:r>
      <w:r>
        <w:rPr>
          <w:b/>
          <w:szCs w:val="24"/>
        </w:rPr>
        <w:t xml:space="preserve"> v kg</w:t>
      </w:r>
    </w:p>
    <w:tbl>
      <w:tblPr>
        <w:tblW w:w="108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65"/>
        <w:gridCol w:w="1308"/>
        <w:gridCol w:w="1014"/>
        <w:gridCol w:w="1304"/>
        <w:gridCol w:w="1304"/>
        <w:gridCol w:w="1014"/>
        <w:gridCol w:w="1304"/>
        <w:gridCol w:w="869"/>
        <w:gridCol w:w="649"/>
        <w:gridCol w:w="801"/>
      </w:tblGrid>
      <w:tr w:rsidR="001C6242" w:rsidRPr="005A0163" w:rsidTr="00E11907">
        <w:trPr>
          <w:trHeight w:val="256"/>
        </w:trPr>
        <w:tc>
          <w:tcPr>
            <w:tcW w:w="1265" w:type="dxa"/>
            <w:vMerge w:val="restart"/>
            <w:shd w:val="clear" w:color="auto" w:fill="auto"/>
          </w:tcPr>
          <w:p w:rsidR="001C6242" w:rsidRPr="005A0163" w:rsidRDefault="001C6242" w:rsidP="003944AA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626" w:type="dxa"/>
            <w:gridSpan w:val="3"/>
            <w:shd w:val="clear" w:color="auto" w:fill="auto"/>
          </w:tcPr>
          <w:p w:rsidR="001C6242" w:rsidRPr="005A0163" w:rsidRDefault="001C6242" w:rsidP="00C00BB4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 w:rsidR="00C00BB4">
              <w:rPr>
                <w:b/>
                <w:caps/>
                <w:sz w:val="16"/>
                <w:szCs w:val="16"/>
              </w:rPr>
              <w:t>3</w:t>
            </w:r>
          </w:p>
        </w:tc>
        <w:tc>
          <w:tcPr>
            <w:tcW w:w="3622" w:type="dxa"/>
            <w:gridSpan w:val="3"/>
            <w:shd w:val="clear" w:color="auto" w:fill="auto"/>
          </w:tcPr>
          <w:p w:rsidR="001C6242" w:rsidRPr="005A0163" w:rsidRDefault="001C6242" w:rsidP="00C00BB4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</w:t>
            </w:r>
            <w:r w:rsidR="00C00BB4">
              <w:rPr>
                <w:b/>
                <w:caps/>
                <w:sz w:val="16"/>
                <w:szCs w:val="16"/>
              </w:rPr>
              <w:t>4</w:t>
            </w:r>
          </w:p>
        </w:tc>
        <w:tc>
          <w:tcPr>
            <w:tcW w:w="2319" w:type="dxa"/>
            <w:gridSpan w:val="3"/>
            <w:shd w:val="clear" w:color="auto" w:fill="auto"/>
          </w:tcPr>
          <w:p w:rsidR="001C6242" w:rsidRPr="005A0163" w:rsidRDefault="001C6242" w:rsidP="00832F86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 w:rsidR="00832F86">
              <w:rPr>
                <w:b/>
                <w:caps/>
                <w:sz w:val="16"/>
                <w:szCs w:val="16"/>
              </w:rPr>
              <w:t>4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</w:t>
            </w:r>
            <w:r w:rsidR="00832F86">
              <w:rPr>
                <w:b/>
                <w:caps/>
                <w:sz w:val="16"/>
                <w:szCs w:val="16"/>
              </w:rPr>
              <w:t>3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1C6242" w:rsidRPr="005A0163" w:rsidTr="00E11907">
        <w:trPr>
          <w:trHeight w:val="285"/>
        </w:trPr>
        <w:tc>
          <w:tcPr>
            <w:tcW w:w="1265" w:type="dxa"/>
            <w:vMerge/>
            <w:shd w:val="clear" w:color="auto" w:fill="auto"/>
          </w:tcPr>
          <w:p w:rsidR="001C6242" w:rsidRPr="005A0163" w:rsidRDefault="001C6242" w:rsidP="003944AA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69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649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801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4C2870" w:rsidRPr="00881E10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4C2870" w:rsidRPr="002E5775" w:rsidRDefault="004C28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Leden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C2870" w:rsidRPr="0042025B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228 667 132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C2870" w:rsidRPr="0042025B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626 039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C2870" w:rsidRPr="0042025B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229 293 171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235 060 246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870 387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235 930 547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2,9</w:t>
            </w:r>
          </w:p>
        </w:tc>
      </w:tr>
      <w:tr w:rsidR="004C2870" w:rsidRPr="00881E10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4C2870" w:rsidRPr="002E5775" w:rsidRDefault="004C28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Únor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C2870" w:rsidRPr="0042025B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210 516 544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C2870" w:rsidRPr="0042025B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635 469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C2870" w:rsidRPr="0042025B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211 152 013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217 205 286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920 630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218 125 916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44,9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3,3</w:t>
            </w:r>
          </w:p>
        </w:tc>
      </w:tr>
      <w:tr w:rsidR="004C2870" w:rsidRPr="00881E10" w:rsidTr="002E5775">
        <w:trPr>
          <w:trHeight w:val="256"/>
        </w:trPr>
        <w:tc>
          <w:tcPr>
            <w:tcW w:w="1265" w:type="dxa"/>
            <w:shd w:val="clear" w:color="auto" w:fill="auto"/>
            <w:vAlign w:val="bottom"/>
          </w:tcPr>
          <w:p w:rsidR="004C2870" w:rsidRPr="003F5CEE" w:rsidRDefault="004C287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C2870" w:rsidRPr="0042025B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235 738 072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C2870" w:rsidRPr="0042025B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738 448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C2870" w:rsidRPr="0042025B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236 476 520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245 290 475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1 081 424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246 371 899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4,2</w:t>
            </w:r>
          </w:p>
        </w:tc>
      </w:tr>
      <w:tr w:rsidR="004C2870" w:rsidRPr="00881E10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4C2870" w:rsidRPr="002E5775" w:rsidRDefault="004C28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Duben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C2870" w:rsidRPr="0042025B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229 328 775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C2870" w:rsidRPr="0042025B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721 723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C2870" w:rsidRPr="0042025B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230 050 498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239 027 695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1 017 806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240 045 501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41,0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4,3</w:t>
            </w:r>
          </w:p>
        </w:tc>
      </w:tr>
      <w:tr w:rsidR="004C2870" w:rsidRPr="00B85074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4C2870" w:rsidRPr="002E5775" w:rsidRDefault="004C28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Květen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C2870" w:rsidRPr="0042025B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240 952 990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C2870" w:rsidRPr="0042025B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792 463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C2870" w:rsidRPr="0042025B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241 745 453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247 343 240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1 026 085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248 369 325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29,5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2,7</w:t>
            </w:r>
          </w:p>
        </w:tc>
      </w:tr>
      <w:tr w:rsidR="004C2870" w:rsidRPr="00B85074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4C2870" w:rsidRPr="002E5775" w:rsidRDefault="004C28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Červen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C2870" w:rsidRPr="0042025B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227 590 331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C2870" w:rsidRPr="0042025B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749 208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C2870" w:rsidRPr="0042025B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228 339 539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239 699 858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971 350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240 671 208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29,7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4C2870" w:rsidRPr="004C2870" w:rsidRDefault="004C287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C2870">
              <w:rPr>
                <w:rFonts w:ascii="Calibri" w:hAnsi="Calibri"/>
                <w:color w:val="000000"/>
                <w:sz w:val="16"/>
                <w:szCs w:val="16"/>
              </w:rPr>
              <w:t>5,4</w:t>
            </w:r>
          </w:p>
        </w:tc>
      </w:tr>
      <w:tr w:rsidR="0042025B" w:rsidRPr="00B85074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42025B" w:rsidRPr="002E5775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Červenec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235 949 804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784 364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236 734 168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2025B" w:rsidRPr="00B85074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42025B" w:rsidRPr="002E5775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Srpen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230 010 506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793 251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230 803 757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2025B" w:rsidRPr="00B85074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42025B" w:rsidRPr="002E5775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Září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220 942 395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769 419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221 711 814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2025B" w:rsidRPr="00B85074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42025B" w:rsidRPr="002E5775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Říjen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221 921 358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832 846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222 754 204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2025B" w:rsidRPr="00B85074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42025B" w:rsidRPr="002E5775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Listopad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215 345 781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840 723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216 186 504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2025B" w:rsidRPr="00B85074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42025B" w:rsidRPr="002E5775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Prosinec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227 747 985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794 272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228 542 257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2025B" w:rsidRPr="00881E10" w:rsidTr="003F5CEE">
        <w:trPr>
          <w:trHeight w:hRule="exact" w:val="255"/>
        </w:trPr>
        <w:tc>
          <w:tcPr>
            <w:tcW w:w="1265" w:type="dxa"/>
            <w:shd w:val="clear" w:color="auto" w:fill="F2DBDB" w:themeFill="accent2" w:themeFillTint="33"/>
            <w:vAlign w:val="bottom"/>
          </w:tcPr>
          <w:p w:rsidR="0042025B" w:rsidRPr="002E5775" w:rsidRDefault="0042025B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1308" w:type="dxa"/>
            <w:shd w:val="clear" w:color="auto" w:fill="F2DBDB" w:themeFill="accent2" w:themeFillTint="33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2 724 711 673</w:t>
            </w:r>
          </w:p>
        </w:tc>
        <w:tc>
          <w:tcPr>
            <w:tcW w:w="1014" w:type="dxa"/>
            <w:shd w:val="clear" w:color="auto" w:fill="F2DBDB" w:themeFill="accent2" w:themeFillTint="33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9 078 225</w:t>
            </w: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2 733 789 898</w:t>
            </w: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42025B" w:rsidRPr="0042025B" w:rsidRDefault="0042025B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F2DBDB" w:themeFill="accent2" w:themeFillTint="33"/>
            <w:vAlign w:val="bottom"/>
          </w:tcPr>
          <w:p w:rsidR="0042025B" w:rsidRPr="0042025B" w:rsidRDefault="0042025B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42025B" w:rsidRPr="0042025B" w:rsidRDefault="0042025B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F2DBDB" w:themeFill="accent2" w:themeFillTint="33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F2DBDB" w:themeFill="accent2" w:themeFillTint="33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F2DBDB" w:themeFill="accent2" w:themeFillTint="33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C6242" w:rsidRDefault="001C6242" w:rsidP="001C6242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>Pramen: administrace sy</w:t>
      </w:r>
      <w:r w:rsidR="002B7AE3">
        <w:rPr>
          <w:i/>
          <w:sz w:val="16"/>
          <w:szCs w:val="16"/>
        </w:rPr>
        <w:t>stému mléčných kvót SZIF</w:t>
      </w:r>
      <w:r w:rsidR="00E11907">
        <w:rPr>
          <w:i/>
          <w:sz w:val="16"/>
          <w:szCs w:val="16"/>
        </w:rPr>
        <w:t>, kvótový rok začíná 1.</w:t>
      </w:r>
      <w:r w:rsidR="00F40B7E">
        <w:rPr>
          <w:i/>
          <w:sz w:val="16"/>
          <w:szCs w:val="16"/>
        </w:rPr>
        <w:t xml:space="preserve"> </w:t>
      </w:r>
      <w:r w:rsidR="00E11907">
        <w:rPr>
          <w:i/>
          <w:sz w:val="16"/>
          <w:szCs w:val="16"/>
        </w:rPr>
        <w:t>4. kalendářního roku a končí 31.</w:t>
      </w:r>
      <w:r w:rsidR="00F40B7E">
        <w:rPr>
          <w:i/>
          <w:sz w:val="16"/>
          <w:szCs w:val="16"/>
        </w:rPr>
        <w:t xml:space="preserve"> </w:t>
      </w:r>
      <w:r w:rsidR="00E11907">
        <w:rPr>
          <w:i/>
          <w:sz w:val="16"/>
          <w:szCs w:val="16"/>
        </w:rPr>
        <w:t>3. následujícího roku</w:t>
      </w:r>
    </w:p>
    <w:p w:rsidR="001C6242" w:rsidRDefault="001C6242" w:rsidP="006B1E0C">
      <w:pPr>
        <w:rPr>
          <w:sz w:val="16"/>
          <w:szCs w:val="16"/>
        </w:rPr>
      </w:pPr>
      <w:r>
        <w:rPr>
          <w:sz w:val="16"/>
          <w:szCs w:val="16"/>
        </w:rPr>
        <w:t xml:space="preserve">Pozn.: </w:t>
      </w:r>
      <w:r w:rsidR="003153D5">
        <w:rPr>
          <w:sz w:val="16"/>
          <w:szCs w:val="16"/>
        </w:rPr>
        <w:t xml:space="preserve">V kvótovém roce 2012/2013 </w:t>
      </w:r>
      <w:r w:rsidR="00330A12">
        <w:rPr>
          <w:sz w:val="16"/>
          <w:szCs w:val="16"/>
        </w:rPr>
        <w:t xml:space="preserve">byla národní kvóta pro dodávky splněna na 94,23 %, kvóta pro přímý prodej byla splněna na 34,97 %. </w:t>
      </w:r>
      <w:r w:rsidR="00451794" w:rsidRPr="0042025B">
        <w:rPr>
          <w:i/>
          <w:sz w:val="16"/>
          <w:szCs w:val="16"/>
        </w:rPr>
        <w:t xml:space="preserve">Dodávková kvóta za </w:t>
      </w:r>
      <w:r w:rsidR="00FD5491" w:rsidRPr="0042025B">
        <w:rPr>
          <w:i/>
          <w:sz w:val="16"/>
          <w:szCs w:val="16"/>
        </w:rPr>
        <w:t>1</w:t>
      </w:r>
      <w:r w:rsidR="003F5CEE" w:rsidRPr="0042025B">
        <w:rPr>
          <w:i/>
          <w:sz w:val="16"/>
          <w:szCs w:val="16"/>
        </w:rPr>
        <w:t xml:space="preserve">2 </w:t>
      </w:r>
      <w:r w:rsidR="00451794" w:rsidRPr="0042025B">
        <w:rPr>
          <w:i/>
          <w:sz w:val="16"/>
          <w:szCs w:val="16"/>
        </w:rPr>
        <w:t xml:space="preserve">měsíců kvótového roku 2013/2014 </w:t>
      </w:r>
      <w:r w:rsidR="0042025B" w:rsidRPr="0042025B">
        <w:rPr>
          <w:i/>
          <w:sz w:val="16"/>
          <w:szCs w:val="16"/>
        </w:rPr>
        <w:t xml:space="preserve">byla </w:t>
      </w:r>
      <w:r w:rsidR="00F40B7E" w:rsidRPr="0042025B">
        <w:rPr>
          <w:i/>
          <w:sz w:val="16"/>
          <w:szCs w:val="16"/>
        </w:rPr>
        <w:t xml:space="preserve">podle předběžných výsledků </w:t>
      </w:r>
      <w:r w:rsidR="00451794" w:rsidRPr="0042025B">
        <w:rPr>
          <w:i/>
          <w:sz w:val="16"/>
          <w:szCs w:val="16"/>
        </w:rPr>
        <w:t xml:space="preserve">plněna na </w:t>
      </w:r>
      <w:r w:rsidR="00F40B7E" w:rsidRPr="0042025B">
        <w:rPr>
          <w:i/>
          <w:sz w:val="16"/>
          <w:szCs w:val="16"/>
        </w:rPr>
        <w:t>94,53</w:t>
      </w:r>
      <w:r w:rsidR="00451794" w:rsidRPr="0042025B">
        <w:rPr>
          <w:i/>
          <w:sz w:val="16"/>
          <w:szCs w:val="16"/>
        </w:rPr>
        <w:t xml:space="preserve"> %, kvóta přímého prodeje na </w:t>
      </w:r>
      <w:r w:rsidR="00F40B7E" w:rsidRPr="0042025B">
        <w:rPr>
          <w:i/>
          <w:sz w:val="16"/>
          <w:szCs w:val="16"/>
        </w:rPr>
        <w:t>34,68</w:t>
      </w:r>
      <w:r w:rsidR="00451794" w:rsidRPr="0042025B">
        <w:rPr>
          <w:i/>
          <w:sz w:val="16"/>
          <w:szCs w:val="16"/>
        </w:rPr>
        <w:t xml:space="preserve"> %</w:t>
      </w:r>
      <w:r w:rsidR="00451794">
        <w:rPr>
          <w:sz w:val="16"/>
          <w:szCs w:val="16"/>
        </w:rPr>
        <w:t>.</w:t>
      </w:r>
      <w:r w:rsidR="0042025B">
        <w:rPr>
          <w:sz w:val="16"/>
          <w:szCs w:val="16"/>
        </w:rPr>
        <w:t xml:space="preserve"> </w:t>
      </w:r>
      <w:r w:rsidR="0042025B" w:rsidRPr="0042025B">
        <w:rPr>
          <w:b/>
          <w:sz w:val="16"/>
          <w:szCs w:val="16"/>
        </w:rPr>
        <w:t xml:space="preserve">Meziročně za období leden až </w:t>
      </w:r>
      <w:r w:rsidR="004C2870">
        <w:rPr>
          <w:b/>
          <w:sz w:val="16"/>
          <w:szCs w:val="16"/>
        </w:rPr>
        <w:t xml:space="preserve">červen </w:t>
      </w:r>
      <w:r w:rsidR="0042025B">
        <w:rPr>
          <w:b/>
          <w:sz w:val="16"/>
          <w:szCs w:val="16"/>
        </w:rPr>
        <w:t xml:space="preserve">2014/2013 </w:t>
      </w:r>
      <w:r w:rsidR="0042025B" w:rsidRPr="0042025B">
        <w:rPr>
          <w:b/>
          <w:sz w:val="16"/>
          <w:szCs w:val="16"/>
        </w:rPr>
        <w:t xml:space="preserve">došlo ke zvýšení dodávek </w:t>
      </w:r>
      <w:r w:rsidR="0042025B">
        <w:rPr>
          <w:b/>
          <w:sz w:val="16"/>
          <w:szCs w:val="16"/>
        </w:rPr>
        <w:t xml:space="preserve">v ČR </w:t>
      </w:r>
      <w:r w:rsidR="0042025B" w:rsidRPr="0042025B">
        <w:rPr>
          <w:b/>
          <w:sz w:val="16"/>
          <w:szCs w:val="16"/>
        </w:rPr>
        <w:t>o 3,</w:t>
      </w:r>
      <w:r w:rsidR="004C2870">
        <w:rPr>
          <w:b/>
          <w:sz w:val="16"/>
          <w:szCs w:val="16"/>
        </w:rPr>
        <w:t>7</w:t>
      </w:r>
      <w:r w:rsidR="0042025B" w:rsidRPr="0042025B">
        <w:rPr>
          <w:b/>
          <w:sz w:val="16"/>
          <w:szCs w:val="16"/>
        </w:rPr>
        <w:t xml:space="preserve"> %, přímého prodeje o </w:t>
      </w:r>
      <w:r w:rsidR="004C2870">
        <w:rPr>
          <w:b/>
          <w:sz w:val="16"/>
          <w:szCs w:val="16"/>
        </w:rPr>
        <w:t>38,1</w:t>
      </w:r>
      <w:r w:rsidR="0042025B" w:rsidRPr="0042025B">
        <w:rPr>
          <w:b/>
          <w:sz w:val="16"/>
          <w:szCs w:val="16"/>
        </w:rPr>
        <w:t xml:space="preserve"> %.</w:t>
      </w:r>
    </w:p>
    <w:p w:rsidR="00B23BEF" w:rsidRDefault="00B23BEF" w:rsidP="006B1E0C">
      <w:pPr>
        <w:rPr>
          <w:sz w:val="16"/>
          <w:szCs w:val="16"/>
        </w:rPr>
      </w:pPr>
    </w:p>
    <w:p w:rsidR="000D17ED" w:rsidRPr="00F017D7" w:rsidRDefault="000D17ED" w:rsidP="00A81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b/>
        </w:rPr>
      </w:pPr>
      <w:r w:rsidRPr="00F017D7">
        <w:rPr>
          <w:b/>
        </w:rPr>
        <w:t>Mlékárenský průmysl</w:t>
      </w:r>
    </w:p>
    <w:p w:rsidR="001C624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>Zásoby sušeného od</w:t>
      </w:r>
      <w:r w:rsidR="007220A9">
        <w:rPr>
          <w:b/>
          <w:sz w:val="20"/>
        </w:rPr>
        <w:t>tučně</w:t>
      </w:r>
      <w:r w:rsidRPr="00972FE2">
        <w:rPr>
          <w:b/>
          <w:sz w:val="20"/>
        </w:rPr>
        <w:t xml:space="preserve">ného mléka v tunách - stav ke konci období </w:t>
      </w:r>
    </w:p>
    <w:tbl>
      <w:tblPr>
        <w:tblW w:w="1036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0"/>
        <w:gridCol w:w="819"/>
        <w:gridCol w:w="819"/>
        <w:gridCol w:w="819"/>
        <w:gridCol w:w="818"/>
        <w:gridCol w:w="818"/>
        <w:gridCol w:w="818"/>
        <w:gridCol w:w="818"/>
        <w:gridCol w:w="818"/>
        <w:gridCol w:w="818"/>
        <w:gridCol w:w="818"/>
        <w:gridCol w:w="610"/>
        <w:gridCol w:w="818"/>
      </w:tblGrid>
      <w:tr w:rsidR="001C6242" w:rsidRPr="000B309D" w:rsidTr="003944AA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C00BB4" w:rsidRPr="000B309D" w:rsidTr="003944AA">
        <w:trPr>
          <w:trHeight w:val="235"/>
        </w:trPr>
        <w:tc>
          <w:tcPr>
            <w:tcW w:w="0" w:type="auto"/>
          </w:tcPr>
          <w:p w:rsidR="00C00BB4" w:rsidRPr="000B309D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2 246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2 260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1 975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2 131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2 436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2 955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3 145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2 524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2 016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1 225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831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1 286</w:t>
            </w:r>
          </w:p>
        </w:tc>
      </w:tr>
      <w:tr w:rsidR="00C00BB4" w:rsidRPr="000B309D" w:rsidTr="003944AA">
        <w:trPr>
          <w:trHeight w:val="235"/>
        </w:trPr>
        <w:tc>
          <w:tcPr>
            <w:tcW w:w="0" w:type="auto"/>
          </w:tcPr>
          <w:p w:rsidR="00C00BB4" w:rsidRPr="000B309D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1 164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1 138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862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1 038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1 116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1 210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864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767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893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838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1 763</w:t>
            </w:r>
          </w:p>
        </w:tc>
      </w:tr>
      <w:tr w:rsidR="00C00BB4" w:rsidRPr="000B309D" w:rsidTr="003944AA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C00BB4" w:rsidRPr="000B309D" w:rsidRDefault="00C00BB4" w:rsidP="003944A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Pr="000B309D" w:rsidRDefault="004A20C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1 817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Pr="000B309D" w:rsidRDefault="00211567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1 727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Pr="000B309D" w:rsidRDefault="00A71F2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1 521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EE16B8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292E15">
              <w:rPr>
                <w:sz w:val="20"/>
              </w:rPr>
              <w:t xml:space="preserve"> </w:t>
            </w:r>
            <w:r>
              <w:rPr>
                <w:sz w:val="20"/>
              </w:rPr>
              <w:t>700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292E1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2 101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D17C7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2 885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</w:tr>
    </w:tbl>
    <w:p w:rsidR="001C6242" w:rsidRPr="00972FE2" w:rsidRDefault="001C6242" w:rsidP="00EF716D">
      <w:pPr>
        <w:tabs>
          <w:tab w:val="left" w:pos="6495"/>
        </w:tabs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  <w:r w:rsidR="00EF716D">
        <w:rPr>
          <w:b/>
          <w:sz w:val="20"/>
        </w:rPr>
        <w:tab/>
      </w:r>
    </w:p>
    <w:tbl>
      <w:tblPr>
        <w:tblW w:w="1039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7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1C6242" w:rsidRPr="00972FE2" w:rsidTr="003944AA">
        <w:trPr>
          <w:trHeight w:val="225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C00BB4" w:rsidRPr="000B309D" w:rsidTr="003944AA">
        <w:trPr>
          <w:trHeight w:val="240"/>
        </w:trPr>
        <w:tc>
          <w:tcPr>
            <w:tcW w:w="0" w:type="auto"/>
          </w:tcPr>
          <w:p w:rsidR="00C00BB4" w:rsidRPr="000B309D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4 282</w:t>
            </w:r>
          </w:p>
        </w:tc>
        <w:tc>
          <w:tcPr>
            <w:tcW w:w="0" w:type="auto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3 869</w:t>
            </w:r>
          </w:p>
        </w:tc>
        <w:tc>
          <w:tcPr>
            <w:tcW w:w="0" w:type="auto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4 013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4 005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4 216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4 174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3 922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3 911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4 203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4 332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4 418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4 275</w:t>
            </w:r>
          </w:p>
        </w:tc>
      </w:tr>
      <w:tr w:rsidR="00C00BB4" w:rsidRPr="000B309D" w:rsidTr="003944AA">
        <w:trPr>
          <w:trHeight w:val="240"/>
        </w:trPr>
        <w:tc>
          <w:tcPr>
            <w:tcW w:w="0" w:type="auto"/>
          </w:tcPr>
          <w:p w:rsidR="00C00BB4" w:rsidRPr="000B309D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4 411</w:t>
            </w:r>
          </w:p>
        </w:tc>
        <w:tc>
          <w:tcPr>
            <w:tcW w:w="0" w:type="auto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4 189</w:t>
            </w:r>
          </w:p>
        </w:tc>
        <w:tc>
          <w:tcPr>
            <w:tcW w:w="0" w:type="auto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4 367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4 393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4 469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3 923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4 136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4 049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4 205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4 443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4 452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3 835</w:t>
            </w:r>
          </w:p>
        </w:tc>
      </w:tr>
      <w:tr w:rsidR="00C00BB4" w:rsidRPr="000B309D" w:rsidTr="003944AA">
        <w:trPr>
          <w:trHeight w:val="240"/>
        </w:trPr>
        <w:tc>
          <w:tcPr>
            <w:tcW w:w="0" w:type="auto"/>
            <w:tcBorders>
              <w:bottom w:val="double" w:sz="6" w:space="0" w:color="auto"/>
            </w:tcBorders>
          </w:tcPr>
          <w:p w:rsidR="00C00BB4" w:rsidRPr="000B309D" w:rsidRDefault="00C00BB4" w:rsidP="003944A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Pr="000B309D" w:rsidRDefault="004A20C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3 858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Pr="000B309D" w:rsidRDefault="00211567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4 111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Pr="000B309D" w:rsidRDefault="00A71F2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4 145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EE16B8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="00292E15">
              <w:rPr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292E1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4 469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D17C7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4 384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</w:tr>
    </w:tbl>
    <w:p w:rsidR="001C6242" w:rsidRPr="00972FE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3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1C6242" w:rsidRPr="000B309D" w:rsidTr="003944AA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C00BB4" w:rsidRPr="000B309D" w:rsidTr="003944AA">
        <w:trPr>
          <w:trHeight w:val="227"/>
        </w:trPr>
        <w:tc>
          <w:tcPr>
            <w:tcW w:w="0" w:type="auto"/>
          </w:tcPr>
          <w:p w:rsidR="00C00BB4" w:rsidRPr="000B309D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1 849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1 776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2 013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1 760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1 708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1 807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1 675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1 636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1 493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1 596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1 327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1 456</w:t>
            </w:r>
          </w:p>
        </w:tc>
      </w:tr>
      <w:tr w:rsidR="00C00BB4" w:rsidRPr="000B309D" w:rsidTr="003944AA">
        <w:trPr>
          <w:trHeight w:val="227"/>
        </w:trPr>
        <w:tc>
          <w:tcPr>
            <w:tcW w:w="0" w:type="auto"/>
          </w:tcPr>
          <w:p w:rsidR="00C00BB4" w:rsidRPr="000B309D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1 689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1 922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1 251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1 379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1 114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1 263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1 379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1 227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1 255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1 496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1 552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1 409</w:t>
            </w:r>
          </w:p>
        </w:tc>
      </w:tr>
      <w:tr w:rsidR="00C00BB4" w:rsidRPr="000B309D" w:rsidTr="003944AA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C00BB4" w:rsidRPr="000B309D" w:rsidRDefault="00C00BB4" w:rsidP="003944A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Pr="000B309D" w:rsidRDefault="004A20C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1 587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Pr="000B309D" w:rsidRDefault="00211567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Pr="000B309D" w:rsidRDefault="00A71F2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1 399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EE16B8" w:rsidRDefault="00EE16B8" w:rsidP="00EE16B8">
            <w:pPr>
              <w:jc w:val="right"/>
              <w:rPr>
                <w:sz w:val="20"/>
              </w:rPr>
            </w:pPr>
            <w:r>
              <w:rPr>
                <w:sz w:val="20"/>
              </w:rPr>
              <w:t>1837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292E1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1 673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D17C7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1 306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</w:tr>
    </w:tbl>
    <w:p w:rsidR="001C6242" w:rsidRDefault="001C6242" w:rsidP="001C6242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(MZe 6-12)</w:t>
      </w:r>
    </w:p>
    <w:p w:rsidR="00B23BEF" w:rsidRDefault="00B23BEF" w:rsidP="001C6242">
      <w:pPr>
        <w:rPr>
          <w:i/>
          <w:sz w:val="18"/>
          <w:szCs w:val="18"/>
        </w:rPr>
      </w:pPr>
    </w:p>
    <w:tbl>
      <w:tblPr>
        <w:tblpPr w:leftFromText="141" w:rightFromText="141" w:vertAnchor="page" w:horzAnchor="margin" w:tblpY="613"/>
        <w:tblW w:w="1069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500"/>
        <w:gridCol w:w="861"/>
        <w:gridCol w:w="1684"/>
        <w:gridCol w:w="1696"/>
        <w:gridCol w:w="1413"/>
        <w:gridCol w:w="1537"/>
      </w:tblGrid>
      <w:tr w:rsidR="00B23BEF" w:rsidRPr="00F017D7" w:rsidTr="00A814B3">
        <w:trPr>
          <w:trHeight w:val="313"/>
        </w:trPr>
        <w:tc>
          <w:tcPr>
            <w:tcW w:w="3500" w:type="dxa"/>
            <w:vMerge w:val="restart"/>
            <w:shd w:val="clear" w:color="auto" w:fill="C2D69B" w:themeFill="accent3" w:themeFillTint="99"/>
          </w:tcPr>
          <w:p w:rsidR="00B23BEF" w:rsidRDefault="00B23BEF" w:rsidP="00B23BEF">
            <w:pPr>
              <w:rPr>
                <w:b/>
                <w:sz w:val="20"/>
              </w:rPr>
            </w:pPr>
          </w:p>
          <w:p w:rsidR="00B23BEF" w:rsidRPr="009035AF" w:rsidRDefault="00B23BEF" w:rsidP="00B23BEF">
            <w:pPr>
              <w:rPr>
                <w:b/>
                <w:sz w:val="28"/>
                <w:szCs w:val="28"/>
              </w:rPr>
            </w:pPr>
            <w:r w:rsidRPr="00A814B3">
              <w:rPr>
                <w:b/>
                <w:sz w:val="28"/>
                <w:szCs w:val="28"/>
                <w:shd w:val="clear" w:color="auto" w:fill="C2D69B" w:themeFill="accent3" w:themeFillTint="99"/>
              </w:rPr>
              <w:t>Mlékárenská výroba</w:t>
            </w:r>
          </w:p>
        </w:tc>
        <w:tc>
          <w:tcPr>
            <w:tcW w:w="861" w:type="dxa"/>
            <w:vMerge w:val="restart"/>
            <w:shd w:val="clear" w:color="auto" w:fill="C2D69B" w:themeFill="accent3" w:themeFillTint="99"/>
          </w:tcPr>
          <w:p w:rsidR="00B23BEF" w:rsidRPr="00F017D7" w:rsidRDefault="00B23BEF" w:rsidP="00B23BEF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684" w:type="dxa"/>
            <w:shd w:val="clear" w:color="auto" w:fill="C2D69B" w:themeFill="accent3" w:themeFillTint="99"/>
          </w:tcPr>
          <w:p w:rsidR="00B23BEF" w:rsidRPr="00F017D7" w:rsidRDefault="00B23BEF" w:rsidP="00B23BE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696" w:type="dxa"/>
            <w:shd w:val="clear" w:color="auto" w:fill="C2D69B" w:themeFill="accent3" w:themeFillTint="99"/>
          </w:tcPr>
          <w:p w:rsidR="00B23BEF" w:rsidRPr="00F017D7" w:rsidRDefault="00B23BEF" w:rsidP="00B23BE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2950" w:type="dxa"/>
            <w:gridSpan w:val="2"/>
            <w:shd w:val="clear" w:color="auto" w:fill="C2D69B" w:themeFill="accent3" w:themeFillTint="99"/>
          </w:tcPr>
          <w:p w:rsidR="00B23BEF" w:rsidRPr="00F017D7" w:rsidRDefault="00B23BEF" w:rsidP="00B23BE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</w:t>
            </w:r>
            <w:r>
              <w:rPr>
                <w:b/>
                <w:sz w:val="20"/>
              </w:rPr>
              <w:t>4</w:t>
            </w:r>
            <w:r w:rsidRPr="00F017D7">
              <w:rPr>
                <w:b/>
                <w:sz w:val="20"/>
              </w:rPr>
              <w:t>/201</w:t>
            </w:r>
            <w:r>
              <w:rPr>
                <w:b/>
                <w:sz w:val="20"/>
              </w:rPr>
              <w:t>3</w:t>
            </w:r>
          </w:p>
        </w:tc>
      </w:tr>
      <w:tr w:rsidR="00B23BEF" w:rsidRPr="00F017D7" w:rsidTr="00A814B3">
        <w:trPr>
          <w:trHeight w:val="264"/>
        </w:trPr>
        <w:tc>
          <w:tcPr>
            <w:tcW w:w="3500" w:type="dxa"/>
            <w:vMerge/>
            <w:shd w:val="clear" w:color="auto" w:fill="C2D69B" w:themeFill="accent3" w:themeFillTint="99"/>
          </w:tcPr>
          <w:p w:rsidR="00B23BEF" w:rsidRPr="00F017D7" w:rsidRDefault="00B23BEF" w:rsidP="00B23BEF">
            <w:pPr>
              <w:rPr>
                <w:b/>
                <w:sz w:val="20"/>
              </w:rPr>
            </w:pPr>
          </w:p>
        </w:tc>
        <w:tc>
          <w:tcPr>
            <w:tcW w:w="861" w:type="dxa"/>
            <w:vMerge/>
            <w:shd w:val="clear" w:color="auto" w:fill="C2D69B" w:themeFill="accent3" w:themeFillTint="99"/>
          </w:tcPr>
          <w:p w:rsidR="00B23BEF" w:rsidRPr="00F017D7" w:rsidRDefault="00B23BEF" w:rsidP="00B23BEF">
            <w:pPr>
              <w:jc w:val="center"/>
              <w:rPr>
                <w:b/>
                <w:sz w:val="20"/>
              </w:rPr>
            </w:pPr>
          </w:p>
        </w:tc>
        <w:tc>
          <w:tcPr>
            <w:tcW w:w="1684" w:type="dxa"/>
            <w:shd w:val="clear" w:color="auto" w:fill="C2D69B" w:themeFill="accent3" w:themeFillTint="99"/>
          </w:tcPr>
          <w:p w:rsidR="00B23BEF" w:rsidRPr="00F017D7" w:rsidRDefault="00B23BEF" w:rsidP="0053297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Leden - </w:t>
            </w:r>
            <w:r w:rsidR="0053297B">
              <w:rPr>
                <w:b/>
                <w:sz w:val="20"/>
              </w:rPr>
              <w:t>červen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96" w:type="dxa"/>
            <w:shd w:val="clear" w:color="auto" w:fill="C2D69B" w:themeFill="accent3" w:themeFillTint="99"/>
          </w:tcPr>
          <w:p w:rsidR="00B23BEF" w:rsidRPr="00F017D7" w:rsidRDefault="00B23BEF" w:rsidP="0053297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Leden - </w:t>
            </w:r>
            <w:r w:rsidR="0053297B">
              <w:rPr>
                <w:b/>
                <w:sz w:val="20"/>
              </w:rPr>
              <w:t>červen</w:t>
            </w:r>
          </w:p>
        </w:tc>
        <w:tc>
          <w:tcPr>
            <w:tcW w:w="1413" w:type="dxa"/>
            <w:shd w:val="clear" w:color="auto" w:fill="C2D69B" w:themeFill="accent3" w:themeFillTint="99"/>
          </w:tcPr>
          <w:p w:rsidR="00B23BEF" w:rsidRPr="0045657A" w:rsidRDefault="00B23BEF" w:rsidP="00B23BEF">
            <w:pPr>
              <w:jc w:val="center"/>
              <w:rPr>
                <w:b/>
                <w:sz w:val="16"/>
                <w:szCs w:val="16"/>
              </w:rPr>
            </w:pPr>
            <w:r w:rsidRPr="0045657A">
              <w:rPr>
                <w:b/>
                <w:sz w:val="16"/>
                <w:szCs w:val="16"/>
              </w:rPr>
              <w:t>v objemu (v Kč)</w:t>
            </w:r>
          </w:p>
        </w:tc>
        <w:tc>
          <w:tcPr>
            <w:tcW w:w="1537" w:type="dxa"/>
            <w:shd w:val="clear" w:color="auto" w:fill="C2D69B" w:themeFill="accent3" w:themeFillTint="99"/>
          </w:tcPr>
          <w:p w:rsidR="00B23BEF" w:rsidRPr="00F017D7" w:rsidRDefault="00B23BEF" w:rsidP="00B23BE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086F36" w:rsidRPr="002A5B7D" w:rsidTr="00A814B3">
        <w:trPr>
          <w:trHeight w:val="264"/>
        </w:trPr>
        <w:tc>
          <w:tcPr>
            <w:tcW w:w="3500" w:type="dxa"/>
            <w:shd w:val="clear" w:color="auto" w:fill="EAF1DD" w:themeFill="accent3" w:themeFillTint="33"/>
          </w:tcPr>
          <w:p w:rsidR="00086F36" w:rsidRPr="002A5B7D" w:rsidRDefault="00086F36" w:rsidP="00B23BEF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Nákup syrového mléka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86F36" w:rsidRPr="002A5B7D" w:rsidRDefault="00086F36" w:rsidP="00B23BEF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1 177 878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1 179 154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1 276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100,11</w:t>
            </w:r>
          </w:p>
        </w:tc>
      </w:tr>
      <w:tr w:rsidR="00086F36" w:rsidRPr="00F017D7" w:rsidTr="00A814B3">
        <w:trPr>
          <w:trHeight w:val="219"/>
        </w:trPr>
        <w:tc>
          <w:tcPr>
            <w:tcW w:w="3500" w:type="dxa"/>
            <w:shd w:val="clear" w:color="auto" w:fill="EAF1DD" w:themeFill="accent3" w:themeFillTint="33"/>
          </w:tcPr>
          <w:p w:rsidR="00086F36" w:rsidRPr="00F017D7" w:rsidRDefault="00086F36" w:rsidP="00B55AF2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Pr="00F017D7">
              <w:rPr>
                <w:sz w:val="20"/>
              </w:rPr>
              <w:t xml:space="preserve">ývoz syrového mléka 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86F36" w:rsidRPr="00F017D7" w:rsidRDefault="00086F36" w:rsidP="00B55AF2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89 935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76 318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-13 617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84,86</w:t>
            </w:r>
          </w:p>
        </w:tc>
      </w:tr>
      <w:tr w:rsidR="00086F36" w:rsidRPr="00F017D7" w:rsidTr="00A814B3">
        <w:trPr>
          <w:trHeight w:val="219"/>
        </w:trPr>
        <w:tc>
          <w:tcPr>
            <w:tcW w:w="3500" w:type="dxa"/>
            <w:shd w:val="clear" w:color="auto" w:fill="EAF1DD" w:themeFill="accent3" w:themeFillTint="33"/>
          </w:tcPr>
          <w:p w:rsidR="00086F36" w:rsidRDefault="00086F36" w:rsidP="00B55AF2">
            <w:pPr>
              <w:rPr>
                <w:sz w:val="20"/>
              </w:rPr>
            </w:pPr>
            <w:r>
              <w:rPr>
                <w:sz w:val="20"/>
              </w:rPr>
              <w:t>Dovoz syrového mléka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86F36" w:rsidRPr="00F017D7" w:rsidRDefault="00086F36" w:rsidP="00B55A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4 762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828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-3 934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17,39</w:t>
            </w:r>
          </w:p>
        </w:tc>
      </w:tr>
      <w:tr w:rsidR="00086F36" w:rsidRPr="002A5B7D" w:rsidTr="00A814B3">
        <w:trPr>
          <w:trHeight w:val="219"/>
        </w:trPr>
        <w:tc>
          <w:tcPr>
            <w:tcW w:w="3500" w:type="dxa"/>
            <w:shd w:val="clear" w:color="auto" w:fill="EAF1DD" w:themeFill="accent3" w:themeFillTint="33"/>
          </w:tcPr>
          <w:p w:rsidR="00086F36" w:rsidRPr="002A5B7D" w:rsidRDefault="00086F36" w:rsidP="00B55AF2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Mléko ke zpracování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86F36" w:rsidRPr="002A5B7D" w:rsidRDefault="00086F36" w:rsidP="00B55AF2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tis.l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1 092 705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1 103 664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10 959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101,00</w:t>
            </w:r>
          </w:p>
        </w:tc>
      </w:tr>
      <w:tr w:rsidR="00086F36" w:rsidRPr="00F017D7" w:rsidTr="00A814B3">
        <w:trPr>
          <w:trHeight w:val="280"/>
        </w:trPr>
        <w:tc>
          <w:tcPr>
            <w:tcW w:w="3500" w:type="dxa"/>
            <w:shd w:val="clear" w:color="auto" w:fill="EAF1DD" w:themeFill="accent3" w:themeFillTint="33"/>
          </w:tcPr>
          <w:p w:rsidR="00086F36" w:rsidRPr="00F017D7" w:rsidRDefault="00086F36" w:rsidP="00B55AF2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86F36" w:rsidRPr="00F017D7" w:rsidRDefault="00086F36" w:rsidP="00B55AF2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3,89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3,89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100,00</w:t>
            </w:r>
          </w:p>
        </w:tc>
      </w:tr>
      <w:tr w:rsidR="00086F36" w:rsidRPr="00F017D7" w:rsidTr="00A814B3">
        <w:trPr>
          <w:trHeight w:val="264"/>
        </w:trPr>
        <w:tc>
          <w:tcPr>
            <w:tcW w:w="3500" w:type="dxa"/>
            <w:shd w:val="clear" w:color="auto" w:fill="EAF1DD" w:themeFill="accent3" w:themeFillTint="33"/>
          </w:tcPr>
          <w:p w:rsidR="00086F36" w:rsidRPr="00F017D7" w:rsidRDefault="00086F36" w:rsidP="00B55AF2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86F36" w:rsidRPr="00F017D7" w:rsidRDefault="00086F36" w:rsidP="00B55AF2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3,41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100,29</w:t>
            </w:r>
          </w:p>
        </w:tc>
      </w:tr>
      <w:tr w:rsidR="00086F36" w:rsidRPr="00F017D7" w:rsidTr="00A814B3">
        <w:trPr>
          <w:trHeight w:val="280"/>
        </w:trPr>
        <w:tc>
          <w:tcPr>
            <w:tcW w:w="3500" w:type="dxa"/>
            <w:shd w:val="clear" w:color="auto" w:fill="EAF1DD" w:themeFill="accent3" w:themeFillTint="33"/>
          </w:tcPr>
          <w:p w:rsidR="00086F36" w:rsidRPr="00F017D7" w:rsidRDefault="00086F36" w:rsidP="00B55AF2">
            <w:pPr>
              <w:rPr>
                <w:sz w:val="20"/>
              </w:rPr>
            </w:pPr>
            <w:r w:rsidRPr="00F017D7">
              <w:rPr>
                <w:sz w:val="20"/>
              </w:rPr>
              <w:t>CZV za mléko celkem</w:t>
            </w:r>
            <w:r>
              <w:rPr>
                <w:sz w:val="20"/>
              </w:rPr>
              <w:t xml:space="preserve"> (vážený průměr)</w:t>
            </w:r>
            <w:r w:rsidRPr="00F017D7">
              <w:rPr>
                <w:sz w:val="20"/>
              </w:rPr>
              <w:t xml:space="preserve"> 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86F36" w:rsidRPr="00F017D7" w:rsidRDefault="00086F36" w:rsidP="00B55AF2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8,14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9,66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1,52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118,67</w:t>
            </w:r>
          </w:p>
        </w:tc>
      </w:tr>
      <w:tr w:rsidR="00B23BEF" w:rsidRPr="00F017D7" w:rsidTr="00B23BEF">
        <w:trPr>
          <w:trHeight w:val="264"/>
        </w:trPr>
        <w:tc>
          <w:tcPr>
            <w:tcW w:w="10691" w:type="dxa"/>
            <w:gridSpan w:val="6"/>
            <w:shd w:val="clear" w:color="auto" w:fill="auto"/>
          </w:tcPr>
          <w:p w:rsidR="00B23BEF" w:rsidRPr="00F017D7" w:rsidRDefault="00B23BEF" w:rsidP="00B23BE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Mlékárenská výroba</w:t>
            </w:r>
          </w:p>
        </w:tc>
      </w:tr>
      <w:tr w:rsidR="00086F36" w:rsidRPr="002A5B7D" w:rsidTr="00A814B3">
        <w:trPr>
          <w:trHeight w:val="280"/>
        </w:trPr>
        <w:tc>
          <w:tcPr>
            <w:tcW w:w="3500" w:type="dxa"/>
            <w:shd w:val="clear" w:color="auto" w:fill="EAF1DD" w:themeFill="accent3" w:themeFillTint="33"/>
          </w:tcPr>
          <w:p w:rsidR="00086F36" w:rsidRPr="002A5B7D" w:rsidRDefault="00086F36" w:rsidP="00B55AF2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Konzumní mléka celkem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86F36" w:rsidRPr="002A5B7D" w:rsidRDefault="00086F36" w:rsidP="00B55AF2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86F36" w:rsidRDefault="00086F3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308 610,50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318 449,0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9 838,50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103,19</w:t>
            </w:r>
          </w:p>
        </w:tc>
      </w:tr>
      <w:tr w:rsidR="00086F36" w:rsidRPr="00F017D7" w:rsidTr="00B23BEF">
        <w:trPr>
          <w:trHeight w:val="264"/>
        </w:trPr>
        <w:tc>
          <w:tcPr>
            <w:tcW w:w="3500" w:type="dxa"/>
            <w:shd w:val="clear" w:color="auto" w:fill="auto"/>
          </w:tcPr>
          <w:p w:rsidR="00086F36" w:rsidRPr="00F017D7" w:rsidRDefault="00086F36" w:rsidP="00B55AF2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61" w:type="dxa"/>
            <w:shd w:val="clear" w:color="auto" w:fill="auto"/>
          </w:tcPr>
          <w:p w:rsidR="00086F36" w:rsidRPr="00F017D7" w:rsidRDefault="00086F36" w:rsidP="00B55AF2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63 182,30</w:t>
            </w:r>
          </w:p>
        </w:tc>
        <w:tc>
          <w:tcPr>
            <w:tcW w:w="1696" w:type="dxa"/>
            <w:shd w:val="clear" w:color="auto" w:fill="auto"/>
          </w:tcPr>
          <w:p w:rsidR="00086F36" w:rsidRDefault="00086F36">
            <w:pPr>
              <w:jc w:val="right"/>
              <w:rPr>
                <w:sz w:val="20"/>
              </w:rPr>
            </w:pPr>
            <w:r>
              <w:rPr>
                <w:sz w:val="20"/>
              </w:rPr>
              <w:t>66 680,90</w:t>
            </w:r>
          </w:p>
        </w:tc>
        <w:tc>
          <w:tcPr>
            <w:tcW w:w="1413" w:type="dxa"/>
            <w:shd w:val="clear" w:color="auto" w:fill="auto"/>
          </w:tcPr>
          <w:p w:rsidR="00086F36" w:rsidRDefault="00086F3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3 498,60</w:t>
            </w:r>
          </w:p>
        </w:tc>
        <w:tc>
          <w:tcPr>
            <w:tcW w:w="1537" w:type="dxa"/>
            <w:shd w:val="clear" w:color="auto" w:fill="auto"/>
          </w:tcPr>
          <w:p w:rsidR="00086F36" w:rsidRDefault="00086F36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105,54</w:t>
            </w:r>
          </w:p>
        </w:tc>
      </w:tr>
      <w:tr w:rsidR="00086F36" w:rsidRPr="00F017D7" w:rsidTr="00B23BEF">
        <w:trPr>
          <w:trHeight w:val="280"/>
        </w:trPr>
        <w:tc>
          <w:tcPr>
            <w:tcW w:w="3500" w:type="dxa"/>
            <w:shd w:val="clear" w:color="auto" w:fill="auto"/>
          </w:tcPr>
          <w:p w:rsidR="00086F36" w:rsidRPr="00F017D7" w:rsidRDefault="00086F36" w:rsidP="00B55AF2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61" w:type="dxa"/>
            <w:shd w:val="clear" w:color="auto" w:fill="auto"/>
          </w:tcPr>
          <w:p w:rsidR="00086F36" w:rsidRPr="00F017D7" w:rsidRDefault="00086F36" w:rsidP="00B55AF2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244 402,70</w:t>
            </w:r>
          </w:p>
        </w:tc>
        <w:tc>
          <w:tcPr>
            <w:tcW w:w="1696" w:type="dxa"/>
            <w:shd w:val="clear" w:color="auto" w:fill="auto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250 930,50</w:t>
            </w:r>
          </w:p>
        </w:tc>
        <w:tc>
          <w:tcPr>
            <w:tcW w:w="1413" w:type="dxa"/>
            <w:shd w:val="clear" w:color="auto" w:fill="auto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6 527,80</w:t>
            </w:r>
          </w:p>
        </w:tc>
        <w:tc>
          <w:tcPr>
            <w:tcW w:w="1537" w:type="dxa"/>
            <w:shd w:val="clear" w:color="auto" w:fill="auto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102,67</w:t>
            </w:r>
          </w:p>
        </w:tc>
      </w:tr>
      <w:tr w:rsidR="00086F36" w:rsidRPr="00CF7A31" w:rsidTr="00B23BEF">
        <w:trPr>
          <w:trHeight w:val="264"/>
        </w:trPr>
        <w:tc>
          <w:tcPr>
            <w:tcW w:w="3500" w:type="dxa"/>
            <w:shd w:val="clear" w:color="auto" w:fill="auto"/>
          </w:tcPr>
          <w:p w:rsidR="00086F36" w:rsidRPr="006822A0" w:rsidRDefault="00086F36" w:rsidP="00B55AF2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>
              <w:rPr>
                <w:i/>
                <w:sz w:val="20"/>
              </w:rPr>
              <w:t xml:space="preserve"> 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auto"/>
          </w:tcPr>
          <w:p w:rsidR="00086F36" w:rsidRPr="006822A0" w:rsidRDefault="00086F36" w:rsidP="00B55AF2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1 025,50</w:t>
            </w:r>
          </w:p>
        </w:tc>
        <w:tc>
          <w:tcPr>
            <w:tcW w:w="1696" w:type="dxa"/>
            <w:shd w:val="clear" w:color="auto" w:fill="auto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837,60</w:t>
            </w:r>
          </w:p>
        </w:tc>
        <w:tc>
          <w:tcPr>
            <w:tcW w:w="1413" w:type="dxa"/>
            <w:shd w:val="clear" w:color="auto" w:fill="auto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-187,90</w:t>
            </w:r>
          </w:p>
        </w:tc>
        <w:tc>
          <w:tcPr>
            <w:tcW w:w="1537" w:type="dxa"/>
            <w:shd w:val="clear" w:color="auto" w:fill="auto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81,68</w:t>
            </w:r>
          </w:p>
        </w:tc>
      </w:tr>
      <w:tr w:rsidR="00086F36" w:rsidRPr="002A5B7D" w:rsidTr="00A814B3">
        <w:trPr>
          <w:trHeight w:val="280"/>
        </w:trPr>
        <w:tc>
          <w:tcPr>
            <w:tcW w:w="3500" w:type="dxa"/>
            <w:shd w:val="clear" w:color="auto" w:fill="EAF1DD" w:themeFill="accent3" w:themeFillTint="33"/>
          </w:tcPr>
          <w:p w:rsidR="00086F36" w:rsidRPr="002A5B7D" w:rsidRDefault="00086F36" w:rsidP="00B55AF2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Konzumní smetany celkem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86F36" w:rsidRPr="002A5B7D" w:rsidRDefault="00086F36" w:rsidP="00B55AF2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86F36" w:rsidRDefault="00086F3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24 417,60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26 940,30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2 522,70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110,33</w:t>
            </w:r>
          </w:p>
        </w:tc>
      </w:tr>
      <w:tr w:rsidR="00086F36" w:rsidRPr="002A5B7D" w:rsidTr="00A814B3">
        <w:trPr>
          <w:trHeight w:val="264"/>
        </w:trPr>
        <w:tc>
          <w:tcPr>
            <w:tcW w:w="3500" w:type="dxa"/>
            <w:shd w:val="clear" w:color="auto" w:fill="EAF1DD" w:themeFill="accent3" w:themeFillTint="33"/>
          </w:tcPr>
          <w:p w:rsidR="00086F36" w:rsidRPr="002A5B7D" w:rsidRDefault="00086F36" w:rsidP="00B55AF2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Jogurty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86F36" w:rsidRPr="002A5B7D" w:rsidRDefault="00086F36" w:rsidP="00B55AF2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86F36" w:rsidRDefault="00086F3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67 703,30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63 772,40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-3 930,90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94,19</w:t>
            </w:r>
          </w:p>
        </w:tc>
      </w:tr>
      <w:tr w:rsidR="00086F36" w:rsidRPr="002A5B7D" w:rsidTr="00A814B3">
        <w:trPr>
          <w:trHeight w:val="280"/>
        </w:trPr>
        <w:tc>
          <w:tcPr>
            <w:tcW w:w="3500" w:type="dxa"/>
            <w:shd w:val="clear" w:color="auto" w:fill="EAF1DD" w:themeFill="accent3" w:themeFillTint="33"/>
          </w:tcPr>
          <w:p w:rsidR="00086F36" w:rsidRPr="002A5B7D" w:rsidRDefault="00086F36" w:rsidP="00B55AF2">
            <w:pPr>
              <w:rPr>
                <w:b/>
                <w:sz w:val="20"/>
                <w:vertAlign w:val="superscript"/>
              </w:rPr>
            </w:pPr>
            <w:r w:rsidRPr="002A5B7D">
              <w:rPr>
                <w:b/>
                <w:sz w:val="20"/>
              </w:rPr>
              <w:t xml:space="preserve">Kysané výrobky ostatní celkem </w:t>
            </w:r>
            <w:r w:rsidRPr="002A5B7D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86F36" w:rsidRPr="002A5B7D" w:rsidRDefault="00086F36" w:rsidP="00B55AF2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86F36" w:rsidRDefault="00086F3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25 294,00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25 436,10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142,10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100,56</w:t>
            </w:r>
          </w:p>
        </w:tc>
      </w:tr>
      <w:tr w:rsidR="00086F36" w:rsidRPr="002A5B7D" w:rsidTr="00A814B3">
        <w:trPr>
          <w:trHeight w:val="264"/>
        </w:trPr>
        <w:tc>
          <w:tcPr>
            <w:tcW w:w="3500" w:type="dxa"/>
            <w:shd w:val="clear" w:color="auto" w:fill="EAF1DD" w:themeFill="accent3" w:themeFillTint="33"/>
          </w:tcPr>
          <w:p w:rsidR="00086F36" w:rsidRPr="002A5B7D" w:rsidRDefault="00086F36" w:rsidP="00B55AF2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Máslo a mléčné tuky celkem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86F36" w:rsidRPr="002A5B7D" w:rsidRDefault="00086F36" w:rsidP="00B55AF2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86F36" w:rsidRDefault="00086F3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18 434,10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19 457,40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1 023,30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105,55</w:t>
            </w:r>
          </w:p>
        </w:tc>
      </w:tr>
      <w:tr w:rsidR="00086F36" w:rsidRPr="00CF7A31" w:rsidTr="00B23BEF">
        <w:trPr>
          <w:trHeight w:val="264"/>
        </w:trPr>
        <w:tc>
          <w:tcPr>
            <w:tcW w:w="3500" w:type="dxa"/>
            <w:shd w:val="clear" w:color="auto" w:fill="auto"/>
          </w:tcPr>
          <w:p w:rsidR="00086F36" w:rsidRPr="00B0180D" w:rsidRDefault="00086F36" w:rsidP="00B23BEF">
            <w:pPr>
              <w:rPr>
                <w:sz w:val="20"/>
                <w:vertAlign w:val="superscript"/>
              </w:rPr>
            </w:pPr>
            <w:r w:rsidRPr="00017D30">
              <w:rPr>
                <w:sz w:val="20"/>
              </w:rPr>
              <w:t>- z</w:t>
            </w:r>
            <w:r>
              <w:rPr>
                <w:sz w:val="20"/>
              </w:rPr>
              <w:t> </w:t>
            </w:r>
            <w:r w:rsidRPr="00017D30">
              <w:rPr>
                <w:sz w:val="20"/>
              </w:rPr>
              <w:t>toho</w:t>
            </w:r>
            <w:r>
              <w:rPr>
                <w:sz w:val="20"/>
              </w:rPr>
              <w:t xml:space="preserve"> máslo ve spotřebitelském balení</w:t>
            </w:r>
          </w:p>
        </w:tc>
        <w:tc>
          <w:tcPr>
            <w:tcW w:w="861" w:type="dxa"/>
            <w:shd w:val="clear" w:color="auto" w:fill="auto"/>
          </w:tcPr>
          <w:p w:rsidR="00086F36" w:rsidRPr="00017D30" w:rsidRDefault="00086F36" w:rsidP="00B23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9 766,60</w:t>
            </w:r>
          </w:p>
        </w:tc>
        <w:tc>
          <w:tcPr>
            <w:tcW w:w="1696" w:type="dxa"/>
            <w:shd w:val="clear" w:color="auto" w:fill="auto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10 499,50</w:t>
            </w:r>
          </w:p>
        </w:tc>
        <w:tc>
          <w:tcPr>
            <w:tcW w:w="1413" w:type="dxa"/>
            <w:shd w:val="clear" w:color="auto" w:fill="auto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732,90</w:t>
            </w:r>
          </w:p>
        </w:tc>
        <w:tc>
          <w:tcPr>
            <w:tcW w:w="1537" w:type="dxa"/>
            <w:shd w:val="clear" w:color="auto" w:fill="auto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107,50</w:t>
            </w:r>
          </w:p>
        </w:tc>
      </w:tr>
      <w:tr w:rsidR="00086F36" w:rsidRPr="00CF7A31" w:rsidTr="00046065">
        <w:trPr>
          <w:trHeight w:val="264"/>
        </w:trPr>
        <w:tc>
          <w:tcPr>
            <w:tcW w:w="3500" w:type="dxa"/>
            <w:shd w:val="clear" w:color="auto" w:fill="auto"/>
          </w:tcPr>
          <w:p w:rsidR="00086F36" w:rsidRPr="00B0180D" w:rsidRDefault="00086F36" w:rsidP="00B23BEF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            </w:t>
            </w:r>
            <w:r w:rsidRPr="00017D3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tradiční </w:t>
            </w:r>
            <w:r w:rsidRPr="00017D30">
              <w:rPr>
                <w:sz w:val="20"/>
              </w:rPr>
              <w:t>pomazánkové</w:t>
            </w:r>
            <w:r>
              <w:rPr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auto"/>
          </w:tcPr>
          <w:p w:rsidR="00086F36" w:rsidRPr="00017D30" w:rsidRDefault="00086F36" w:rsidP="00B23BEF">
            <w:pPr>
              <w:jc w:val="center"/>
              <w:rPr>
                <w:sz w:val="20"/>
              </w:rPr>
            </w:pPr>
            <w:r w:rsidRPr="00017D30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3 322,00</w:t>
            </w:r>
          </w:p>
        </w:tc>
        <w:tc>
          <w:tcPr>
            <w:tcW w:w="1696" w:type="dxa"/>
            <w:shd w:val="clear" w:color="auto" w:fill="auto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3 620,20</w:t>
            </w:r>
          </w:p>
        </w:tc>
        <w:tc>
          <w:tcPr>
            <w:tcW w:w="1413" w:type="dxa"/>
            <w:shd w:val="clear" w:color="auto" w:fill="auto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298,20</w:t>
            </w:r>
          </w:p>
        </w:tc>
        <w:tc>
          <w:tcPr>
            <w:tcW w:w="1537" w:type="dxa"/>
            <w:shd w:val="clear" w:color="auto" w:fill="auto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108,98</w:t>
            </w:r>
          </w:p>
        </w:tc>
      </w:tr>
      <w:tr w:rsidR="00086F36" w:rsidRPr="002A5B7D" w:rsidTr="00A814B3">
        <w:trPr>
          <w:trHeight w:val="280"/>
        </w:trPr>
        <w:tc>
          <w:tcPr>
            <w:tcW w:w="3500" w:type="dxa"/>
            <w:shd w:val="clear" w:color="auto" w:fill="EAF1DD" w:themeFill="accent3" w:themeFillTint="33"/>
          </w:tcPr>
          <w:p w:rsidR="00086F36" w:rsidRPr="002A5B7D" w:rsidRDefault="00086F36" w:rsidP="00B55AF2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Tvarohy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86F36" w:rsidRPr="002A5B7D" w:rsidRDefault="00086F36" w:rsidP="00B55AF2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86F36" w:rsidRDefault="00086F3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16 857,50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18 487,30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1 629,80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109,67</w:t>
            </w:r>
          </w:p>
        </w:tc>
      </w:tr>
      <w:tr w:rsidR="00086F36" w:rsidRPr="002A5B7D" w:rsidTr="00A814B3">
        <w:trPr>
          <w:trHeight w:val="264"/>
        </w:trPr>
        <w:tc>
          <w:tcPr>
            <w:tcW w:w="3500" w:type="dxa"/>
            <w:shd w:val="clear" w:color="auto" w:fill="EAF1DD" w:themeFill="accent3" w:themeFillTint="33"/>
          </w:tcPr>
          <w:p w:rsidR="00086F36" w:rsidRPr="002A5B7D" w:rsidRDefault="00086F36" w:rsidP="00B55AF2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Sýry celkem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86F36" w:rsidRPr="002A5B7D" w:rsidRDefault="00086F36" w:rsidP="00B55AF2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86F36" w:rsidRDefault="00086F3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51 783,40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49 741,40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-2 042,00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96,06</w:t>
            </w:r>
          </w:p>
        </w:tc>
      </w:tr>
      <w:tr w:rsidR="00086F36" w:rsidRPr="00CF7A31" w:rsidTr="00B23BEF">
        <w:trPr>
          <w:trHeight w:val="264"/>
        </w:trPr>
        <w:tc>
          <w:tcPr>
            <w:tcW w:w="3500" w:type="dxa"/>
            <w:shd w:val="clear" w:color="auto" w:fill="auto"/>
          </w:tcPr>
          <w:p w:rsidR="00086F36" w:rsidRPr="00CF7A31" w:rsidRDefault="00086F36" w:rsidP="00B55AF2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61" w:type="dxa"/>
            <w:shd w:val="clear" w:color="auto" w:fill="auto"/>
          </w:tcPr>
          <w:p w:rsidR="00086F36" w:rsidRPr="00CF7A31" w:rsidRDefault="00086F36" w:rsidP="00B55AF2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43 145,10</w:t>
            </w:r>
          </w:p>
        </w:tc>
        <w:tc>
          <w:tcPr>
            <w:tcW w:w="1696" w:type="dxa"/>
            <w:shd w:val="clear" w:color="auto" w:fill="auto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41 529,80</w:t>
            </w:r>
          </w:p>
        </w:tc>
        <w:tc>
          <w:tcPr>
            <w:tcW w:w="1413" w:type="dxa"/>
            <w:shd w:val="clear" w:color="auto" w:fill="auto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-1 615,30</w:t>
            </w:r>
          </w:p>
        </w:tc>
        <w:tc>
          <w:tcPr>
            <w:tcW w:w="1537" w:type="dxa"/>
            <w:shd w:val="clear" w:color="auto" w:fill="auto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96,26</w:t>
            </w:r>
          </w:p>
        </w:tc>
      </w:tr>
      <w:tr w:rsidR="00086F36" w:rsidRPr="00CF7A31" w:rsidTr="00B23BEF">
        <w:trPr>
          <w:trHeight w:val="280"/>
        </w:trPr>
        <w:tc>
          <w:tcPr>
            <w:tcW w:w="3500" w:type="dxa"/>
            <w:shd w:val="clear" w:color="auto" w:fill="auto"/>
          </w:tcPr>
          <w:p w:rsidR="00086F36" w:rsidRPr="00CF7A31" w:rsidRDefault="00086F36" w:rsidP="00B55AF2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61" w:type="dxa"/>
            <w:shd w:val="clear" w:color="auto" w:fill="auto"/>
          </w:tcPr>
          <w:p w:rsidR="00086F36" w:rsidRPr="00CF7A31" w:rsidRDefault="00086F36" w:rsidP="00B55AF2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8 638,30</w:t>
            </w:r>
          </w:p>
        </w:tc>
        <w:tc>
          <w:tcPr>
            <w:tcW w:w="1696" w:type="dxa"/>
            <w:shd w:val="clear" w:color="auto" w:fill="auto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8 211,60</w:t>
            </w:r>
          </w:p>
        </w:tc>
        <w:tc>
          <w:tcPr>
            <w:tcW w:w="1413" w:type="dxa"/>
            <w:shd w:val="clear" w:color="auto" w:fill="auto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-426,70</w:t>
            </w:r>
          </w:p>
        </w:tc>
        <w:tc>
          <w:tcPr>
            <w:tcW w:w="1537" w:type="dxa"/>
            <w:shd w:val="clear" w:color="auto" w:fill="auto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95,06</w:t>
            </w:r>
          </w:p>
        </w:tc>
      </w:tr>
      <w:tr w:rsidR="00086F36" w:rsidRPr="002A5B7D" w:rsidTr="00A814B3">
        <w:trPr>
          <w:trHeight w:val="264"/>
        </w:trPr>
        <w:tc>
          <w:tcPr>
            <w:tcW w:w="3500" w:type="dxa"/>
            <w:shd w:val="clear" w:color="auto" w:fill="EAF1DD" w:themeFill="accent3" w:themeFillTint="33"/>
          </w:tcPr>
          <w:p w:rsidR="00086F36" w:rsidRPr="002A5B7D" w:rsidRDefault="00086F36" w:rsidP="00B55AF2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Smetanové krémy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86F36" w:rsidRPr="002A5B7D" w:rsidRDefault="00086F36" w:rsidP="00B55AF2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86F36" w:rsidRDefault="00086F36" w:rsidP="008B479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5 912,</w:t>
            </w:r>
            <w:r w:rsidR="008B4798">
              <w:rPr>
                <w:b/>
                <w:bCs/>
                <w:color w:val="000000"/>
                <w:sz w:val="20"/>
              </w:rPr>
              <w:t>6</w:t>
            </w: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5 548,30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86F36" w:rsidRPr="00086F36" w:rsidRDefault="00086F36" w:rsidP="008B4798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-364,</w:t>
            </w:r>
            <w:r w:rsidR="008B4798">
              <w:rPr>
                <w:b/>
                <w:color w:val="000000"/>
                <w:sz w:val="20"/>
              </w:rPr>
              <w:t>3</w:t>
            </w:r>
            <w:r w:rsidRPr="00086F36"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93,84</w:t>
            </w:r>
          </w:p>
        </w:tc>
      </w:tr>
      <w:tr w:rsidR="00086F36" w:rsidRPr="002A5B7D" w:rsidTr="00A814B3">
        <w:trPr>
          <w:trHeight w:val="280"/>
        </w:trPr>
        <w:tc>
          <w:tcPr>
            <w:tcW w:w="3500" w:type="dxa"/>
            <w:shd w:val="clear" w:color="auto" w:fill="EAF1DD" w:themeFill="accent3" w:themeFillTint="33"/>
          </w:tcPr>
          <w:p w:rsidR="00086F36" w:rsidRPr="002A5B7D" w:rsidRDefault="00086F36" w:rsidP="00B55AF2">
            <w:pPr>
              <w:rPr>
                <w:b/>
                <w:sz w:val="20"/>
                <w:vertAlign w:val="superscript"/>
              </w:rPr>
            </w:pPr>
            <w:r w:rsidRPr="002A5B7D">
              <w:rPr>
                <w:b/>
                <w:sz w:val="20"/>
              </w:rPr>
              <w:t xml:space="preserve">Tvarohové dezerty </w:t>
            </w:r>
            <w:r w:rsidRPr="002A5B7D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86F36" w:rsidRPr="002A5B7D" w:rsidRDefault="00086F36" w:rsidP="00B55AF2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86F36" w:rsidRDefault="00086F3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2 153,40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2 534,40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381,00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117,69</w:t>
            </w:r>
          </w:p>
        </w:tc>
      </w:tr>
      <w:tr w:rsidR="00086F36" w:rsidRPr="002A5B7D" w:rsidTr="00A814B3">
        <w:trPr>
          <w:trHeight w:val="264"/>
        </w:trPr>
        <w:tc>
          <w:tcPr>
            <w:tcW w:w="3500" w:type="dxa"/>
            <w:shd w:val="clear" w:color="auto" w:fill="EAF1DD" w:themeFill="accent3" w:themeFillTint="33"/>
          </w:tcPr>
          <w:p w:rsidR="00086F36" w:rsidRPr="002A5B7D" w:rsidRDefault="00086F36" w:rsidP="00B55AF2">
            <w:pPr>
              <w:rPr>
                <w:b/>
                <w:sz w:val="20"/>
                <w:vertAlign w:val="superscript"/>
              </w:rPr>
            </w:pPr>
            <w:r w:rsidRPr="002A5B7D">
              <w:rPr>
                <w:b/>
                <w:sz w:val="20"/>
              </w:rPr>
              <w:t xml:space="preserve">Mléčné dezerty (pudinky apod.) </w:t>
            </w:r>
            <w:r w:rsidRPr="002A5B7D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86F36" w:rsidRPr="002A5B7D" w:rsidRDefault="00086F36" w:rsidP="00B55AF2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86F36" w:rsidRDefault="00086F3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5 126,10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4 945,90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-180,20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96,48</w:t>
            </w:r>
          </w:p>
        </w:tc>
      </w:tr>
      <w:tr w:rsidR="00086F36" w:rsidRPr="002A5B7D" w:rsidTr="00A814B3">
        <w:trPr>
          <w:trHeight w:val="264"/>
        </w:trPr>
        <w:tc>
          <w:tcPr>
            <w:tcW w:w="3500" w:type="dxa"/>
            <w:shd w:val="clear" w:color="auto" w:fill="EAF1DD" w:themeFill="accent3" w:themeFillTint="33"/>
          </w:tcPr>
          <w:p w:rsidR="00086F36" w:rsidRPr="002A5B7D" w:rsidRDefault="00086F36" w:rsidP="00B55AF2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86F36" w:rsidRPr="002A5B7D" w:rsidRDefault="00086F36" w:rsidP="00B55AF2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86F36" w:rsidRDefault="00086F3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16 412,20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20 960,60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4 548,40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127,71</w:t>
            </w:r>
          </w:p>
        </w:tc>
      </w:tr>
      <w:tr w:rsidR="00086F36" w:rsidRPr="00CF7A31" w:rsidTr="00B23BEF">
        <w:trPr>
          <w:trHeight w:val="280"/>
        </w:trPr>
        <w:tc>
          <w:tcPr>
            <w:tcW w:w="3500" w:type="dxa"/>
            <w:shd w:val="clear" w:color="auto" w:fill="auto"/>
          </w:tcPr>
          <w:p w:rsidR="00086F36" w:rsidRPr="00CF7A31" w:rsidRDefault="00086F36" w:rsidP="00B55AF2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</w:t>
            </w:r>
            <w:r>
              <w:rPr>
                <w:sz w:val="20"/>
              </w:rPr>
              <w:t>tučněné</w:t>
            </w:r>
            <w:r w:rsidRPr="00CF7A31">
              <w:rPr>
                <w:sz w:val="20"/>
              </w:rPr>
              <w:t xml:space="preserve"> mléko</w:t>
            </w:r>
          </w:p>
        </w:tc>
        <w:tc>
          <w:tcPr>
            <w:tcW w:w="861" w:type="dxa"/>
            <w:shd w:val="clear" w:color="auto" w:fill="auto"/>
          </w:tcPr>
          <w:p w:rsidR="00086F36" w:rsidRPr="00CF7A31" w:rsidRDefault="00086F36" w:rsidP="00B55AF2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8 963,80</w:t>
            </w:r>
          </w:p>
        </w:tc>
        <w:tc>
          <w:tcPr>
            <w:tcW w:w="1696" w:type="dxa"/>
            <w:shd w:val="clear" w:color="auto" w:fill="auto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13 850,70</w:t>
            </w:r>
          </w:p>
        </w:tc>
        <w:tc>
          <w:tcPr>
            <w:tcW w:w="1413" w:type="dxa"/>
            <w:shd w:val="clear" w:color="auto" w:fill="auto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4 886,90</w:t>
            </w:r>
          </w:p>
        </w:tc>
        <w:tc>
          <w:tcPr>
            <w:tcW w:w="1537" w:type="dxa"/>
            <w:shd w:val="clear" w:color="auto" w:fill="auto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154,52</w:t>
            </w:r>
          </w:p>
        </w:tc>
      </w:tr>
      <w:tr w:rsidR="00086F36" w:rsidRPr="00CF7A31" w:rsidTr="00B23BEF">
        <w:trPr>
          <w:trHeight w:val="264"/>
        </w:trPr>
        <w:tc>
          <w:tcPr>
            <w:tcW w:w="3500" w:type="dxa"/>
            <w:shd w:val="clear" w:color="auto" w:fill="auto"/>
          </w:tcPr>
          <w:p w:rsidR="00086F36" w:rsidRPr="00CF7A31" w:rsidRDefault="00086F36" w:rsidP="00B55AF2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61" w:type="dxa"/>
            <w:shd w:val="clear" w:color="auto" w:fill="auto"/>
          </w:tcPr>
          <w:p w:rsidR="00086F36" w:rsidRPr="00CF7A31" w:rsidRDefault="00086F36" w:rsidP="00B55AF2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7 448,40</w:t>
            </w:r>
          </w:p>
        </w:tc>
        <w:tc>
          <w:tcPr>
            <w:tcW w:w="1696" w:type="dxa"/>
            <w:shd w:val="clear" w:color="auto" w:fill="auto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7 109,90</w:t>
            </w:r>
          </w:p>
        </w:tc>
        <w:tc>
          <w:tcPr>
            <w:tcW w:w="1413" w:type="dxa"/>
            <w:shd w:val="clear" w:color="auto" w:fill="auto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-338,50</w:t>
            </w:r>
          </w:p>
        </w:tc>
        <w:tc>
          <w:tcPr>
            <w:tcW w:w="1537" w:type="dxa"/>
            <w:shd w:val="clear" w:color="auto" w:fill="auto"/>
          </w:tcPr>
          <w:p w:rsidR="00086F36" w:rsidRDefault="00086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95,46</w:t>
            </w:r>
          </w:p>
        </w:tc>
      </w:tr>
      <w:tr w:rsidR="00086F36" w:rsidRPr="002A5B7D" w:rsidTr="00A814B3">
        <w:trPr>
          <w:trHeight w:val="264"/>
        </w:trPr>
        <w:tc>
          <w:tcPr>
            <w:tcW w:w="3500" w:type="dxa"/>
            <w:shd w:val="clear" w:color="auto" w:fill="EAF1DD" w:themeFill="accent3" w:themeFillTint="33"/>
          </w:tcPr>
          <w:p w:rsidR="00086F36" w:rsidRPr="002A5B7D" w:rsidRDefault="00086F36" w:rsidP="00B55AF2">
            <w:pPr>
              <w:rPr>
                <w:b/>
                <w:sz w:val="20"/>
                <w:vertAlign w:val="superscript"/>
              </w:rPr>
            </w:pPr>
            <w:r w:rsidRPr="002A5B7D">
              <w:rPr>
                <w:b/>
                <w:sz w:val="20"/>
              </w:rPr>
              <w:t xml:space="preserve">Kondenzované mléko </w:t>
            </w:r>
            <w:r w:rsidRPr="002A5B7D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86F36" w:rsidRPr="002A5B7D" w:rsidRDefault="00086F36" w:rsidP="00B55AF2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86F36" w:rsidRDefault="00086F3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5 614,60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4 230,00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-1 384,60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75,34</w:t>
            </w:r>
          </w:p>
        </w:tc>
      </w:tr>
      <w:tr w:rsidR="00086F36" w:rsidRPr="002A5B7D" w:rsidTr="00A814B3">
        <w:trPr>
          <w:trHeight w:val="264"/>
        </w:trPr>
        <w:tc>
          <w:tcPr>
            <w:tcW w:w="3500" w:type="dxa"/>
            <w:shd w:val="clear" w:color="auto" w:fill="EAF1DD" w:themeFill="accent3" w:themeFillTint="33"/>
          </w:tcPr>
          <w:p w:rsidR="00086F36" w:rsidRPr="002A5B7D" w:rsidRDefault="00086F36" w:rsidP="00B55AF2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Syrovátka sušená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86F36" w:rsidRPr="002A5B7D" w:rsidRDefault="00086F36" w:rsidP="00B55AF2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86F36" w:rsidRDefault="00086F3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15 954,40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17 222,10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1 267,70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107,95</w:t>
            </w:r>
          </w:p>
        </w:tc>
      </w:tr>
      <w:tr w:rsidR="00086F36" w:rsidRPr="002A5B7D" w:rsidTr="00A814B3">
        <w:trPr>
          <w:trHeight w:val="264"/>
        </w:trPr>
        <w:tc>
          <w:tcPr>
            <w:tcW w:w="3500" w:type="dxa"/>
            <w:shd w:val="clear" w:color="auto" w:fill="EAF1DD" w:themeFill="accent3" w:themeFillTint="33"/>
          </w:tcPr>
          <w:p w:rsidR="00086F36" w:rsidRPr="002A5B7D" w:rsidRDefault="00086F36" w:rsidP="00B55AF2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Syrovátka zahuštěná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86F36" w:rsidRPr="002A5B7D" w:rsidRDefault="00086F36" w:rsidP="00B55AF2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86F36" w:rsidRDefault="00086F3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19 403,80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24 821,30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5 417,50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86F36" w:rsidRPr="00086F36" w:rsidRDefault="00086F36">
            <w:pPr>
              <w:jc w:val="right"/>
              <w:rPr>
                <w:b/>
                <w:color w:val="000000"/>
                <w:sz w:val="20"/>
              </w:rPr>
            </w:pPr>
            <w:r w:rsidRPr="00086F36">
              <w:rPr>
                <w:b/>
                <w:color w:val="000000"/>
                <w:sz w:val="20"/>
              </w:rPr>
              <w:t>127,92</w:t>
            </w:r>
          </w:p>
        </w:tc>
      </w:tr>
    </w:tbl>
    <w:p w:rsidR="00D17C7E" w:rsidRDefault="00B23BEF" w:rsidP="00B23BEF">
      <w:pPr>
        <w:ind w:left="-142" w:firstLine="14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Pozn.:*) odborný odhad, </w:t>
      </w:r>
      <w:r w:rsidRPr="00972FE2">
        <w:rPr>
          <w:i/>
          <w:sz w:val="18"/>
          <w:szCs w:val="18"/>
        </w:rPr>
        <w:t>Pramen: Rezortní statistika Mlék (MZe 6-12)</w:t>
      </w:r>
      <w:r>
        <w:rPr>
          <w:i/>
          <w:sz w:val="18"/>
          <w:szCs w:val="18"/>
        </w:rPr>
        <w:t xml:space="preserve">, </w:t>
      </w:r>
    </w:p>
    <w:p w:rsidR="00B23BEF" w:rsidRDefault="00D17C7E" w:rsidP="00B23BEF">
      <w:pPr>
        <w:ind w:left="-142" w:firstLine="142"/>
        <w:rPr>
          <w:i/>
          <w:sz w:val="18"/>
          <w:szCs w:val="18"/>
        </w:rPr>
      </w:pPr>
      <w:r w:rsidRPr="00D17C7E">
        <w:rPr>
          <w:i/>
          <w:noProof/>
          <w:sz w:val="18"/>
          <w:szCs w:val="18"/>
        </w:rPr>
        <w:drawing>
          <wp:inline distT="0" distB="0" distL="0" distR="0">
            <wp:extent cx="6666422" cy="3260785"/>
            <wp:effectExtent l="19050" t="0" r="20128" b="0"/>
            <wp:docPr id="4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A5A9D" w:rsidRDefault="00CA5A9D" w:rsidP="000C1EE2">
      <w:pPr>
        <w:ind w:left="-142" w:firstLine="142"/>
        <w:rPr>
          <w:i/>
          <w:sz w:val="18"/>
          <w:szCs w:val="18"/>
        </w:rPr>
      </w:pPr>
    </w:p>
    <w:tbl>
      <w:tblPr>
        <w:tblW w:w="10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C2D69B" w:themeFill="accent3" w:themeFillTint="99"/>
        <w:tblLayout w:type="fixed"/>
        <w:tblCellMar>
          <w:left w:w="70" w:type="dxa"/>
          <w:right w:w="70" w:type="dxa"/>
        </w:tblCellMar>
        <w:tblLook w:val="0000"/>
      </w:tblPr>
      <w:tblGrid>
        <w:gridCol w:w="10843"/>
      </w:tblGrid>
      <w:tr w:rsidR="00CD7824" w:rsidRPr="00B43AF0" w:rsidTr="00A814B3">
        <w:trPr>
          <w:trHeight w:val="255"/>
        </w:trPr>
        <w:tc>
          <w:tcPr>
            <w:tcW w:w="10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CD7824" w:rsidRPr="00B43AF0" w:rsidRDefault="00CD7824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lastRenderedPageBreak/>
              <w:t>Ceny</w:t>
            </w:r>
          </w:p>
        </w:tc>
      </w:tr>
    </w:tbl>
    <w:p w:rsidR="00727515" w:rsidRDefault="00727515" w:rsidP="00007195">
      <w:pPr>
        <w:outlineLvl w:val="0"/>
        <w:rPr>
          <w:b/>
        </w:rPr>
      </w:pPr>
    </w:p>
    <w:p w:rsidR="00CD7824" w:rsidRPr="00B43AF0" w:rsidRDefault="00CD7824" w:rsidP="00007195">
      <w:pPr>
        <w:outlineLvl w:val="0"/>
        <w:rPr>
          <w:b/>
        </w:rPr>
      </w:pPr>
      <w:r w:rsidRPr="00B43AF0">
        <w:rPr>
          <w:b/>
        </w:rPr>
        <w:t xml:space="preserve">Ceny zemědělských výrobců  (CZV) mléka kravského </w:t>
      </w:r>
      <w:r w:rsidR="00B30D53">
        <w:rPr>
          <w:b/>
        </w:rPr>
        <w:t>celkem</w:t>
      </w:r>
      <w:r w:rsidRPr="00B43AF0">
        <w:rPr>
          <w:b/>
        </w:rPr>
        <w:t xml:space="preserve"> v Kč/l</w:t>
      </w:r>
    </w:p>
    <w:tbl>
      <w:tblPr>
        <w:tblW w:w="10736" w:type="dxa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71"/>
        <w:gridCol w:w="774"/>
        <w:gridCol w:w="774"/>
        <w:gridCol w:w="774"/>
        <w:gridCol w:w="774"/>
        <w:gridCol w:w="775"/>
        <w:gridCol w:w="774"/>
        <w:gridCol w:w="774"/>
        <w:gridCol w:w="774"/>
        <w:gridCol w:w="775"/>
        <w:gridCol w:w="774"/>
        <w:gridCol w:w="774"/>
        <w:gridCol w:w="774"/>
        <w:gridCol w:w="775"/>
      </w:tblGrid>
      <w:tr w:rsidR="00CD7824" w:rsidRPr="009A018E" w:rsidTr="00A814B3">
        <w:trPr>
          <w:cantSplit/>
          <w:trHeight w:val="262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75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75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75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B30D53" w:rsidRPr="009A018E" w:rsidTr="00E24533">
        <w:trPr>
          <w:cantSplit/>
          <w:trHeight w:val="262"/>
        </w:trPr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9,98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9,19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8,43</w:t>
            </w:r>
          </w:p>
        </w:tc>
      </w:tr>
      <w:tr w:rsidR="00B30D53" w:rsidRPr="009A018E" w:rsidTr="00E24533">
        <w:trPr>
          <w:cantSplit/>
          <w:trHeight w:val="262"/>
        </w:trPr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6,14</w:t>
            </w:r>
          </w:p>
        </w:tc>
      </w:tr>
      <w:tr w:rsidR="00B30D53" w:rsidRPr="009A018E" w:rsidTr="00E24533">
        <w:trPr>
          <w:cantSplit/>
          <w:trHeight w:val="262"/>
        </w:trPr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7,43</w:t>
            </w:r>
          </w:p>
        </w:tc>
      </w:tr>
      <w:tr w:rsidR="00B30D53" w:rsidRPr="009A018E" w:rsidTr="00E24533">
        <w:trPr>
          <w:cantSplit/>
          <w:trHeight w:val="262"/>
        </w:trPr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8,26</w:t>
            </w:r>
          </w:p>
        </w:tc>
      </w:tr>
      <w:tr w:rsidR="00B30D53" w:rsidRPr="009A018E" w:rsidTr="00E24533">
        <w:trPr>
          <w:cantSplit/>
          <w:trHeight w:val="262"/>
        </w:trPr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Default="00B30D53" w:rsidP="009A018E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EF716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9F57F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125F4A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6A443A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6A443A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7,67</w:t>
            </w:r>
          </w:p>
        </w:tc>
      </w:tr>
      <w:tr w:rsidR="00A657ED" w:rsidRPr="009A018E" w:rsidTr="00E24533">
        <w:trPr>
          <w:cantSplit/>
          <w:trHeight w:val="262"/>
        </w:trPr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7ED" w:rsidRDefault="00A657ED" w:rsidP="009A018E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7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6A2A8B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7,93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11419E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7804CC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2853D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4C688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013315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0C1EE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EE63A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6464CE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3169B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BA6BC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9,28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5F2144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657ED" w:rsidRDefault="005F2144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8,51</w:t>
            </w:r>
          </w:p>
        </w:tc>
      </w:tr>
      <w:tr w:rsidR="00C00BB4" w:rsidRPr="009A018E" w:rsidTr="00E24533">
        <w:trPr>
          <w:cantSplit/>
          <w:trHeight w:val="262"/>
        </w:trPr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0BB4" w:rsidRDefault="00C00BB4" w:rsidP="009A018E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7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DC0B65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211567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ED5F40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B23BE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292E15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D17C7E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9,51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00BB4" w:rsidRDefault="00C00BB4" w:rsidP="00AF5046">
            <w:pPr>
              <w:jc w:val="center"/>
              <w:rPr>
                <w:b/>
                <w:sz w:val="20"/>
              </w:rPr>
            </w:pPr>
          </w:p>
        </w:tc>
      </w:tr>
    </w:tbl>
    <w:p w:rsidR="00CD7824" w:rsidRDefault="00CD7824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(MZe) 6-12</w:t>
      </w:r>
      <w:r w:rsidR="006B06F4">
        <w:rPr>
          <w:i/>
          <w:sz w:val="18"/>
          <w:szCs w:val="18"/>
        </w:rPr>
        <w:t xml:space="preserve">; </w:t>
      </w:r>
      <w:r w:rsidRPr="00B43AF0">
        <w:rPr>
          <w:i/>
          <w:sz w:val="18"/>
          <w:szCs w:val="18"/>
        </w:rPr>
        <w:t>ukazatel průměr roku je počítán jako aritmetický průměr</w:t>
      </w:r>
    </w:p>
    <w:p w:rsidR="003A0CBB" w:rsidRPr="00B43AF0" w:rsidRDefault="003A0CBB" w:rsidP="009A018E">
      <w:pPr>
        <w:rPr>
          <w:i/>
          <w:sz w:val="18"/>
          <w:szCs w:val="18"/>
        </w:rPr>
      </w:pPr>
    </w:p>
    <w:p w:rsidR="00B30D53" w:rsidRDefault="003A0CBB" w:rsidP="009A018E">
      <w:pPr>
        <w:rPr>
          <w:b/>
        </w:rPr>
      </w:pPr>
      <w:r>
        <w:rPr>
          <w:b/>
        </w:rPr>
        <w:t>Vývoj cen zemědělských (CZV) a průmyslových (CPV) výrobců v Kč/l (kg)</w:t>
      </w:r>
    </w:p>
    <w:tbl>
      <w:tblPr>
        <w:tblStyle w:val="Mkatabulky"/>
        <w:tblW w:w="0" w:type="auto"/>
        <w:tblLayout w:type="fixed"/>
        <w:tblLook w:val="04A0"/>
      </w:tblPr>
      <w:tblGrid>
        <w:gridCol w:w="2943"/>
        <w:gridCol w:w="993"/>
        <w:gridCol w:w="992"/>
        <w:gridCol w:w="992"/>
        <w:gridCol w:w="2268"/>
        <w:gridCol w:w="2610"/>
      </w:tblGrid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3A0CBB" w:rsidP="009A018E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:rsidR="003A0CBB" w:rsidRDefault="0053297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Červen</w:t>
            </w:r>
          </w:p>
          <w:p w:rsidR="003A0CBB" w:rsidRDefault="003A0CBB" w:rsidP="00C00B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  <w:r w:rsidR="00C00BB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3A0CBB" w:rsidRDefault="00211567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</w:p>
          <w:p w:rsidR="003A0CBB" w:rsidRDefault="003A0CBB" w:rsidP="002115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  <w:r w:rsidR="0021156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3A0CBB" w:rsidRDefault="0053297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Červen</w:t>
            </w:r>
          </w:p>
          <w:p w:rsidR="003A0CBB" w:rsidRDefault="003A0CBB" w:rsidP="00C00B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  <w:r w:rsidR="00C00BB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3A0CBB" w:rsidRPr="00814383" w:rsidRDefault="003A0CBB" w:rsidP="003A0CBB">
            <w:pPr>
              <w:jc w:val="center"/>
              <w:rPr>
                <w:b/>
                <w:sz w:val="16"/>
                <w:szCs w:val="16"/>
              </w:rPr>
            </w:pPr>
            <w:r w:rsidRPr="00814383">
              <w:rPr>
                <w:b/>
                <w:sz w:val="16"/>
                <w:szCs w:val="16"/>
              </w:rPr>
              <w:t>Index</w:t>
            </w:r>
          </w:p>
          <w:p w:rsidR="003A0CBB" w:rsidRPr="00814383" w:rsidRDefault="0053297B" w:rsidP="0053297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Červen</w:t>
            </w:r>
            <w:r w:rsidR="00C00BB4">
              <w:rPr>
                <w:b/>
                <w:sz w:val="16"/>
                <w:szCs w:val="16"/>
              </w:rPr>
              <w:t xml:space="preserve"> 2014/</w:t>
            </w:r>
            <w:r>
              <w:rPr>
                <w:b/>
                <w:sz w:val="18"/>
                <w:szCs w:val="18"/>
              </w:rPr>
              <w:t xml:space="preserve">červen </w:t>
            </w:r>
            <w:r w:rsidR="00C00BB4">
              <w:rPr>
                <w:b/>
                <w:sz w:val="16"/>
                <w:szCs w:val="16"/>
              </w:rPr>
              <w:t>2013</w:t>
            </w:r>
          </w:p>
        </w:tc>
        <w:tc>
          <w:tcPr>
            <w:tcW w:w="2610" w:type="dxa"/>
            <w:shd w:val="clear" w:color="auto" w:fill="DAEEF3" w:themeFill="accent5" w:themeFillTint="33"/>
          </w:tcPr>
          <w:p w:rsidR="003A0CBB" w:rsidRPr="00814383" w:rsidRDefault="003A0CBB" w:rsidP="003A0CBB">
            <w:pPr>
              <w:jc w:val="center"/>
              <w:rPr>
                <w:b/>
                <w:sz w:val="16"/>
                <w:szCs w:val="16"/>
              </w:rPr>
            </w:pPr>
            <w:r w:rsidRPr="00814383">
              <w:rPr>
                <w:b/>
                <w:sz w:val="16"/>
                <w:szCs w:val="16"/>
              </w:rPr>
              <w:t>Index</w:t>
            </w:r>
          </w:p>
          <w:p w:rsidR="003A0CBB" w:rsidRPr="00814383" w:rsidRDefault="0053297B" w:rsidP="00292E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Červen</w:t>
            </w:r>
            <w:r w:rsidR="00C00BB4">
              <w:rPr>
                <w:b/>
                <w:sz w:val="16"/>
                <w:szCs w:val="16"/>
              </w:rPr>
              <w:t xml:space="preserve"> 2014/</w:t>
            </w:r>
            <w:r w:rsidR="00292E15">
              <w:rPr>
                <w:b/>
                <w:sz w:val="16"/>
                <w:szCs w:val="16"/>
              </w:rPr>
              <w:t>leden</w:t>
            </w:r>
            <w:r w:rsidR="00C00BB4">
              <w:rPr>
                <w:b/>
                <w:sz w:val="16"/>
                <w:szCs w:val="16"/>
              </w:rPr>
              <w:t xml:space="preserve"> 201</w:t>
            </w:r>
            <w:r w:rsidR="00211567">
              <w:rPr>
                <w:b/>
                <w:sz w:val="16"/>
                <w:szCs w:val="16"/>
              </w:rPr>
              <w:t>4</w:t>
            </w:r>
          </w:p>
        </w:tc>
      </w:tr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3A0CBB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CZV syrové kravské mléko celkem</w:t>
            </w:r>
          </w:p>
        </w:tc>
        <w:tc>
          <w:tcPr>
            <w:tcW w:w="993" w:type="dxa"/>
          </w:tcPr>
          <w:p w:rsidR="00F16603" w:rsidRPr="00191111" w:rsidRDefault="000B0B47" w:rsidP="00F166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8,29</w:t>
            </w:r>
          </w:p>
        </w:tc>
        <w:tc>
          <w:tcPr>
            <w:tcW w:w="992" w:type="dxa"/>
          </w:tcPr>
          <w:p w:rsidR="00F16603" w:rsidRPr="00191111" w:rsidRDefault="000B0B47" w:rsidP="00F166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9,66</w:t>
            </w:r>
          </w:p>
        </w:tc>
        <w:tc>
          <w:tcPr>
            <w:tcW w:w="992" w:type="dxa"/>
          </w:tcPr>
          <w:p w:rsidR="003A0CBB" w:rsidRPr="00191111" w:rsidRDefault="000B0B47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9,51</w:t>
            </w:r>
          </w:p>
        </w:tc>
        <w:tc>
          <w:tcPr>
            <w:tcW w:w="2268" w:type="dxa"/>
            <w:shd w:val="clear" w:color="auto" w:fill="auto"/>
          </w:tcPr>
          <w:p w:rsidR="003A0CBB" w:rsidRPr="00191111" w:rsidRDefault="000B0B47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114,7</w:t>
            </w:r>
          </w:p>
        </w:tc>
        <w:tc>
          <w:tcPr>
            <w:tcW w:w="2610" w:type="dxa"/>
            <w:shd w:val="clear" w:color="auto" w:fill="auto"/>
          </w:tcPr>
          <w:p w:rsidR="003A0CBB" w:rsidRPr="00191111" w:rsidRDefault="000B0B47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98,4</w:t>
            </w:r>
          </w:p>
        </w:tc>
      </w:tr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C833F1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mléko polotučné paster.</w:t>
            </w:r>
          </w:p>
        </w:tc>
        <w:tc>
          <w:tcPr>
            <w:tcW w:w="993" w:type="dxa"/>
          </w:tcPr>
          <w:p w:rsidR="00C833F1" w:rsidRPr="00191111" w:rsidRDefault="000B0B47" w:rsidP="00E26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12,59</w:t>
            </w:r>
          </w:p>
        </w:tc>
        <w:tc>
          <w:tcPr>
            <w:tcW w:w="992" w:type="dxa"/>
          </w:tcPr>
          <w:p w:rsidR="00C833F1" w:rsidRPr="00191111" w:rsidRDefault="000B0B47" w:rsidP="00F166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13,26</w:t>
            </w:r>
          </w:p>
        </w:tc>
        <w:tc>
          <w:tcPr>
            <w:tcW w:w="992" w:type="dxa"/>
          </w:tcPr>
          <w:p w:rsidR="00C833F1" w:rsidRPr="00191111" w:rsidRDefault="000B0B47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13,91</w:t>
            </w:r>
          </w:p>
        </w:tc>
        <w:tc>
          <w:tcPr>
            <w:tcW w:w="2268" w:type="dxa"/>
            <w:shd w:val="clear" w:color="auto" w:fill="auto"/>
          </w:tcPr>
          <w:p w:rsidR="00C833F1" w:rsidRPr="00191111" w:rsidRDefault="000B0B47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110,5</w:t>
            </w:r>
          </w:p>
        </w:tc>
        <w:tc>
          <w:tcPr>
            <w:tcW w:w="2610" w:type="dxa"/>
            <w:shd w:val="clear" w:color="auto" w:fill="auto"/>
          </w:tcPr>
          <w:p w:rsidR="00C833F1" w:rsidRPr="00191111" w:rsidRDefault="000B0B47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104,9</w:t>
            </w:r>
          </w:p>
        </w:tc>
      </w:tr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C833F1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mléko polotučné trvanlivé</w:t>
            </w:r>
          </w:p>
        </w:tc>
        <w:tc>
          <w:tcPr>
            <w:tcW w:w="993" w:type="dxa"/>
          </w:tcPr>
          <w:p w:rsidR="00C833F1" w:rsidRPr="00191111" w:rsidRDefault="000B0B47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10,99</w:t>
            </w:r>
          </w:p>
        </w:tc>
        <w:tc>
          <w:tcPr>
            <w:tcW w:w="992" w:type="dxa"/>
          </w:tcPr>
          <w:p w:rsidR="00C833F1" w:rsidRPr="00191111" w:rsidRDefault="000B0B47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12,74</w:t>
            </w:r>
          </w:p>
        </w:tc>
        <w:tc>
          <w:tcPr>
            <w:tcW w:w="992" w:type="dxa"/>
          </w:tcPr>
          <w:p w:rsidR="00C833F1" w:rsidRPr="00191111" w:rsidRDefault="000B0B47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11,34</w:t>
            </w:r>
          </w:p>
        </w:tc>
        <w:tc>
          <w:tcPr>
            <w:tcW w:w="2268" w:type="dxa"/>
            <w:shd w:val="clear" w:color="auto" w:fill="auto"/>
          </w:tcPr>
          <w:p w:rsidR="003A0CBB" w:rsidRPr="00191111" w:rsidRDefault="000B0B47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103,2</w:t>
            </w:r>
          </w:p>
        </w:tc>
        <w:tc>
          <w:tcPr>
            <w:tcW w:w="2610" w:type="dxa"/>
            <w:shd w:val="clear" w:color="auto" w:fill="auto"/>
          </w:tcPr>
          <w:p w:rsidR="003A0CBB" w:rsidRPr="00191111" w:rsidRDefault="000B0B47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89,0</w:t>
            </w:r>
          </w:p>
        </w:tc>
      </w:tr>
    </w:tbl>
    <w:p w:rsidR="005C00CE" w:rsidRDefault="00C833F1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(MZe) 6-12</w:t>
      </w:r>
      <w:r>
        <w:rPr>
          <w:i/>
          <w:sz w:val="18"/>
          <w:szCs w:val="18"/>
        </w:rPr>
        <w:t xml:space="preserve">, </w:t>
      </w:r>
    </w:p>
    <w:p w:rsidR="00191111" w:rsidRDefault="00191111" w:rsidP="009A018E">
      <w:pPr>
        <w:rPr>
          <w:b/>
        </w:rPr>
      </w:pPr>
    </w:p>
    <w:p w:rsidR="00C833F1" w:rsidRDefault="00C833F1" w:rsidP="00C833F1">
      <w:pPr>
        <w:rPr>
          <w:b/>
        </w:rPr>
      </w:pPr>
      <w:r>
        <w:rPr>
          <w:b/>
        </w:rPr>
        <w:t>Vývoj spotřebitelských cen (SC) Kč/l (kg)</w:t>
      </w:r>
    </w:p>
    <w:tbl>
      <w:tblPr>
        <w:tblStyle w:val="Mkatabulky"/>
        <w:tblW w:w="0" w:type="auto"/>
        <w:tblLayout w:type="fixed"/>
        <w:tblLook w:val="04A0"/>
      </w:tblPr>
      <w:tblGrid>
        <w:gridCol w:w="2943"/>
        <w:gridCol w:w="1134"/>
        <w:gridCol w:w="1134"/>
        <w:gridCol w:w="1134"/>
        <w:gridCol w:w="2127"/>
        <w:gridCol w:w="2326"/>
      </w:tblGrid>
      <w:tr w:rsidR="00C00BB4" w:rsidTr="00C00BB4">
        <w:tc>
          <w:tcPr>
            <w:tcW w:w="2943" w:type="dxa"/>
            <w:shd w:val="clear" w:color="auto" w:fill="EAF1DD" w:themeFill="accent3" w:themeFillTint="33"/>
          </w:tcPr>
          <w:p w:rsidR="00C00BB4" w:rsidRDefault="00C00BB4" w:rsidP="00415DD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C00BB4" w:rsidRDefault="0053297B" w:rsidP="00F51A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Červen</w:t>
            </w:r>
          </w:p>
          <w:p w:rsidR="00C00BB4" w:rsidRDefault="00C00BB4" w:rsidP="00F51A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00BB4" w:rsidRDefault="00211567" w:rsidP="00F51A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</w:p>
          <w:p w:rsidR="00C00BB4" w:rsidRDefault="00C00BB4" w:rsidP="002115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  <w:r w:rsidR="0021156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00BB4" w:rsidRDefault="0053297B" w:rsidP="00F51A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Červen</w:t>
            </w:r>
          </w:p>
          <w:p w:rsidR="00C00BB4" w:rsidRDefault="00C00BB4" w:rsidP="00F51A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:rsidR="00C00BB4" w:rsidRPr="00814383" w:rsidRDefault="00C00BB4" w:rsidP="00F51ACA">
            <w:pPr>
              <w:jc w:val="center"/>
              <w:rPr>
                <w:b/>
                <w:sz w:val="16"/>
                <w:szCs w:val="16"/>
              </w:rPr>
            </w:pPr>
            <w:r w:rsidRPr="00814383">
              <w:rPr>
                <w:b/>
                <w:sz w:val="16"/>
                <w:szCs w:val="16"/>
              </w:rPr>
              <w:t>Index</w:t>
            </w:r>
          </w:p>
          <w:p w:rsidR="00C00BB4" w:rsidRPr="00814383" w:rsidRDefault="0053297B" w:rsidP="0053297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Červen</w:t>
            </w:r>
            <w:r w:rsidR="00211567">
              <w:rPr>
                <w:b/>
                <w:sz w:val="16"/>
                <w:szCs w:val="16"/>
              </w:rPr>
              <w:t xml:space="preserve"> 2014/</w:t>
            </w:r>
            <w:r>
              <w:rPr>
                <w:b/>
                <w:sz w:val="18"/>
                <w:szCs w:val="18"/>
              </w:rPr>
              <w:t xml:space="preserve">červen </w:t>
            </w:r>
            <w:r w:rsidR="00211567">
              <w:rPr>
                <w:b/>
                <w:sz w:val="16"/>
                <w:szCs w:val="16"/>
              </w:rPr>
              <w:t>2013</w:t>
            </w:r>
          </w:p>
        </w:tc>
        <w:tc>
          <w:tcPr>
            <w:tcW w:w="2326" w:type="dxa"/>
            <w:shd w:val="clear" w:color="auto" w:fill="EAF1DD" w:themeFill="accent3" w:themeFillTint="33"/>
          </w:tcPr>
          <w:p w:rsidR="00C00BB4" w:rsidRPr="00814383" w:rsidRDefault="00C00BB4" w:rsidP="00F51ACA">
            <w:pPr>
              <w:jc w:val="center"/>
              <w:rPr>
                <w:b/>
                <w:sz w:val="16"/>
                <w:szCs w:val="16"/>
              </w:rPr>
            </w:pPr>
            <w:r w:rsidRPr="00814383">
              <w:rPr>
                <w:b/>
                <w:sz w:val="16"/>
                <w:szCs w:val="16"/>
              </w:rPr>
              <w:t>Index</w:t>
            </w:r>
          </w:p>
          <w:p w:rsidR="00C00BB4" w:rsidRPr="00814383" w:rsidRDefault="0053297B" w:rsidP="00F51A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Červen</w:t>
            </w:r>
            <w:r w:rsidR="00211567">
              <w:rPr>
                <w:b/>
                <w:sz w:val="16"/>
                <w:szCs w:val="16"/>
              </w:rPr>
              <w:t xml:space="preserve"> 2014/leden 2014</w:t>
            </w:r>
          </w:p>
        </w:tc>
      </w:tr>
      <w:tr w:rsidR="00C833F1" w:rsidTr="00C00BB4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243F2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mléko polotučné </w:t>
            </w:r>
            <w:r>
              <w:rPr>
                <w:b/>
                <w:sz w:val="18"/>
                <w:szCs w:val="18"/>
              </w:rPr>
              <w:t>čerstvé</w:t>
            </w:r>
          </w:p>
        </w:tc>
        <w:tc>
          <w:tcPr>
            <w:tcW w:w="1134" w:type="dxa"/>
          </w:tcPr>
          <w:p w:rsidR="00C833F1" w:rsidRPr="003A0CBB" w:rsidRDefault="000B0B47" w:rsidP="00243F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19,08</w:t>
            </w:r>
          </w:p>
        </w:tc>
        <w:tc>
          <w:tcPr>
            <w:tcW w:w="1134" w:type="dxa"/>
          </w:tcPr>
          <w:p w:rsidR="00243F2B" w:rsidRPr="003A0CBB" w:rsidRDefault="000B0B47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19,86</w:t>
            </w:r>
          </w:p>
        </w:tc>
        <w:tc>
          <w:tcPr>
            <w:tcW w:w="1134" w:type="dxa"/>
          </w:tcPr>
          <w:p w:rsidR="00243F2B" w:rsidRPr="003A0CBB" w:rsidRDefault="000B0B47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21,05</w:t>
            </w:r>
          </w:p>
        </w:tc>
        <w:tc>
          <w:tcPr>
            <w:tcW w:w="2127" w:type="dxa"/>
            <w:shd w:val="clear" w:color="auto" w:fill="auto"/>
          </w:tcPr>
          <w:p w:rsidR="00243F2B" w:rsidRPr="00191111" w:rsidRDefault="000B0B47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110,3</w:t>
            </w:r>
          </w:p>
        </w:tc>
        <w:tc>
          <w:tcPr>
            <w:tcW w:w="2326" w:type="dxa"/>
            <w:shd w:val="clear" w:color="auto" w:fill="auto"/>
          </w:tcPr>
          <w:p w:rsidR="00243F2B" w:rsidRPr="00191111" w:rsidRDefault="000B0B47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106,0</w:t>
            </w:r>
          </w:p>
        </w:tc>
      </w:tr>
      <w:tr w:rsidR="00C833F1" w:rsidTr="00C00BB4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415D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mléko polotučné trvanlivé</w:t>
            </w:r>
          </w:p>
        </w:tc>
        <w:tc>
          <w:tcPr>
            <w:tcW w:w="1134" w:type="dxa"/>
          </w:tcPr>
          <w:p w:rsidR="00C833F1" w:rsidRPr="003A0CBB" w:rsidRDefault="000B0B47" w:rsidP="004D3B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18,03</w:t>
            </w:r>
          </w:p>
        </w:tc>
        <w:tc>
          <w:tcPr>
            <w:tcW w:w="1134" w:type="dxa"/>
          </w:tcPr>
          <w:p w:rsidR="00243F2B" w:rsidRPr="003A0CBB" w:rsidRDefault="000B0B47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20,00</w:t>
            </w:r>
          </w:p>
        </w:tc>
        <w:tc>
          <w:tcPr>
            <w:tcW w:w="1134" w:type="dxa"/>
          </w:tcPr>
          <w:p w:rsidR="00243F2B" w:rsidRPr="003A0CBB" w:rsidRDefault="000B0B47" w:rsidP="004D3B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19,36</w:t>
            </w:r>
          </w:p>
        </w:tc>
        <w:tc>
          <w:tcPr>
            <w:tcW w:w="2127" w:type="dxa"/>
            <w:shd w:val="clear" w:color="auto" w:fill="auto"/>
          </w:tcPr>
          <w:p w:rsidR="00243F2B" w:rsidRPr="00191111" w:rsidRDefault="000B0B47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107,4</w:t>
            </w:r>
          </w:p>
        </w:tc>
        <w:tc>
          <w:tcPr>
            <w:tcW w:w="2326" w:type="dxa"/>
            <w:shd w:val="clear" w:color="auto" w:fill="auto"/>
          </w:tcPr>
          <w:p w:rsidR="00243F2B" w:rsidRPr="00191111" w:rsidRDefault="000B0B47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96,8</w:t>
            </w:r>
          </w:p>
        </w:tc>
      </w:tr>
      <w:tr w:rsidR="00C833F1" w:rsidTr="00C00BB4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415D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máslo</w:t>
            </w:r>
          </w:p>
        </w:tc>
        <w:tc>
          <w:tcPr>
            <w:tcW w:w="1134" w:type="dxa"/>
          </w:tcPr>
          <w:p w:rsidR="00C833F1" w:rsidRPr="003A0CBB" w:rsidRDefault="000B0B47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154,00</w:t>
            </w:r>
          </w:p>
        </w:tc>
        <w:tc>
          <w:tcPr>
            <w:tcW w:w="1134" w:type="dxa"/>
          </w:tcPr>
          <w:p w:rsidR="00C833F1" w:rsidRPr="003A0CBB" w:rsidRDefault="000B0B47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164,74</w:t>
            </w:r>
          </w:p>
        </w:tc>
        <w:tc>
          <w:tcPr>
            <w:tcW w:w="1134" w:type="dxa"/>
          </w:tcPr>
          <w:p w:rsidR="00C833F1" w:rsidRPr="003A0CBB" w:rsidRDefault="000B0B47" w:rsidP="004D3B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161,20</w:t>
            </w:r>
          </w:p>
        </w:tc>
        <w:tc>
          <w:tcPr>
            <w:tcW w:w="2127" w:type="dxa"/>
            <w:shd w:val="clear" w:color="auto" w:fill="auto"/>
          </w:tcPr>
          <w:p w:rsidR="00C833F1" w:rsidRPr="00191111" w:rsidRDefault="000B0B47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104,7</w:t>
            </w:r>
          </w:p>
        </w:tc>
        <w:tc>
          <w:tcPr>
            <w:tcW w:w="2326" w:type="dxa"/>
            <w:shd w:val="clear" w:color="auto" w:fill="auto"/>
          </w:tcPr>
          <w:p w:rsidR="00C833F1" w:rsidRPr="00191111" w:rsidRDefault="000B0B47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97,9</w:t>
            </w:r>
          </w:p>
        </w:tc>
      </w:tr>
      <w:tr w:rsidR="00C833F1" w:rsidTr="00C00BB4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243F2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Eidam </w:t>
            </w:r>
          </w:p>
        </w:tc>
        <w:tc>
          <w:tcPr>
            <w:tcW w:w="1134" w:type="dxa"/>
          </w:tcPr>
          <w:p w:rsidR="00C833F1" w:rsidRPr="003A0CBB" w:rsidRDefault="000B0B47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133,01</w:t>
            </w:r>
          </w:p>
        </w:tc>
        <w:tc>
          <w:tcPr>
            <w:tcW w:w="1134" w:type="dxa"/>
          </w:tcPr>
          <w:p w:rsidR="00C833F1" w:rsidRPr="003A0CBB" w:rsidRDefault="000B0B47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164,36</w:t>
            </w:r>
          </w:p>
        </w:tc>
        <w:tc>
          <w:tcPr>
            <w:tcW w:w="1134" w:type="dxa"/>
          </w:tcPr>
          <w:p w:rsidR="00C833F1" w:rsidRPr="003A0CBB" w:rsidRDefault="000B0B47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146,07</w:t>
            </w:r>
          </w:p>
        </w:tc>
        <w:tc>
          <w:tcPr>
            <w:tcW w:w="2127" w:type="dxa"/>
            <w:shd w:val="clear" w:color="auto" w:fill="auto"/>
          </w:tcPr>
          <w:p w:rsidR="00C833F1" w:rsidRPr="00191111" w:rsidRDefault="000B0B47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109,8</w:t>
            </w:r>
          </w:p>
        </w:tc>
        <w:tc>
          <w:tcPr>
            <w:tcW w:w="2326" w:type="dxa"/>
            <w:shd w:val="clear" w:color="auto" w:fill="auto"/>
          </w:tcPr>
          <w:p w:rsidR="00C833F1" w:rsidRPr="00191111" w:rsidRDefault="000B0B47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88,9</w:t>
            </w:r>
          </w:p>
        </w:tc>
      </w:tr>
    </w:tbl>
    <w:p w:rsidR="00C833F1" w:rsidRDefault="00C833F1" w:rsidP="00C833F1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 xml:space="preserve">Pramen: </w:t>
      </w:r>
      <w:r w:rsidR="00243F2B">
        <w:rPr>
          <w:i/>
          <w:sz w:val="18"/>
          <w:szCs w:val="18"/>
        </w:rPr>
        <w:t>ČSÚ</w:t>
      </w:r>
    </w:p>
    <w:p w:rsidR="00EC4379" w:rsidRDefault="00550DE8" w:rsidP="00C833F1">
      <w:pPr>
        <w:rPr>
          <w:i/>
          <w:sz w:val="18"/>
          <w:szCs w:val="18"/>
        </w:rPr>
      </w:pPr>
      <w:r w:rsidRPr="00550DE8">
        <w:rPr>
          <w:i/>
          <w:noProof/>
          <w:sz w:val="18"/>
          <w:szCs w:val="18"/>
        </w:rPr>
        <w:drawing>
          <wp:inline distT="0" distB="0" distL="0" distR="0">
            <wp:extent cx="6735433" cy="3856379"/>
            <wp:effectExtent l="19050" t="0" r="27317" b="0"/>
            <wp:docPr id="7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42EC9" w:rsidRDefault="00074629" w:rsidP="00C833F1">
      <w:pPr>
        <w:rPr>
          <w:i/>
          <w:sz w:val="18"/>
          <w:szCs w:val="18"/>
        </w:rPr>
      </w:pPr>
      <w:r w:rsidRPr="00074629">
        <w:rPr>
          <w:i/>
          <w:noProof/>
          <w:sz w:val="18"/>
          <w:szCs w:val="18"/>
        </w:rPr>
        <w:lastRenderedPageBreak/>
        <w:drawing>
          <wp:inline distT="0" distB="0" distL="0" distR="0">
            <wp:extent cx="6651817" cy="2967487"/>
            <wp:effectExtent l="19050" t="0" r="15683" b="4313"/>
            <wp:docPr id="8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42EC9" w:rsidRDefault="00942EC9" w:rsidP="00C833F1">
      <w:pPr>
        <w:rPr>
          <w:i/>
          <w:sz w:val="18"/>
          <w:szCs w:val="18"/>
        </w:rPr>
      </w:pPr>
    </w:p>
    <w:p w:rsidR="00FD0F84" w:rsidRDefault="00FD0F84" w:rsidP="00FD0F84">
      <w:pPr>
        <w:rPr>
          <w:i/>
          <w:sz w:val="18"/>
          <w:szCs w:val="18"/>
        </w:rPr>
      </w:pPr>
      <w:r w:rsidRPr="00A74203">
        <w:rPr>
          <w:b/>
          <w:szCs w:val="24"/>
        </w:rPr>
        <w:t>Světové ceny – obchod s mlékárenskými výrobky</w:t>
      </w:r>
      <w:r>
        <w:rPr>
          <w:b/>
          <w:szCs w:val="24"/>
        </w:rPr>
        <w:t xml:space="preserve"> – USD/t, FOB západoevropské přístavy</w:t>
      </w:r>
    </w:p>
    <w:tbl>
      <w:tblPr>
        <w:tblStyle w:val="Mkatabulky"/>
        <w:tblW w:w="0" w:type="auto"/>
        <w:tblLook w:val="04A0"/>
      </w:tblPr>
      <w:tblGrid>
        <w:gridCol w:w="1794"/>
        <w:gridCol w:w="1794"/>
        <w:gridCol w:w="1794"/>
        <w:gridCol w:w="1794"/>
        <w:gridCol w:w="1795"/>
        <w:gridCol w:w="1795"/>
      </w:tblGrid>
      <w:tr w:rsidR="00FD0F84" w:rsidRPr="00A74203" w:rsidTr="00A814B3">
        <w:trPr>
          <w:trHeight w:val="464"/>
        </w:trPr>
        <w:tc>
          <w:tcPr>
            <w:tcW w:w="1794" w:type="dxa"/>
            <w:shd w:val="clear" w:color="auto" w:fill="C2D69B" w:themeFill="accent3" w:themeFillTint="99"/>
          </w:tcPr>
          <w:p w:rsidR="00FD0F84" w:rsidRPr="00A74203" w:rsidRDefault="00FD0F84" w:rsidP="00503C08">
            <w:pPr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Týden 2012</w:t>
            </w:r>
            <w:r>
              <w:rPr>
                <w:b/>
                <w:sz w:val="18"/>
                <w:szCs w:val="18"/>
              </w:rPr>
              <w:t xml:space="preserve"> a 2013</w:t>
            </w:r>
          </w:p>
        </w:tc>
        <w:tc>
          <w:tcPr>
            <w:tcW w:w="1794" w:type="dxa"/>
            <w:shd w:val="clear" w:color="auto" w:fill="C2D69B" w:themeFill="accent3" w:themeFillTint="99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Máslo</w:t>
            </w:r>
          </w:p>
        </w:tc>
        <w:tc>
          <w:tcPr>
            <w:tcW w:w="1794" w:type="dxa"/>
            <w:shd w:val="clear" w:color="auto" w:fill="C2D69B" w:themeFill="accent3" w:themeFillTint="99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odtučněné mléko</w:t>
            </w:r>
          </w:p>
        </w:tc>
        <w:tc>
          <w:tcPr>
            <w:tcW w:w="1794" w:type="dxa"/>
            <w:shd w:val="clear" w:color="auto" w:fill="C2D69B" w:themeFill="accent3" w:themeFillTint="99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plnotučné mléko</w:t>
            </w:r>
          </w:p>
        </w:tc>
        <w:tc>
          <w:tcPr>
            <w:tcW w:w="1795" w:type="dxa"/>
            <w:shd w:val="clear" w:color="auto" w:fill="C2D69B" w:themeFill="accent3" w:themeFillTint="99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Máselný olej</w:t>
            </w:r>
          </w:p>
        </w:tc>
        <w:tc>
          <w:tcPr>
            <w:tcW w:w="1795" w:type="dxa"/>
            <w:shd w:val="clear" w:color="auto" w:fill="C2D69B" w:themeFill="accent3" w:themeFillTint="99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Sušená syrovátka</w:t>
            </w:r>
          </w:p>
        </w:tc>
      </w:tr>
      <w:tr w:rsidR="007B0F9A" w:rsidTr="00CB679D">
        <w:trPr>
          <w:trHeight w:val="243"/>
        </w:trPr>
        <w:tc>
          <w:tcPr>
            <w:tcW w:w="1794" w:type="dxa"/>
          </w:tcPr>
          <w:p w:rsidR="007B0F9A" w:rsidRDefault="007B0F9A" w:rsidP="001F3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1/2013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4300 - 4600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3400 - 3600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3850 - 4000</w:t>
            </w:r>
          </w:p>
        </w:tc>
        <w:tc>
          <w:tcPr>
            <w:tcW w:w="1795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4950 - 5500</w:t>
            </w:r>
          </w:p>
        </w:tc>
        <w:tc>
          <w:tcPr>
            <w:tcW w:w="1795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1325 - 1500</w:t>
            </w:r>
          </w:p>
        </w:tc>
      </w:tr>
      <w:tr w:rsidR="00211567" w:rsidTr="00CB679D">
        <w:trPr>
          <w:trHeight w:val="243"/>
        </w:trPr>
        <w:tc>
          <w:tcPr>
            <w:tcW w:w="1794" w:type="dxa"/>
          </w:tcPr>
          <w:p w:rsidR="00211567" w:rsidRDefault="00211567" w:rsidP="003F5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1/2014</w:t>
            </w:r>
          </w:p>
        </w:tc>
        <w:tc>
          <w:tcPr>
            <w:tcW w:w="1794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5450 - 5850</w:t>
            </w:r>
          </w:p>
        </w:tc>
        <w:tc>
          <w:tcPr>
            <w:tcW w:w="1794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4375 - 4700</w:t>
            </w:r>
          </w:p>
        </w:tc>
        <w:tc>
          <w:tcPr>
            <w:tcW w:w="1794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5000 - 5250</w:t>
            </w:r>
          </w:p>
        </w:tc>
        <w:tc>
          <w:tcPr>
            <w:tcW w:w="1795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6750 - 6900</w:t>
            </w:r>
          </w:p>
        </w:tc>
        <w:tc>
          <w:tcPr>
            <w:tcW w:w="1795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1325 - 1500</w:t>
            </w:r>
          </w:p>
        </w:tc>
      </w:tr>
      <w:tr w:rsidR="0053297B" w:rsidTr="00CB679D">
        <w:trPr>
          <w:trHeight w:val="243"/>
        </w:trPr>
        <w:tc>
          <w:tcPr>
            <w:tcW w:w="1794" w:type="dxa"/>
          </w:tcPr>
          <w:p w:rsidR="0053297B" w:rsidRDefault="0053297B" w:rsidP="001B7E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19/2014</w:t>
            </w:r>
          </w:p>
        </w:tc>
        <w:tc>
          <w:tcPr>
            <w:tcW w:w="1794" w:type="dxa"/>
          </w:tcPr>
          <w:p w:rsidR="0053297B" w:rsidRDefault="0053297B" w:rsidP="001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4500 - 5000</w:t>
            </w:r>
          </w:p>
        </w:tc>
        <w:tc>
          <w:tcPr>
            <w:tcW w:w="1794" w:type="dxa"/>
          </w:tcPr>
          <w:p w:rsidR="0053297B" w:rsidRDefault="0053297B" w:rsidP="001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3875 - 4375</w:t>
            </w:r>
          </w:p>
        </w:tc>
        <w:tc>
          <w:tcPr>
            <w:tcW w:w="1794" w:type="dxa"/>
          </w:tcPr>
          <w:p w:rsidR="0053297B" w:rsidRDefault="0053297B" w:rsidP="001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4650 - 4900</w:t>
            </w:r>
          </w:p>
        </w:tc>
        <w:tc>
          <w:tcPr>
            <w:tcW w:w="1795" w:type="dxa"/>
          </w:tcPr>
          <w:p w:rsidR="0053297B" w:rsidRDefault="0053297B" w:rsidP="001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5424 - 6050</w:t>
            </w:r>
          </w:p>
        </w:tc>
        <w:tc>
          <w:tcPr>
            <w:tcW w:w="1795" w:type="dxa"/>
          </w:tcPr>
          <w:p w:rsidR="0053297B" w:rsidRDefault="0053297B" w:rsidP="001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1250 - 1475</w:t>
            </w:r>
          </w:p>
        </w:tc>
      </w:tr>
      <w:tr w:rsidR="0053297B" w:rsidTr="00CB679D">
        <w:trPr>
          <w:trHeight w:val="243"/>
        </w:trPr>
        <w:tc>
          <w:tcPr>
            <w:tcW w:w="1794" w:type="dxa"/>
          </w:tcPr>
          <w:p w:rsidR="0053297B" w:rsidRDefault="0053297B" w:rsidP="001B7E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21/2014</w:t>
            </w:r>
          </w:p>
        </w:tc>
        <w:tc>
          <w:tcPr>
            <w:tcW w:w="1794" w:type="dxa"/>
          </w:tcPr>
          <w:p w:rsidR="0053297B" w:rsidRDefault="0053297B" w:rsidP="001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4375 - 4900</w:t>
            </w:r>
          </w:p>
        </w:tc>
        <w:tc>
          <w:tcPr>
            <w:tcW w:w="1794" w:type="dxa"/>
          </w:tcPr>
          <w:p w:rsidR="0053297B" w:rsidRDefault="0053297B" w:rsidP="001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3675 - 4100</w:t>
            </w:r>
          </w:p>
        </w:tc>
        <w:tc>
          <w:tcPr>
            <w:tcW w:w="1794" w:type="dxa"/>
          </w:tcPr>
          <w:p w:rsidR="0053297B" w:rsidRDefault="0053297B" w:rsidP="001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4400 - 4800</w:t>
            </w:r>
          </w:p>
        </w:tc>
        <w:tc>
          <w:tcPr>
            <w:tcW w:w="1795" w:type="dxa"/>
          </w:tcPr>
          <w:p w:rsidR="0053297B" w:rsidRDefault="0053297B" w:rsidP="001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5275 - 5925</w:t>
            </w:r>
          </w:p>
        </w:tc>
        <w:tc>
          <w:tcPr>
            <w:tcW w:w="1795" w:type="dxa"/>
          </w:tcPr>
          <w:p w:rsidR="0053297B" w:rsidRDefault="0053297B" w:rsidP="001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1225 - 1425</w:t>
            </w:r>
          </w:p>
        </w:tc>
      </w:tr>
      <w:tr w:rsidR="0053297B" w:rsidTr="00CB679D">
        <w:trPr>
          <w:trHeight w:val="243"/>
        </w:trPr>
        <w:tc>
          <w:tcPr>
            <w:tcW w:w="1794" w:type="dxa"/>
          </w:tcPr>
          <w:p w:rsidR="0053297B" w:rsidRDefault="0053297B" w:rsidP="001B7E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25/2014</w:t>
            </w:r>
          </w:p>
        </w:tc>
        <w:tc>
          <w:tcPr>
            <w:tcW w:w="1794" w:type="dxa"/>
          </w:tcPr>
          <w:p w:rsidR="0053297B" w:rsidRDefault="0053297B" w:rsidP="001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4600 - 4950</w:t>
            </w:r>
          </w:p>
        </w:tc>
        <w:tc>
          <w:tcPr>
            <w:tcW w:w="1794" w:type="dxa"/>
          </w:tcPr>
          <w:p w:rsidR="0053297B" w:rsidRDefault="0053297B" w:rsidP="001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3700 - 4050</w:t>
            </w:r>
          </w:p>
        </w:tc>
        <w:tc>
          <w:tcPr>
            <w:tcW w:w="1794" w:type="dxa"/>
          </w:tcPr>
          <w:p w:rsidR="0053297B" w:rsidRDefault="0053297B" w:rsidP="001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4300 - 4700</w:t>
            </w:r>
          </w:p>
        </w:tc>
        <w:tc>
          <w:tcPr>
            <w:tcW w:w="1795" w:type="dxa"/>
          </w:tcPr>
          <w:p w:rsidR="0053297B" w:rsidRDefault="0053297B" w:rsidP="001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5425 - 5975</w:t>
            </w:r>
          </w:p>
        </w:tc>
        <w:tc>
          <w:tcPr>
            <w:tcW w:w="1795" w:type="dxa"/>
          </w:tcPr>
          <w:p w:rsidR="0053297B" w:rsidRDefault="0053297B" w:rsidP="001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1250 - 1450</w:t>
            </w:r>
          </w:p>
        </w:tc>
      </w:tr>
      <w:tr w:rsidR="0053297B" w:rsidTr="00CB679D">
        <w:trPr>
          <w:trHeight w:val="243"/>
        </w:trPr>
        <w:tc>
          <w:tcPr>
            <w:tcW w:w="1794" w:type="dxa"/>
          </w:tcPr>
          <w:p w:rsidR="0053297B" w:rsidRDefault="0053297B" w:rsidP="001B7E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27/2014</w:t>
            </w:r>
          </w:p>
        </w:tc>
        <w:tc>
          <w:tcPr>
            <w:tcW w:w="1794" w:type="dxa"/>
          </w:tcPr>
          <w:p w:rsidR="0053297B" w:rsidRDefault="0053297B" w:rsidP="001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4550 – 5000</w:t>
            </w:r>
          </w:p>
        </w:tc>
        <w:tc>
          <w:tcPr>
            <w:tcW w:w="1794" w:type="dxa"/>
          </w:tcPr>
          <w:p w:rsidR="0053297B" w:rsidRDefault="0053297B" w:rsidP="001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3650 - 4075</w:t>
            </w:r>
          </w:p>
        </w:tc>
        <w:tc>
          <w:tcPr>
            <w:tcW w:w="1794" w:type="dxa"/>
          </w:tcPr>
          <w:p w:rsidR="0053297B" w:rsidRDefault="0053297B" w:rsidP="001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4225 - 4700</w:t>
            </w:r>
          </w:p>
        </w:tc>
        <w:tc>
          <w:tcPr>
            <w:tcW w:w="1795" w:type="dxa"/>
          </w:tcPr>
          <w:p w:rsidR="0053297B" w:rsidRDefault="0053297B" w:rsidP="001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5475 - 6025</w:t>
            </w:r>
          </w:p>
        </w:tc>
        <w:tc>
          <w:tcPr>
            <w:tcW w:w="1795" w:type="dxa"/>
          </w:tcPr>
          <w:p w:rsidR="0053297B" w:rsidRDefault="0053297B" w:rsidP="001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1250 - 1450</w:t>
            </w:r>
          </w:p>
        </w:tc>
      </w:tr>
      <w:tr w:rsidR="0053297B" w:rsidTr="00CB679D">
        <w:trPr>
          <w:trHeight w:val="243"/>
        </w:trPr>
        <w:tc>
          <w:tcPr>
            <w:tcW w:w="1794" w:type="dxa"/>
          </w:tcPr>
          <w:p w:rsidR="0053297B" w:rsidRDefault="001B7EFC" w:rsidP="00E40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31/2014</w:t>
            </w:r>
          </w:p>
        </w:tc>
        <w:tc>
          <w:tcPr>
            <w:tcW w:w="1794" w:type="dxa"/>
          </w:tcPr>
          <w:p w:rsidR="0053297B" w:rsidRDefault="001B7EFC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4400 - 4800</w:t>
            </w:r>
          </w:p>
        </w:tc>
        <w:tc>
          <w:tcPr>
            <w:tcW w:w="1794" w:type="dxa"/>
          </w:tcPr>
          <w:p w:rsidR="0053297B" w:rsidRDefault="001B7EFC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3525 - 3975</w:t>
            </w:r>
          </w:p>
        </w:tc>
        <w:tc>
          <w:tcPr>
            <w:tcW w:w="1794" w:type="dxa"/>
          </w:tcPr>
          <w:p w:rsidR="0053297B" w:rsidRDefault="001B7EFC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3900 - 4375</w:t>
            </w:r>
          </w:p>
        </w:tc>
        <w:tc>
          <w:tcPr>
            <w:tcW w:w="1795" w:type="dxa"/>
          </w:tcPr>
          <w:p w:rsidR="0053297B" w:rsidRDefault="001B7EFC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5300 - 5800</w:t>
            </w:r>
          </w:p>
        </w:tc>
        <w:tc>
          <w:tcPr>
            <w:tcW w:w="1795" w:type="dxa"/>
          </w:tcPr>
          <w:p w:rsidR="0053297B" w:rsidRDefault="001B7EFC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1225 - 1425</w:t>
            </w:r>
          </w:p>
        </w:tc>
      </w:tr>
    </w:tbl>
    <w:p w:rsidR="00FD0F84" w:rsidRDefault="00FD0F84" w:rsidP="00FD0F84">
      <w:pPr>
        <w:rPr>
          <w:sz w:val="18"/>
          <w:szCs w:val="18"/>
        </w:rPr>
      </w:pPr>
      <w:r>
        <w:rPr>
          <w:sz w:val="18"/>
          <w:szCs w:val="18"/>
        </w:rPr>
        <w:t>Pramen: FAS USDA</w:t>
      </w:r>
    </w:p>
    <w:p w:rsidR="00DD0FFC" w:rsidRDefault="00DD0FFC" w:rsidP="009A018E">
      <w:pPr>
        <w:rPr>
          <w:sz w:val="18"/>
          <w:szCs w:val="18"/>
        </w:rPr>
      </w:pPr>
    </w:p>
    <w:p w:rsidR="00C31120" w:rsidRPr="007A1D7E" w:rsidRDefault="00C31120" w:rsidP="00C31120">
      <w:pPr>
        <w:rPr>
          <w:b/>
          <w:sz w:val="22"/>
          <w:szCs w:val="22"/>
        </w:rPr>
      </w:pPr>
      <w:r w:rsidRPr="007A1D7E">
        <w:rPr>
          <w:b/>
          <w:sz w:val="22"/>
          <w:szCs w:val="22"/>
        </w:rPr>
        <w:t>Tržní ceny v</w:t>
      </w:r>
      <w:r>
        <w:rPr>
          <w:b/>
          <w:sz w:val="22"/>
          <w:szCs w:val="22"/>
        </w:rPr>
        <w:t> </w:t>
      </w:r>
      <w:r w:rsidRPr="007A1D7E">
        <w:rPr>
          <w:b/>
          <w:sz w:val="22"/>
          <w:szCs w:val="22"/>
        </w:rPr>
        <w:t>EU</w:t>
      </w:r>
      <w:r>
        <w:rPr>
          <w:b/>
          <w:sz w:val="22"/>
          <w:szCs w:val="22"/>
        </w:rPr>
        <w:t xml:space="preserve"> – v EUR/100 kg</w:t>
      </w:r>
    </w:p>
    <w:tbl>
      <w:tblPr>
        <w:tblStyle w:val="Mkatabulky"/>
        <w:tblW w:w="0" w:type="auto"/>
        <w:tblLook w:val="04A0"/>
      </w:tblPr>
      <w:tblGrid>
        <w:gridCol w:w="1951"/>
        <w:gridCol w:w="1418"/>
        <w:gridCol w:w="1701"/>
        <w:gridCol w:w="1559"/>
        <w:gridCol w:w="1559"/>
        <w:gridCol w:w="1276"/>
        <w:gridCol w:w="1302"/>
      </w:tblGrid>
      <w:tr w:rsidR="00C31120" w:rsidRPr="00A74203" w:rsidTr="00A814B3">
        <w:trPr>
          <w:trHeight w:val="464"/>
        </w:trPr>
        <w:tc>
          <w:tcPr>
            <w:tcW w:w="1951" w:type="dxa"/>
            <w:shd w:val="clear" w:color="auto" w:fill="C2D69B" w:themeFill="accent3" w:themeFillTint="99"/>
          </w:tcPr>
          <w:p w:rsidR="00C31120" w:rsidRPr="00A74203" w:rsidRDefault="00C31120" w:rsidP="006626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Země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C31120" w:rsidRPr="00A74203" w:rsidRDefault="00C31120" w:rsidP="006626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Období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Máslo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odtučněné mléko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plnotučné mléko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Čedar</w:t>
            </w:r>
          </w:p>
        </w:tc>
        <w:tc>
          <w:tcPr>
            <w:tcW w:w="1302" w:type="dxa"/>
            <w:shd w:val="clear" w:color="auto" w:fill="C2D69B" w:themeFill="accent3" w:themeFillTint="99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Eidam</w:t>
            </w:r>
          </w:p>
        </w:tc>
      </w:tr>
      <w:tr w:rsidR="00C31120" w:rsidTr="0066260B">
        <w:trPr>
          <w:trHeight w:val="243"/>
        </w:trPr>
        <w:tc>
          <w:tcPr>
            <w:tcW w:w="1951" w:type="dxa"/>
            <w:vMerge w:val="restart"/>
          </w:tcPr>
          <w:p w:rsidR="00C31120" w:rsidRPr="00191111" w:rsidRDefault="00C31120" w:rsidP="0066260B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Česká republika</w:t>
            </w:r>
          </w:p>
        </w:tc>
        <w:tc>
          <w:tcPr>
            <w:tcW w:w="1418" w:type="dxa"/>
          </w:tcPr>
          <w:p w:rsidR="00C31120" w:rsidRDefault="0053297B" w:rsidP="005B1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725E92">
              <w:rPr>
                <w:sz w:val="18"/>
                <w:szCs w:val="18"/>
              </w:rPr>
              <w:t>/201</w:t>
            </w:r>
            <w:r w:rsidR="005B1C75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945B47" w:rsidRDefault="001E66FE" w:rsidP="00945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374,18</w:t>
            </w:r>
          </w:p>
        </w:tc>
        <w:tc>
          <w:tcPr>
            <w:tcW w:w="1559" w:type="dxa"/>
          </w:tcPr>
          <w:p w:rsidR="00C31120" w:rsidRDefault="001E66F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286,74</w:t>
            </w:r>
          </w:p>
        </w:tc>
        <w:tc>
          <w:tcPr>
            <w:tcW w:w="1559" w:type="dxa"/>
          </w:tcPr>
          <w:p w:rsidR="00C31120" w:rsidRDefault="001E66F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325,38</w:t>
            </w:r>
          </w:p>
        </w:tc>
        <w:tc>
          <w:tcPr>
            <w:tcW w:w="1276" w:type="dxa"/>
          </w:tcPr>
          <w:p w:rsidR="00C31120" w:rsidRDefault="001E66F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C31120" w:rsidRDefault="001E66F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374,67</w:t>
            </w:r>
          </w:p>
        </w:tc>
      </w:tr>
      <w:tr w:rsidR="00C31120" w:rsidTr="0066260B">
        <w:trPr>
          <w:trHeight w:val="243"/>
        </w:trPr>
        <w:tc>
          <w:tcPr>
            <w:tcW w:w="1951" w:type="dxa"/>
            <w:vMerge/>
          </w:tcPr>
          <w:p w:rsidR="00C31120" w:rsidRPr="00191111" w:rsidRDefault="00C31120" w:rsidP="0066260B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C31120" w:rsidRPr="003A0CBB" w:rsidRDefault="0053297B" w:rsidP="005B1C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725E92">
              <w:rPr>
                <w:b/>
                <w:sz w:val="18"/>
                <w:szCs w:val="18"/>
              </w:rPr>
              <w:t>/201</w:t>
            </w:r>
            <w:r w:rsidR="005B1C7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C31120" w:rsidRPr="003A0CBB" w:rsidRDefault="001E66F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334,10</w:t>
            </w:r>
          </w:p>
        </w:tc>
        <w:tc>
          <w:tcPr>
            <w:tcW w:w="1559" w:type="dxa"/>
          </w:tcPr>
          <w:p w:rsidR="00C31120" w:rsidRPr="003A0CBB" w:rsidRDefault="001E66F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280,52</w:t>
            </w:r>
          </w:p>
        </w:tc>
        <w:tc>
          <w:tcPr>
            <w:tcW w:w="1559" w:type="dxa"/>
          </w:tcPr>
          <w:p w:rsidR="00C31120" w:rsidRPr="003A0CBB" w:rsidRDefault="001E66F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339,87</w:t>
            </w:r>
          </w:p>
        </w:tc>
        <w:tc>
          <w:tcPr>
            <w:tcW w:w="1276" w:type="dxa"/>
          </w:tcPr>
          <w:p w:rsidR="00C31120" w:rsidRPr="003A0CBB" w:rsidRDefault="001E66F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C31120" w:rsidRPr="003A0CBB" w:rsidRDefault="001E66F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365,73</w:t>
            </w:r>
          </w:p>
        </w:tc>
      </w:tr>
      <w:tr w:rsidR="005B1C75" w:rsidTr="0066260B">
        <w:trPr>
          <w:trHeight w:val="243"/>
        </w:trPr>
        <w:tc>
          <w:tcPr>
            <w:tcW w:w="1951" w:type="dxa"/>
            <w:vMerge w:val="restart"/>
          </w:tcPr>
          <w:p w:rsidR="005B1C75" w:rsidRPr="00191111" w:rsidRDefault="005B1C75" w:rsidP="0066260B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Německo</w:t>
            </w:r>
          </w:p>
        </w:tc>
        <w:tc>
          <w:tcPr>
            <w:tcW w:w="1418" w:type="dxa"/>
          </w:tcPr>
          <w:p w:rsidR="005B1C75" w:rsidRDefault="0053297B" w:rsidP="00FA4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5B1C75">
              <w:rPr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5B1C75" w:rsidRDefault="001E66F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415,75</w:t>
            </w:r>
          </w:p>
        </w:tc>
        <w:tc>
          <w:tcPr>
            <w:tcW w:w="1559" w:type="dxa"/>
          </w:tcPr>
          <w:p w:rsidR="005B1C75" w:rsidRDefault="001E66F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317,50</w:t>
            </w:r>
          </w:p>
        </w:tc>
        <w:tc>
          <w:tcPr>
            <w:tcW w:w="1559" w:type="dxa"/>
          </w:tcPr>
          <w:p w:rsidR="005B1C75" w:rsidRDefault="001E66F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369,00</w:t>
            </w:r>
          </w:p>
        </w:tc>
        <w:tc>
          <w:tcPr>
            <w:tcW w:w="1276" w:type="dxa"/>
          </w:tcPr>
          <w:p w:rsidR="005B1C75" w:rsidRDefault="001E66F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5B1C75" w:rsidRDefault="001E66F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326,01</w:t>
            </w:r>
          </w:p>
        </w:tc>
      </w:tr>
      <w:tr w:rsidR="005B1C75" w:rsidTr="0066260B">
        <w:trPr>
          <w:trHeight w:val="243"/>
        </w:trPr>
        <w:tc>
          <w:tcPr>
            <w:tcW w:w="1951" w:type="dxa"/>
            <w:vMerge/>
          </w:tcPr>
          <w:p w:rsidR="005B1C75" w:rsidRPr="00191111" w:rsidRDefault="005B1C75" w:rsidP="0066260B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5B1C75" w:rsidRPr="003A0CBB" w:rsidRDefault="0053297B" w:rsidP="00FA458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5B1C75">
              <w:rPr>
                <w:b/>
                <w:sz w:val="18"/>
                <w:szCs w:val="18"/>
              </w:rPr>
              <w:t>/2014</w:t>
            </w:r>
          </w:p>
        </w:tc>
        <w:tc>
          <w:tcPr>
            <w:tcW w:w="1701" w:type="dxa"/>
          </w:tcPr>
          <w:p w:rsidR="005B1C75" w:rsidRPr="003A0CBB" w:rsidRDefault="001E66F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353,00</w:t>
            </w:r>
          </w:p>
        </w:tc>
        <w:tc>
          <w:tcPr>
            <w:tcW w:w="1559" w:type="dxa"/>
          </w:tcPr>
          <w:p w:rsidR="005B1C75" w:rsidRPr="003A0CBB" w:rsidRDefault="001E66F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293,00</w:t>
            </w:r>
          </w:p>
        </w:tc>
        <w:tc>
          <w:tcPr>
            <w:tcW w:w="1559" w:type="dxa"/>
          </w:tcPr>
          <w:p w:rsidR="005B1C75" w:rsidRPr="003A0CBB" w:rsidRDefault="001E66F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333,40</w:t>
            </w:r>
          </w:p>
        </w:tc>
        <w:tc>
          <w:tcPr>
            <w:tcW w:w="1276" w:type="dxa"/>
          </w:tcPr>
          <w:p w:rsidR="005B1C75" w:rsidRPr="003A0CBB" w:rsidRDefault="001E66F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5B1C75" w:rsidRPr="003A0CBB" w:rsidRDefault="001E66F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311,20</w:t>
            </w:r>
          </w:p>
        </w:tc>
      </w:tr>
      <w:tr w:rsidR="005B1C75" w:rsidTr="0066260B">
        <w:trPr>
          <w:trHeight w:val="243"/>
        </w:trPr>
        <w:tc>
          <w:tcPr>
            <w:tcW w:w="1951" w:type="dxa"/>
            <w:vMerge w:val="restart"/>
          </w:tcPr>
          <w:p w:rsidR="005B1C75" w:rsidRPr="00191111" w:rsidRDefault="005B1C75" w:rsidP="0066260B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Polsko</w:t>
            </w:r>
          </w:p>
        </w:tc>
        <w:tc>
          <w:tcPr>
            <w:tcW w:w="1418" w:type="dxa"/>
          </w:tcPr>
          <w:p w:rsidR="005B1C75" w:rsidRDefault="0053297B" w:rsidP="00FA4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5B1C75">
              <w:rPr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5B1C75" w:rsidRDefault="001E66F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368,88</w:t>
            </w:r>
          </w:p>
        </w:tc>
        <w:tc>
          <w:tcPr>
            <w:tcW w:w="1559" w:type="dxa"/>
          </w:tcPr>
          <w:p w:rsidR="005B1C75" w:rsidRDefault="001E66F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297,80</w:t>
            </w:r>
          </w:p>
        </w:tc>
        <w:tc>
          <w:tcPr>
            <w:tcW w:w="1559" w:type="dxa"/>
          </w:tcPr>
          <w:p w:rsidR="005B1C75" w:rsidRDefault="001E66F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324,52</w:t>
            </w:r>
          </w:p>
        </w:tc>
        <w:tc>
          <w:tcPr>
            <w:tcW w:w="1276" w:type="dxa"/>
          </w:tcPr>
          <w:p w:rsidR="005B1C75" w:rsidRDefault="001E66F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5B1C75" w:rsidRDefault="001E66F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327,53</w:t>
            </w:r>
          </w:p>
        </w:tc>
      </w:tr>
      <w:tr w:rsidR="005B1C75" w:rsidTr="0066260B">
        <w:trPr>
          <w:trHeight w:val="243"/>
        </w:trPr>
        <w:tc>
          <w:tcPr>
            <w:tcW w:w="1951" w:type="dxa"/>
            <w:vMerge/>
          </w:tcPr>
          <w:p w:rsidR="005B1C75" w:rsidRPr="00191111" w:rsidRDefault="005B1C75" w:rsidP="0066260B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5B1C75" w:rsidRPr="003A0CBB" w:rsidRDefault="0053297B" w:rsidP="00FA458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5B1C75">
              <w:rPr>
                <w:b/>
                <w:sz w:val="18"/>
                <w:szCs w:val="18"/>
              </w:rPr>
              <w:t>/2014</w:t>
            </w:r>
          </w:p>
        </w:tc>
        <w:tc>
          <w:tcPr>
            <w:tcW w:w="1701" w:type="dxa"/>
          </w:tcPr>
          <w:p w:rsidR="005B1C75" w:rsidRPr="003A0CBB" w:rsidRDefault="001E66F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337,20</w:t>
            </w:r>
          </w:p>
        </w:tc>
        <w:tc>
          <w:tcPr>
            <w:tcW w:w="1559" w:type="dxa"/>
          </w:tcPr>
          <w:p w:rsidR="005B1C75" w:rsidRPr="003A0CBB" w:rsidRDefault="001E66F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274,90</w:t>
            </w:r>
          </w:p>
        </w:tc>
        <w:tc>
          <w:tcPr>
            <w:tcW w:w="1559" w:type="dxa"/>
          </w:tcPr>
          <w:p w:rsidR="005B1C75" w:rsidRPr="003A0CBB" w:rsidRDefault="001E66F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338,30</w:t>
            </w:r>
          </w:p>
        </w:tc>
        <w:tc>
          <w:tcPr>
            <w:tcW w:w="1276" w:type="dxa"/>
          </w:tcPr>
          <w:p w:rsidR="005B1C75" w:rsidRPr="003A0CBB" w:rsidRDefault="001E66F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5B1C75" w:rsidRPr="003A0CBB" w:rsidRDefault="001E66F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328,81</w:t>
            </w:r>
          </w:p>
        </w:tc>
      </w:tr>
      <w:tr w:rsidR="005B1C75" w:rsidTr="0066260B">
        <w:trPr>
          <w:trHeight w:val="243"/>
        </w:trPr>
        <w:tc>
          <w:tcPr>
            <w:tcW w:w="1951" w:type="dxa"/>
            <w:vMerge w:val="restart"/>
          </w:tcPr>
          <w:p w:rsidR="005B1C75" w:rsidRPr="00191111" w:rsidRDefault="005B1C75" w:rsidP="0066260B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EU celkem</w:t>
            </w:r>
          </w:p>
        </w:tc>
        <w:tc>
          <w:tcPr>
            <w:tcW w:w="1418" w:type="dxa"/>
          </w:tcPr>
          <w:p w:rsidR="005B1C75" w:rsidRDefault="0053297B" w:rsidP="00FA4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5B1C75">
              <w:rPr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5B1C75" w:rsidRDefault="001E66F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399,94</w:t>
            </w:r>
          </w:p>
        </w:tc>
        <w:tc>
          <w:tcPr>
            <w:tcW w:w="1559" w:type="dxa"/>
          </w:tcPr>
          <w:p w:rsidR="005B1C75" w:rsidRDefault="001E66F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310,38</w:t>
            </w:r>
          </w:p>
        </w:tc>
        <w:tc>
          <w:tcPr>
            <w:tcW w:w="1559" w:type="dxa"/>
          </w:tcPr>
          <w:p w:rsidR="005B1C75" w:rsidRDefault="001E66F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362,62</w:t>
            </w:r>
          </w:p>
        </w:tc>
        <w:tc>
          <w:tcPr>
            <w:tcW w:w="1276" w:type="dxa"/>
          </w:tcPr>
          <w:p w:rsidR="005B1C75" w:rsidRDefault="001E66F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361,35</w:t>
            </w:r>
          </w:p>
        </w:tc>
        <w:tc>
          <w:tcPr>
            <w:tcW w:w="1302" w:type="dxa"/>
          </w:tcPr>
          <w:p w:rsidR="005B1C75" w:rsidRDefault="001E66FE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331,62</w:t>
            </w:r>
          </w:p>
        </w:tc>
      </w:tr>
      <w:tr w:rsidR="005B1C75" w:rsidTr="0066260B">
        <w:trPr>
          <w:trHeight w:val="243"/>
        </w:trPr>
        <w:tc>
          <w:tcPr>
            <w:tcW w:w="1951" w:type="dxa"/>
            <w:vMerge/>
          </w:tcPr>
          <w:p w:rsidR="005B1C75" w:rsidRDefault="005B1C75" w:rsidP="0066260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B1C75" w:rsidRPr="003A0CBB" w:rsidRDefault="0053297B" w:rsidP="00FA458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5B1C75">
              <w:rPr>
                <w:b/>
                <w:sz w:val="18"/>
                <w:szCs w:val="18"/>
              </w:rPr>
              <w:t>/2014</w:t>
            </w:r>
          </w:p>
        </w:tc>
        <w:tc>
          <w:tcPr>
            <w:tcW w:w="1701" w:type="dxa"/>
          </w:tcPr>
          <w:p w:rsidR="005B1C75" w:rsidRPr="003A0CBB" w:rsidRDefault="001E66F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350,16</w:t>
            </w:r>
          </w:p>
        </w:tc>
        <w:tc>
          <w:tcPr>
            <w:tcW w:w="1559" w:type="dxa"/>
          </w:tcPr>
          <w:p w:rsidR="005B1C75" w:rsidRPr="003A0CBB" w:rsidRDefault="001E66F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287,56</w:t>
            </w:r>
          </w:p>
        </w:tc>
        <w:tc>
          <w:tcPr>
            <w:tcW w:w="1559" w:type="dxa"/>
          </w:tcPr>
          <w:p w:rsidR="005B1C75" w:rsidRPr="003A0CBB" w:rsidRDefault="001E66F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331,07</w:t>
            </w:r>
          </w:p>
        </w:tc>
        <w:tc>
          <w:tcPr>
            <w:tcW w:w="1276" w:type="dxa"/>
          </w:tcPr>
          <w:p w:rsidR="005B1C75" w:rsidRPr="003A0CBB" w:rsidRDefault="001E66F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382,11</w:t>
            </w:r>
          </w:p>
        </w:tc>
        <w:tc>
          <w:tcPr>
            <w:tcW w:w="1302" w:type="dxa"/>
          </w:tcPr>
          <w:p w:rsidR="005B1C75" w:rsidRPr="003A0CBB" w:rsidRDefault="001E66FE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320,49</w:t>
            </w:r>
          </w:p>
        </w:tc>
      </w:tr>
    </w:tbl>
    <w:p w:rsidR="00C31120" w:rsidRDefault="00C31120" w:rsidP="00C31120">
      <w:pPr>
        <w:rPr>
          <w:sz w:val="18"/>
          <w:szCs w:val="18"/>
        </w:rPr>
      </w:pPr>
      <w:r>
        <w:rPr>
          <w:sz w:val="18"/>
          <w:szCs w:val="18"/>
        </w:rPr>
        <w:t>Pramen: DG AGRI</w:t>
      </w:r>
    </w:p>
    <w:p w:rsidR="00607E48" w:rsidRDefault="00607E48" w:rsidP="00607E48">
      <w:pPr>
        <w:rPr>
          <w:sz w:val="18"/>
          <w:szCs w:val="18"/>
        </w:rPr>
      </w:pPr>
    </w:p>
    <w:p w:rsidR="00607E48" w:rsidRPr="007B426C" w:rsidRDefault="00607E48" w:rsidP="00A814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shd w:val="clear" w:color="auto" w:fill="C2D69B" w:themeFill="accent3" w:themeFillTint="99"/>
        <w:jc w:val="center"/>
        <w:outlineLvl w:val="0"/>
        <w:rPr>
          <w:b/>
        </w:rPr>
      </w:pPr>
      <w:r>
        <w:rPr>
          <w:b/>
        </w:rPr>
        <w:t>Zah</w:t>
      </w:r>
      <w:r w:rsidRPr="007B426C">
        <w:rPr>
          <w:b/>
        </w:rPr>
        <w:t xml:space="preserve">raniční obchod </w:t>
      </w:r>
      <w:r>
        <w:rPr>
          <w:b/>
        </w:rPr>
        <w:t>leden</w:t>
      </w:r>
      <w:r w:rsidR="00211567">
        <w:rPr>
          <w:b/>
        </w:rPr>
        <w:t xml:space="preserve"> - </w:t>
      </w:r>
      <w:r w:rsidR="0053297B">
        <w:rPr>
          <w:b/>
        </w:rPr>
        <w:t>červen</w:t>
      </w:r>
      <w:r>
        <w:rPr>
          <w:b/>
        </w:rPr>
        <w:t xml:space="preserve"> 201</w:t>
      </w:r>
      <w:r w:rsidR="00C00BB4">
        <w:rPr>
          <w:b/>
        </w:rPr>
        <w:t>3</w:t>
      </w:r>
      <w:r>
        <w:rPr>
          <w:b/>
        </w:rPr>
        <w:t xml:space="preserve"> a 201</w:t>
      </w:r>
      <w:r w:rsidR="00C00BB4">
        <w:rPr>
          <w:b/>
        </w:rPr>
        <w:t>4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3"/>
        <w:gridCol w:w="1929"/>
        <w:gridCol w:w="1769"/>
        <w:gridCol w:w="1769"/>
        <w:gridCol w:w="1953"/>
      </w:tblGrid>
      <w:tr w:rsidR="00607E48" w:rsidRPr="007D3526" w:rsidTr="00A814B3">
        <w:trPr>
          <w:trHeight w:val="212"/>
        </w:trPr>
        <w:tc>
          <w:tcPr>
            <w:tcW w:w="3353" w:type="dxa"/>
            <w:vMerge w:val="restart"/>
            <w:shd w:val="clear" w:color="auto" w:fill="EAF1DD" w:themeFill="accent3" w:themeFillTint="33"/>
          </w:tcPr>
          <w:p w:rsidR="00607E48" w:rsidRPr="007D3526" w:rsidRDefault="00607E48" w:rsidP="00ED18DA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698" w:type="dxa"/>
            <w:gridSpan w:val="2"/>
            <w:shd w:val="clear" w:color="auto" w:fill="EAF1DD" w:themeFill="accent3" w:themeFillTint="33"/>
          </w:tcPr>
          <w:p w:rsidR="00607E48" w:rsidRPr="007D3526" w:rsidRDefault="00607E48" w:rsidP="0053297B">
            <w:pPr>
              <w:ind w:right="29"/>
              <w:jc w:val="center"/>
              <w:rPr>
                <w:b/>
                <w:caps/>
                <w:sz w:val="20"/>
              </w:rPr>
            </w:pPr>
            <w:r>
              <w:rPr>
                <w:b/>
                <w:sz w:val="20"/>
              </w:rPr>
              <w:t>Leden</w:t>
            </w:r>
            <w:r w:rsidR="00211567">
              <w:rPr>
                <w:b/>
                <w:sz w:val="20"/>
              </w:rPr>
              <w:t xml:space="preserve"> - </w:t>
            </w:r>
            <w:r w:rsidR="0053297B">
              <w:rPr>
                <w:b/>
                <w:sz w:val="20"/>
              </w:rPr>
              <w:t>červen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722" w:type="dxa"/>
            <w:gridSpan w:val="2"/>
            <w:shd w:val="clear" w:color="auto" w:fill="EAF1DD" w:themeFill="accent3" w:themeFillTint="33"/>
          </w:tcPr>
          <w:p w:rsidR="00607E48" w:rsidRPr="007D3526" w:rsidRDefault="00607E48" w:rsidP="00C00BB4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 w:rsidR="00C00BB4">
              <w:rPr>
                <w:b/>
                <w:sz w:val="20"/>
              </w:rPr>
              <w:t>4</w:t>
            </w:r>
            <w:r w:rsidRPr="007D3526">
              <w:rPr>
                <w:b/>
                <w:sz w:val="20"/>
              </w:rPr>
              <w:t>/201</w:t>
            </w:r>
            <w:r w:rsidR="00C00BB4">
              <w:rPr>
                <w:b/>
                <w:sz w:val="20"/>
              </w:rPr>
              <w:t>3</w:t>
            </w:r>
          </w:p>
        </w:tc>
      </w:tr>
      <w:tr w:rsidR="00607E48" w:rsidRPr="007D3526" w:rsidTr="00A814B3">
        <w:trPr>
          <w:trHeight w:val="143"/>
        </w:trPr>
        <w:tc>
          <w:tcPr>
            <w:tcW w:w="3353" w:type="dxa"/>
            <w:vMerge/>
            <w:shd w:val="clear" w:color="auto" w:fill="EAF1DD" w:themeFill="accent3" w:themeFillTint="33"/>
          </w:tcPr>
          <w:p w:rsidR="00607E48" w:rsidRPr="007D3526" w:rsidRDefault="00607E48" w:rsidP="00ED18DA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929" w:type="dxa"/>
            <w:shd w:val="clear" w:color="auto" w:fill="EAF1DD" w:themeFill="accent3" w:themeFillTint="33"/>
          </w:tcPr>
          <w:p w:rsidR="00607E48" w:rsidRPr="007D3526" w:rsidRDefault="00607E48" w:rsidP="00C00BB4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 w:rsidR="00C00BB4">
              <w:rPr>
                <w:b/>
                <w:sz w:val="20"/>
              </w:rPr>
              <w:t>3</w:t>
            </w:r>
          </w:p>
        </w:tc>
        <w:tc>
          <w:tcPr>
            <w:tcW w:w="1769" w:type="dxa"/>
            <w:shd w:val="clear" w:color="auto" w:fill="EAF1DD" w:themeFill="accent3" w:themeFillTint="33"/>
          </w:tcPr>
          <w:p w:rsidR="00607E48" w:rsidRPr="007D3526" w:rsidRDefault="00607E48" w:rsidP="00C00BB4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 w:rsidR="00C00BB4">
              <w:rPr>
                <w:b/>
                <w:sz w:val="20"/>
              </w:rPr>
              <w:t>4</w:t>
            </w:r>
          </w:p>
        </w:tc>
        <w:tc>
          <w:tcPr>
            <w:tcW w:w="1769" w:type="dxa"/>
            <w:shd w:val="clear" w:color="auto" w:fill="EAF1DD" w:themeFill="accent3" w:themeFillTint="33"/>
          </w:tcPr>
          <w:p w:rsidR="00607E48" w:rsidRPr="007D3526" w:rsidRDefault="00607E48" w:rsidP="00ED18D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953" w:type="dxa"/>
            <w:shd w:val="clear" w:color="auto" w:fill="EAF1DD" w:themeFill="accent3" w:themeFillTint="33"/>
          </w:tcPr>
          <w:p w:rsidR="00607E48" w:rsidRPr="007D3526" w:rsidRDefault="00607E48" w:rsidP="00ED18D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607E48" w:rsidRPr="007D3526" w:rsidTr="00ED18DA">
        <w:trPr>
          <w:trHeight w:val="482"/>
        </w:trPr>
        <w:tc>
          <w:tcPr>
            <w:tcW w:w="3353" w:type="dxa"/>
          </w:tcPr>
          <w:p w:rsidR="00607E48" w:rsidRPr="007D3526" w:rsidRDefault="00607E48" w:rsidP="00ED18DA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607E48" w:rsidRPr="007D3526" w:rsidRDefault="00607E48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607E48" w:rsidRPr="007D3526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8 693 206</w:t>
            </w:r>
          </w:p>
        </w:tc>
        <w:tc>
          <w:tcPr>
            <w:tcW w:w="1769" w:type="dxa"/>
            <w:vAlign w:val="center"/>
          </w:tcPr>
          <w:p w:rsidR="00607E48" w:rsidRPr="007D3526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10 253 522</w:t>
            </w:r>
          </w:p>
        </w:tc>
        <w:tc>
          <w:tcPr>
            <w:tcW w:w="1769" w:type="dxa"/>
            <w:vAlign w:val="center"/>
          </w:tcPr>
          <w:p w:rsidR="00607E48" w:rsidRPr="007D3526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1 560 316</w:t>
            </w:r>
          </w:p>
        </w:tc>
        <w:tc>
          <w:tcPr>
            <w:tcW w:w="1953" w:type="dxa"/>
            <w:vAlign w:val="center"/>
          </w:tcPr>
          <w:p w:rsidR="00607E48" w:rsidRPr="007D3526" w:rsidRDefault="001B7EFC" w:rsidP="00ED18DA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117,9</w:t>
            </w:r>
          </w:p>
        </w:tc>
      </w:tr>
      <w:tr w:rsidR="00607E48" w:rsidRPr="007D3526" w:rsidTr="00ED18DA">
        <w:trPr>
          <w:trHeight w:val="502"/>
        </w:trPr>
        <w:tc>
          <w:tcPr>
            <w:tcW w:w="3353" w:type="dxa"/>
          </w:tcPr>
          <w:p w:rsidR="00607E48" w:rsidRPr="007D3526" w:rsidRDefault="00607E48" w:rsidP="00ED18DA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607E48" w:rsidRPr="007D3526" w:rsidRDefault="00607E48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607E48" w:rsidRPr="007D3526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5 794 460</w:t>
            </w:r>
          </w:p>
        </w:tc>
        <w:tc>
          <w:tcPr>
            <w:tcW w:w="1769" w:type="dxa"/>
            <w:vAlign w:val="center"/>
          </w:tcPr>
          <w:p w:rsidR="00607E48" w:rsidRPr="007D3526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6 799 524</w:t>
            </w:r>
          </w:p>
        </w:tc>
        <w:tc>
          <w:tcPr>
            <w:tcW w:w="1769" w:type="dxa"/>
            <w:vAlign w:val="center"/>
          </w:tcPr>
          <w:p w:rsidR="00607E48" w:rsidRPr="007D3526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1 005 064</w:t>
            </w:r>
          </w:p>
        </w:tc>
        <w:tc>
          <w:tcPr>
            <w:tcW w:w="1953" w:type="dxa"/>
            <w:vAlign w:val="center"/>
          </w:tcPr>
          <w:p w:rsidR="00607E48" w:rsidRPr="007D3526" w:rsidRDefault="001B7EFC" w:rsidP="00ED18DA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117,3</w:t>
            </w:r>
          </w:p>
        </w:tc>
      </w:tr>
      <w:tr w:rsidR="00607E48" w:rsidRPr="007D3526" w:rsidTr="00ED18DA">
        <w:trPr>
          <w:trHeight w:val="482"/>
        </w:trPr>
        <w:tc>
          <w:tcPr>
            <w:tcW w:w="3353" w:type="dxa"/>
          </w:tcPr>
          <w:p w:rsidR="00607E48" w:rsidRPr="007D3526" w:rsidRDefault="00607E48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929" w:type="dxa"/>
            <w:vAlign w:val="center"/>
          </w:tcPr>
          <w:p w:rsidR="00607E48" w:rsidRPr="007D3526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2 898 746</w:t>
            </w:r>
          </w:p>
        </w:tc>
        <w:tc>
          <w:tcPr>
            <w:tcW w:w="1769" w:type="dxa"/>
            <w:vAlign w:val="center"/>
          </w:tcPr>
          <w:p w:rsidR="00607E48" w:rsidRPr="007D3526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3 453 998</w:t>
            </w:r>
          </w:p>
        </w:tc>
        <w:tc>
          <w:tcPr>
            <w:tcW w:w="1769" w:type="dxa"/>
            <w:vAlign w:val="center"/>
          </w:tcPr>
          <w:p w:rsidR="00607E48" w:rsidRPr="007D3526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555 252</w:t>
            </w:r>
          </w:p>
        </w:tc>
        <w:tc>
          <w:tcPr>
            <w:tcW w:w="1953" w:type="dxa"/>
            <w:vAlign w:val="center"/>
          </w:tcPr>
          <w:p w:rsidR="00607E48" w:rsidRPr="007D3526" w:rsidRDefault="001B7EFC" w:rsidP="00ED18DA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119,2</w:t>
            </w:r>
          </w:p>
        </w:tc>
      </w:tr>
      <w:tr w:rsidR="00607E48" w:rsidRPr="007D3526" w:rsidTr="00ED18DA">
        <w:trPr>
          <w:trHeight w:val="251"/>
        </w:trPr>
        <w:tc>
          <w:tcPr>
            <w:tcW w:w="3353" w:type="dxa"/>
          </w:tcPr>
          <w:p w:rsidR="00607E48" w:rsidRPr="007D3526" w:rsidRDefault="00607E48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929" w:type="dxa"/>
            <w:vAlign w:val="center"/>
          </w:tcPr>
          <w:p w:rsidR="00607E48" w:rsidRPr="007D3526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14 487 666</w:t>
            </w:r>
          </w:p>
        </w:tc>
        <w:tc>
          <w:tcPr>
            <w:tcW w:w="1769" w:type="dxa"/>
            <w:vAlign w:val="center"/>
          </w:tcPr>
          <w:p w:rsidR="00607E48" w:rsidRPr="007D3526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17 053 046</w:t>
            </w:r>
          </w:p>
        </w:tc>
        <w:tc>
          <w:tcPr>
            <w:tcW w:w="1769" w:type="dxa"/>
            <w:vAlign w:val="center"/>
          </w:tcPr>
          <w:p w:rsidR="00607E48" w:rsidRPr="007D3526" w:rsidRDefault="001B7EFC" w:rsidP="00ED18DA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2 565 380</w:t>
            </w:r>
          </w:p>
        </w:tc>
        <w:tc>
          <w:tcPr>
            <w:tcW w:w="1953" w:type="dxa"/>
            <w:vAlign w:val="center"/>
          </w:tcPr>
          <w:p w:rsidR="00607E48" w:rsidRPr="007D3526" w:rsidRDefault="001B7EFC" w:rsidP="00ED18DA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117,7</w:t>
            </w:r>
          </w:p>
        </w:tc>
      </w:tr>
    </w:tbl>
    <w:p w:rsidR="00607E48" w:rsidRDefault="00607E48" w:rsidP="00607E48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>, MZe</w:t>
      </w:r>
    </w:p>
    <w:p w:rsidR="001B7EFC" w:rsidRPr="003235A2" w:rsidRDefault="003235A2" w:rsidP="00D50945">
      <w:pPr>
        <w:jc w:val="both"/>
        <w:rPr>
          <w:b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>Ruská federace zavedla protiopatření, kterými reaguje na uvalení sankcí ze strany USA a EU. S platností od 6. 8. 2014 platí zákaz dovozu potravin</w:t>
      </w:r>
      <w:r w:rsidR="00D50945">
        <w:rPr>
          <w:b/>
          <w:color w:val="FF0000"/>
          <w:sz w:val="18"/>
          <w:szCs w:val="18"/>
        </w:rPr>
        <w:t>,</w:t>
      </w:r>
      <w:r>
        <w:rPr>
          <w:b/>
          <w:color w:val="FF0000"/>
          <w:sz w:val="18"/>
          <w:szCs w:val="18"/>
        </w:rPr>
        <w:t xml:space="preserve"> v délce trvání jednoho roku</w:t>
      </w:r>
      <w:r w:rsidR="00D50945">
        <w:rPr>
          <w:b/>
          <w:color w:val="FF0000"/>
          <w:sz w:val="18"/>
          <w:szCs w:val="18"/>
        </w:rPr>
        <w:t>, původem z USA, EU, Kanady, Austrálie a Norska</w:t>
      </w:r>
      <w:r>
        <w:rPr>
          <w:b/>
          <w:color w:val="FF0000"/>
          <w:sz w:val="18"/>
          <w:szCs w:val="18"/>
        </w:rPr>
        <w:t xml:space="preserve">. Konkrétně je zákaz uvalen na dovoz hovězího, vepřového a drůbežího masa, soleného masa a masných výrobků, dále pak na dovoz ryb, korýšů, </w:t>
      </w:r>
      <w:r w:rsidRPr="00D50945">
        <w:rPr>
          <w:b/>
          <w:color w:val="FF0000"/>
          <w:sz w:val="18"/>
          <w:szCs w:val="18"/>
          <w:u w:val="single"/>
        </w:rPr>
        <w:t>mléka a mléčných výrobků</w:t>
      </w:r>
      <w:r>
        <w:rPr>
          <w:b/>
          <w:color w:val="FF0000"/>
          <w:sz w:val="18"/>
          <w:szCs w:val="18"/>
        </w:rPr>
        <w:t>, ovoce a zeleniny, sladového výtažku a potravinových přípravků.</w:t>
      </w:r>
      <w:r w:rsidR="00D50945">
        <w:rPr>
          <w:b/>
          <w:color w:val="FF0000"/>
          <w:sz w:val="18"/>
          <w:szCs w:val="18"/>
        </w:rPr>
        <w:t xml:space="preserve"> </w:t>
      </w:r>
    </w:p>
    <w:p w:rsidR="001B7EFC" w:rsidRPr="003235A2" w:rsidRDefault="001B7EFC" w:rsidP="00D50945">
      <w:pPr>
        <w:jc w:val="both"/>
        <w:rPr>
          <w:b/>
          <w:color w:val="FF0000"/>
          <w:sz w:val="18"/>
          <w:szCs w:val="18"/>
        </w:rPr>
      </w:pPr>
    </w:p>
    <w:p w:rsidR="001B7EFC" w:rsidRPr="003235A2" w:rsidRDefault="001B7EFC" w:rsidP="00607E48">
      <w:pPr>
        <w:rPr>
          <w:b/>
          <w:color w:val="FF0000"/>
          <w:sz w:val="18"/>
          <w:szCs w:val="18"/>
        </w:rPr>
      </w:pPr>
    </w:p>
    <w:p w:rsidR="001B7EFC" w:rsidRPr="001B7EFC" w:rsidRDefault="001B7EFC" w:rsidP="00607E48">
      <w:pPr>
        <w:numPr>
          <w:ilvl w:val="0"/>
          <w:numId w:val="20"/>
        </w:numPr>
        <w:ind w:right="29"/>
        <w:jc w:val="both"/>
        <w:rPr>
          <w:b/>
          <w:i/>
          <w:sz w:val="18"/>
          <w:szCs w:val="18"/>
        </w:rPr>
      </w:pPr>
      <w:r w:rsidRPr="001B7EFC">
        <w:rPr>
          <w:b/>
          <w:sz w:val="22"/>
          <w:szCs w:val="22"/>
        </w:rPr>
        <w:t>Zrychluje se tempo dovozu</w:t>
      </w:r>
    </w:p>
    <w:p w:rsidR="00607E48" w:rsidRPr="006859F0" w:rsidRDefault="00607E48" w:rsidP="00607E48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Export mléčné suroviny</w:t>
      </w:r>
      <w:r w:rsidRPr="00A079D8">
        <w:rPr>
          <w:sz w:val="22"/>
          <w:szCs w:val="22"/>
        </w:rPr>
        <w:t xml:space="preserve"> (</w:t>
      </w:r>
      <w:r w:rsidRPr="00A079D8">
        <w:rPr>
          <w:sz w:val="22"/>
          <w:szCs w:val="22"/>
          <w:u w:val="single"/>
        </w:rPr>
        <w:t>vývoz zboží s nízkou přidanou hodnotou)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představuje </w:t>
      </w:r>
      <w:r w:rsidR="00B1441B">
        <w:rPr>
          <w:sz w:val="22"/>
          <w:szCs w:val="22"/>
          <w:u w:val="single"/>
        </w:rPr>
        <w:t>28,</w:t>
      </w:r>
      <w:r w:rsidR="001B7EFC">
        <w:rPr>
          <w:sz w:val="22"/>
          <w:szCs w:val="22"/>
          <w:u w:val="single"/>
        </w:rPr>
        <w:t>3</w:t>
      </w:r>
      <w:r w:rsidRPr="00E536CF">
        <w:rPr>
          <w:sz w:val="22"/>
          <w:szCs w:val="22"/>
          <w:u w:val="single"/>
        </w:rPr>
        <w:t xml:space="preserve"> % </w:t>
      </w:r>
      <w:r>
        <w:rPr>
          <w:sz w:val="22"/>
          <w:szCs w:val="22"/>
        </w:rPr>
        <w:t xml:space="preserve">z celkové finanční hodnoty vývozu </w:t>
      </w:r>
    </w:p>
    <w:p w:rsidR="00607E48" w:rsidRPr="00A079D8" w:rsidRDefault="00607E48" w:rsidP="00607E48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Vývoz sýrů a tvarohů tvoří </w:t>
      </w:r>
      <w:r w:rsidR="00B1441B">
        <w:rPr>
          <w:sz w:val="22"/>
          <w:szCs w:val="22"/>
        </w:rPr>
        <w:t>23,</w:t>
      </w:r>
      <w:r w:rsidR="001B7EFC">
        <w:rPr>
          <w:sz w:val="22"/>
          <w:szCs w:val="22"/>
        </w:rPr>
        <w:t>7</w:t>
      </w:r>
      <w:r>
        <w:rPr>
          <w:sz w:val="22"/>
          <w:szCs w:val="22"/>
        </w:rPr>
        <w:t xml:space="preserve"> % celkové finanční hodnoty vývozu mléka a mlékárenských výrobků</w:t>
      </w:r>
    </w:p>
    <w:p w:rsidR="00607E48" w:rsidRDefault="00607E48" w:rsidP="00607E48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025012">
        <w:rPr>
          <w:sz w:val="22"/>
          <w:szCs w:val="22"/>
        </w:rPr>
        <w:t>Trvale záporná bilance zahraničního o</w:t>
      </w:r>
      <w:r>
        <w:rPr>
          <w:sz w:val="22"/>
          <w:szCs w:val="22"/>
        </w:rPr>
        <w:t xml:space="preserve">bchodu u másla a sýrů a tvarohů; dovoz sýrů a tvarohů představuje </w:t>
      </w:r>
      <w:r>
        <w:rPr>
          <w:sz w:val="22"/>
          <w:szCs w:val="22"/>
        </w:rPr>
        <w:br/>
      </w:r>
      <w:r w:rsidR="00DE1AB4">
        <w:rPr>
          <w:sz w:val="22"/>
          <w:szCs w:val="22"/>
        </w:rPr>
        <w:t>58,</w:t>
      </w:r>
      <w:r w:rsidR="001B7EFC">
        <w:rPr>
          <w:sz w:val="22"/>
          <w:szCs w:val="22"/>
        </w:rPr>
        <w:t>7</w:t>
      </w:r>
      <w:r>
        <w:rPr>
          <w:sz w:val="22"/>
          <w:szCs w:val="22"/>
        </w:rPr>
        <w:t xml:space="preserve"> % celkového dovozu mléka a mléčných výrobků (ve finančním vyjádření)</w:t>
      </w:r>
    </w:p>
    <w:p w:rsidR="00607E48" w:rsidRDefault="00607E48" w:rsidP="00607E48">
      <w:pPr>
        <w:ind w:right="29"/>
        <w:jc w:val="both"/>
        <w:rPr>
          <w:sz w:val="22"/>
          <w:szCs w:val="22"/>
        </w:rPr>
      </w:pPr>
    </w:p>
    <w:p w:rsidR="00607E48" w:rsidRPr="007B426C" w:rsidRDefault="00607E48" w:rsidP="00607E48">
      <w:pPr>
        <w:ind w:left="284"/>
        <w:outlineLvl w:val="0"/>
        <w:rPr>
          <w:b/>
        </w:rPr>
      </w:pPr>
      <w:r>
        <w:rPr>
          <w:b/>
        </w:rPr>
        <w:t>Vývoj zahraničního</w:t>
      </w:r>
      <w:r w:rsidRPr="007B426C">
        <w:rPr>
          <w:b/>
        </w:rPr>
        <w:t xml:space="preserve"> obchodu s mlékem a mlékárenskými výrobky za </w:t>
      </w:r>
      <w:r>
        <w:rPr>
          <w:b/>
        </w:rPr>
        <w:t xml:space="preserve">leden </w:t>
      </w:r>
      <w:r w:rsidR="00211567">
        <w:rPr>
          <w:b/>
        </w:rPr>
        <w:t xml:space="preserve">– </w:t>
      </w:r>
      <w:r w:rsidR="0053297B">
        <w:rPr>
          <w:b/>
        </w:rPr>
        <w:t>červen</w:t>
      </w:r>
      <w:r w:rsidR="00211567">
        <w:rPr>
          <w:b/>
        </w:rPr>
        <w:t xml:space="preserve"> </w:t>
      </w:r>
      <w:r>
        <w:rPr>
          <w:b/>
        </w:rPr>
        <w:t>201</w:t>
      </w:r>
      <w:r w:rsidR="00C00BB4">
        <w:rPr>
          <w:b/>
        </w:rPr>
        <w:t>3</w:t>
      </w:r>
      <w:r>
        <w:rPr>
          <w:b/>
        </w:rPr>
        <w:t xml:space="preserve"> a 201</w:t>
      </w:r>
      <w:r w:rsidR="00C00BB4">
        <w:rPr>
          <w:b/>
        </w:rPr>
        <w:t>4</w:t>
      </w:r>
    </w:p>
    <w:tbl>
      <w:tblPr>
        <w:tblW w:w="10066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9"/>
        <w:gridCol w:w="811"/>
        <w:gridCol w:w="919"/>
        <w:gridCol w:w="932"/>
        <w:gridCol w:w="964"/>
        <w:gridCol w:w="768"/>
        <w:gridCol w:w="709"/>
        <w:gridCol w:w="1138"/>
        <w:gridCol w:w="1130"/>
        <w:gridCol w:w="1136"/>
      </w:tblGrid>
      <w:tr w:rsidR="00607E48" w:rsidRPr="009A018E" w:rsidTr="00A814B3">
        <w:trPr>
          <w:cantSplit/>
          <w:trHeight w:val="41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C2D69B" w:themeFill="accent3" w:themeFillTint="99"/>
            <w:vAlign w:val="center"/>
          </w:tcPr>
          <w:p w:rsidR="00607E48" w:rsidRPr="007B426C" w:rsidRDefault="00607E48" w:rsidP="00ED18DA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811" w:type="dxa"/>
            <w:vMerge w:val="restart"/>
            <w:tcBorders>
              <w:top w:val="double" w:sz="4" w:space="0" w:color="auto"/>
              <w:bottom w:val="nil"/>
            </w:tcBorders>
            <w:shd w:val="clear" w:color="auto" w:fill="C2D69B" w:themeFill="accent3" w:themeFillTint="99"/>
            <w:vAlign w:val="center"/>
          </w:tcPr>
          <w:p w:rsidR="00607E48" w:rsidRPr="00D850D8" w:rsidRDefault="00607E48" w:rsidP="00292E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 </w:t>
            </w:r>
            <w:r w:rsidR="00211567">
              <w:rPr>
                <w:b/>
                <w:sz w:val="16"/>
                <w:szCs w:val="16"/>
              </w:rPr>
              <w:t xml:space="preserve">- </w:t>
            </w:r>
            <w:r w:rsidR="00DB0095">
              <w:rPr>
                <w:b/>
                <w:sz w:val="16"/>
                <w:szCs w:val="16"/>
              </w:rPr>
              <w:t>V</w:t>
            </w:r>
            <w:r w:rsidR="0053297B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815" w:type="dxa"/>
            <w:gridSpan w:val="3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7B426C" w:rsidRDefault="00607E48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477" w:type="dxa"/>
            <w:gridSpan w:val="2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7B426C" w:rsidRDefault="00607E48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404" w:type="dxa"/>
            <w:gridSpan w:val="3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7B426C" w:rsidRDefault="00607E48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607E48" w:rsidRPr="009A018E" w:rsidTr="00DE1AB4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7B426C" w:rsidRDefault="00607E48" w:rsidP="00ED18DA">
            <w:pPr>
              <w:rPr>
                <w:sz w:val="20"/>
              </w:rPr>
            </w:pPr>
          </w:p>
        </w:tc>
        <w:tc>
          <w:tcPr>
            <w:tcW w:w="811" w:type="dxa"/>
            <w:vMerge/>
            <w:tcBorders>
              <w:top w:val="nil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7B426C" w:rsidRDefault="00607E48" w:rsidP="00ED18DA">
            <w:pPr>
              <w:rPr>
                <w:sz w:val="20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D850D8" w:rsidRDefault="00607E48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D850D8" w:rsidRDefault="00607E48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D850D8" w:rsidRDefault="00607E48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768" w:type="dxa"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9C190A" w:rsidRDefault="00607E48" w:rsidP="00ED18DA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9C190A" w:rsidRDefault="00607E48" w:rsidP="00ED18DA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38" w:type="dxa"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D850D8" w:rsidRDefault="00607E48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30" w:type="dxa"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D850D8" w:rsidRDefault="00607E48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D850D8" w:rsidRDefault="00607E48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607E48" w:rsidRPr="009A018E" w:rsidTr="00DE1AB4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</w:tcBorders>
            <w:vAlign w:val="center"/>
          </w:tcPr>
          <w:p w:rsidR="00607E48" w:rsidRPr="007B426C" w:rsidRDefault="00607E48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Mléko a smet. nezah. (0401)</w:t>
            </w:r>
          </w:p>
        </w:tc>
        <w:tc>
          <w:tcPr>
            <w:tcW w:w="811" w:type="dxa"/>
            <w:tcBorders>
              <w:top w:val="nil"/>
            </w:tcBorders>
            <w:vAlign w:val="center"/>
          </w:tcPr>
          <w:p w:rsidR="00607E48" w:rsidRDefault="00E408B4" w:rsidP="00ED18DA">
            <w:pPr>
              <w:rPr>
                <w:sz w:val="20"/>
              </w:rPr>
            </w:pPr>
            <w:r>
              <w:rPr>
                <w:sz w:val="20"/>
              </w:rPr>
              <w:t>201</w:t>
            </w:r>
            <w:r w:rsidR="00C00BB4">
              <w:rPr>
                <w:sz w:val="20"/>
              </w:rPr>
              <w:t>3</w:t>
            </w:r>
          </w:p>
          <w:p w:rsidR="00E408B4" w:rsidRPr="007B426C" w:rsidRDefault="00E408B4" w:rsidP="00C00BB4">
            <w:pPr>
              <w:rPr>
                <w:sz w:val="20"/>
              </w:rPr>
            </w:pPr>
            <w:r>
              <w:rPr>
                <w:sz w:val="20"/>
              </w:rPr>
              <w:t>201</w:t>
            </w:r>
            <w:r w:rsidR="00C00BB4">
              <w:rPr>
                <w:sz w:val="20"/>
              </w:rPr>
              <w:t>4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DE1AB4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37 055</w:t>
            </w:r>
          </w:p>
          <w:p w:rsidR="001B7EFC" w:rsidRPr="007B426C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41 398</w:t>
            </w: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DE1AB4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352 358</w:t>
            </w:r>
          </w:p>
          <w:p w:rsidR="001B7EFC" w:rsidRPr="007B426C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377 275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DE1AB4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315 303</w:t>
            </w:r>
          </w:p>
          <w:p w:rsidR="001B7EFC" w:rsidRPr="007B426C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335 877</w:t>
            </w:r>
          </w:p>
        </w:tc>
        <w:tc>
          <w:tcPr>
            <w:tcW w:w="768" w:type="dxa"/>
            <w:tcBorders>
              <w:top w:val="nil"/>
            </w:tcBorders>
            <w:vAlign w:val="center"/>
          </w:tcPr>
          <w:p w:rsidR="00DE1AB4" w:rsidRPr="001B7EFC" w:rsidRDefault="001B7EFC" w:rsidP="00ED18DA">
            <w:pPr>
              <w:jc w:val="right"/>
              <w:rPr>
                <w:sz w:val="20"/>
              </w:rPr>
            </w:pPr>
            <w:r w:rsidRPr="001B7EFC">
              <w:rPr>
                <w:sz w:val="20"/>
              </w:rPr>
              <w:t>15,85</w:t>
            </w:r>
          </w:p>
          <w:p w:rsidR="001B7EFC" w:rsidRPr="001B7EFC" w:rsidRDefault="001B7EFC" w:rsidP="00ED18DA">
            <w:pPr>
              <w:jc w:val="right"/>
              <w:rPr>
                <w:sz w:val="20"/>
              </w:rPr>
            </w:pPr>
            <w:r w:rsidRPr="001B7EFC">
              <w:rPr>
                <w:sz w:val="20"/>
              </w:rPr>
              <w:t>18,05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DE1AB4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10,11</w:t>
            </w:r>
          </w:p>
          <w:p w:rsidR="001B7EFC" w:rsidRPr="001B7EFC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11,75</w:t>
            </w:r>
          </w:p>
        </w:tc>
        <w:tc>
          <w:tcPr>
            <w:tcW w:w="1138" w:type="dxa"/>
            <w:tcBorders>
              <w:top w:val="nil"/>
            </w:tcBorders>
            <w:vAlign w:val="center"/>
          </w:tcPr>
          <w:p w:rsidR="00DE1AB4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587 318</w:t>
            </w:r>
          </w:p>
          <w:p w:rsidR="001B7EFC" w:rsidRPr="001B7EFC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747 032</w:t>
            </w:r>
          </w:p>
        </w:tc>
        <w:tc>
          <w:tcPr>
            <w:tcW w:w="1130" w:type="dxa"/>
            <w:tcBorders>
              <w:top w:val="nil"/>
            </w:tcBorders>
            <w:vAlign w:val="center"/>
          </w:tcPr>
          <w:p w:rsidR="00DE1AB4" w:rsidRDefault="001B7EFC" w:rsidP="00DE1AB4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3 562 945</w:t>
            </w:r>
          </w:p>
          <w:p w:rsidR="001B7EFC" w:rsidRPr="001B7EFC" w:rsidRDefault="001B7EFC" w:rsidP="00DE1AB4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4 433 206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DE1AB4" w:rsidRDefault="0057158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2 975 627</w:t>
            </w:r>
          </w:p>
          <w:p w:rsidR="00571581" w:rsidRPr="001B7EFC" w:rsidRDefault="0057158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3 686 174</w:t>
            </w:r>
          </w:p>
        </w:tc>
      </w:tr>
      <w:tr w:rsidR="00C00BB4" w:rsidRPr="009A018E" w:rsidTr="00DE1AB4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C00BB4" w:rsidRPr="00086D95" w:rsidRDefault="00C00BB4" w:rsidP="00ED18DA">
            <w:pPr>
              <w:rPr>
                <w:sz w:val="20"/>
                <w:vertAlign w:val="superscript"/>
              </w:rPr>
            </w:pPr>
            <w:r w:rsidRPr="007B426C">
              <w:rPr>
                <w:sz w:val="20"/>
              </w:rPr>
              <w:t>Mléko a smet. zahuš. (0402)</w:t>
            </w:r>
          </w:p>
        </w:tc>
        <w:tc>
          <w:tcPr>
            <w:tcW w:w="811" w:type="dxa"/>
            <w:vAlign w:val="center"/>
          </w:tcPr>
          <w:p w:rsidR="00C00BB4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  <w:p w:rsidR="00C00BB4" w:rsidRPr="007B426C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919" w:type="dxa"/>
            <w:vAlign w:val="center"/>
          </w:tcPr>
          <w:p w:rsidR="00DE1AB4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4 257</w:t>
            </w:r>
          </w:p>
          <w:p w:rsidR="001B7EFC" w:rsidRPr="007B426C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4 820</w:t>
            </w:r>
          </w:p>
        </w:tc>
        <w:tc>
          <w:tcPr>
            <w:tcW w:w="932" w:type="dxa"/>
            <w:vAlign w:val="center"/>
          </w:tcPr>
          <w:p w:rsidR="00DE1AB4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18 215</w:t>
            </w:r>
          </w:p>
          <w:p w:rsidR="001B7EFC" w:rsidRPr="007B426C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17 490</w:t>
            </w:r>
          </w:p>
        </w:tc>
        <w:tc>
          <w:tcPr>
            <w:tcW w:w="964" w:type="dxa"/>
            <w:vAlign w:val="center"/>
          </w:tcPr>
          <w:p w:rsidR="00DE1AB4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13 958</w:t>
            </w:r>
          </w:p>
          <w:p w:rsidR="001B7EFC" w:rsidRPr="007B426C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12 670</w:t>
            </w:r>
          </w:p>
        </w:tc>
        <w:tc>
          <w:tcPr>
            <w:tcW w:w="768" w:type="dxa"/>
            <w:vAlign w:val="center"/>
          </w:tcPr>
          <w:p w:rsidR="00DE1AB4" w:rsidRPr="001B7EFC" w:rsidRDefault="001B7EFC" w:rsidP="00ED18DA">
            <w:pPr>
              <w:jc w:val="right"/>
              <w:rPr>
                <w:sz w:val="20"/>
              </w:rPr>
            </w:pPr>
            <w:r w:rsidRPr="001B7EFC">
              <w:rPr>
                <w:sz w:val="20"/>
              </w:rPr>
              <w:t>61,79</w:t>
            </w:r>
          </w:p>
          <w:p w:rsidR="001B7EFC" w:rsidRPr="001B7EFC" w:rsidRDefault="001B7EFC" w:rsidP="00ED18DA">
            <w:pPr>
              <w:jc w:val="right"/>
              <w:rPr>
                <w:sz w:val="20"/>
              </w:rPr>
            </w:pPr>
            <w:r w:rsidRPr="001B7EFC">
              <w:rPr>
                <w:sz w:val="20"/>
              </w:rPr>
              <w:t>45,23</w:t>
            </w:r>
          </w:p>
        </w:tc>
        <w:tc>
          <w:tcPr>
            <w:tcW w:w="709" w:type="dxa"/>
            <w:vAlign w:val="center"/>
          </w:tcPr>
          <w:p w:rsidR="00DE1AB4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72,10</w:t>
            </w:r>
          </w:p>
          <w:p w:rsidR="001B7EFC" w:rsidRPr="001B7EFC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89,99</w:t>
            </w:r>
          </w:p>
        </w:tc>
        <w:tc>
          <w:tcPr>
            <w:tcW w:w="1138" w:type="dxa"/>
            <w:vAlign w:val="center"/>
          </w:tcPr>
          <w:p w:rsidR="00DE1AB4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263 056</w:t>
            </w:r>
          </w:p>
          <w:p w:rsidR="001B7EFC" w:rsidRPr="001B7EFC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218 060</w:t>
            </w:r>
          </w:p>
        </w:tc>
        <w:tc>
          <w:tcPr>
            <w:tcW w:w="1130" w:type="dxa"/>
            <w:vAlign w:val="center"/>
          </w:tcPr>
          <w:p w:rsidR="00DE1AB4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1 313 336</w:t>
            </w:r>
          </w:p>
          <w:p w:rsidR="001B7EFC" w:rsidRPr="001B7EFC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1 573 945</w:t>
            </w:r>
          </w:p>
        </w:tc>
        <w:tc>
          <w:tcPr>
            <w:tcW w:w="1136" w:type="dxa"/>
            <w:vAlign w:val="center"/>
          </w:tcPr>
          <w:p w:rsidR="00DE1AB4" w:rsidRDefault="0057158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1 050 280</w:t>
            </w:r>
          </w:p>
          <w:p w:rsidR="00571581" w:rsidRPr="001B7EFC" w:rsidRDefault="0057158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1 355 885</w:t>
            </w:r>
          </w:p>
        </w:tc>
      </w:tr>
      <w:tr w:rsidR="00C00BB4" w:rsidRPr="009A018E" w:rsidTr="00DE1AB4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811" w:type="dxa"/>
            <w:vAlign w:val="center"/>
          </w:tcPr>
          <w:p w:rsidR="00C00BB4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  <w:p w:rsidR="00C00BB4" w:rsidRPr="007B426C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919" w:type="dxa"/>
            <w:vAlign w:val="center"/>
          </w:tcPr>
          <w:p w:rsidR="00DE1AB4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20 809</w:t>
            </w:r>
          </w:p>
          <w:p w:rsidR="001B7EFC" w:rsidRPr="007B426C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21 848</w:t>
            </w:r>
          </w:p>
        </w:tc>
        <w:tc>
          <w:tcPr>
            <w:tcW w:w="932" w:type="dxa"/>
            <w:vAlign w:val="center"/>
          </w:tcPr>
          <w:p w:rsidR="00DE1AB4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31 489</w:t>
            </w:r>
          </w:p>
          <w:p w:rsidR="001B7EFC" w:rsidRPr="007B426C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31 249</w:t>
            </w:r>
          </w:p>
        </w:tc>
        <w:tc>
          <w:tcPr>
            <w:tcW w:w="964" w:type="dxa"/>
            <w:vAlign w:val="center"/>
          </w:tcPr>
          <w:p w:rsidR="00DE1AB4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10 680</w:t>
            </w:r>
          </w:p>
          <w:p w:rsidR="001B7EFC" w:rsidRPr="007B426C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9 401</w:t>
            </w:r>
          </w:p>
        </w:tc>
        <w:tc>
          <w:tcPr>
            <w:tcW w:w="768" w:type="dxa"/>
            <w:vAlign w:val="center"/>
          </w:tcPr>
          <w:p w:rsidR="00DE1AB4" w:rsidRPr="001B7EFC" w:rsidRDefault="001B7EFC" w:rsidP="00A57BB8">
            <w:pPr>
              <w:jc w:val="right"/>
              <w:rPr>
                <w:sz w:val="20"/>
              </w:rPr>
            </w:pPr>
            <w:r w:rsidRPr="001B7EFC">
              <w:rPr>
                <w:sz w:val="20"/>
              </w:rPr>
              <w:t>29,23</w:t>
            </w:r>
          </w:p>
          <w:p w:rsidR="001B7EFC" w:rsidRPr="001B7EFC" w:rsidRDefault="001B7EFC" w:rsidP="00A57BB8">
            <w:pPr>
              <w:jc w:val="right"/>
              <w:rPr>
                <w:sz w:val="20"/>
              </w:rPr>
            </w:pPr>
            <w:r w:rsidRPr="001B7EFC">
              <w:rPr>
                <w:sz w:val="20"/>
              </w:rPr>
              <w:t>32,22</w:t>
            </w:r>
          </w:p>
        </w:tc>
        <w:tc>
          <w:tcPr>
            <w:tcW w:w="709" w:type="dxa"/>
            <w:vAlign w:val="center"/>
          </w:tcPr>
          <w:p w:rsidR="00DE1AB4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26,47</w:t>
            </w:r>
          </w:p>
          <w:p w:rsidR="001B7EFC" w:rsidRPr="001B7EFC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28,67</w:t>
            </w:r>
          </w:p>
        </w:tc>
        <w:tc>
          <w:tcPr>
            <w:tcW w:w="1138" w:type="dxa"/>
            <w:vAlign w:val="center"/>
          </w:tcPr>
          <w:p w:rsidR="00DE1AB4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608 272</w:t>
            </w:r>
          </w:p>
          <w:p w:rsidR="001B7EFC" w:rsidRPr="001B7EFC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703 975</w:t>
            </w:r>
          </w:p>
        </w:tc>
        <w:tc>
          <w:tcPr>
            <w:tcW w:w="1130" w:type="dxa"/>
            <w:vAlign w:val="center"/>
          </w:tcPr>
          <w:p w:rsidR="00DE1AB4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833 544</w:t>
            </w:r>
          </w:p>
          <w:p w:rsidR="001B7EFC" w:rsidRPr="001B7EFC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895 775</w:t>
            </w:r>
          </w:p>
        </w:tc>
        <w:tc>
          <w:tcPr>
            <w:tcW w:w="1136" w:type="dxa"/>
            <w:vAlign w:val="center"/>
          </w:tcPr>
          <w:p w:rsidR="00DE1AB4" w:rsidRDefault="0057158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225 272</w:t>
            </w:r>
          </w:p>
          <w:p w:rsidR="00571581" w:rsidRPr="001B7EFC" w:rsidRDefault="0057158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191 800</w:t>
            </w:r>
          </w:p>
        </w:tc>
      </w:tr>
      <w:tr w:rsidR="00C00BB4" w:rsidRPr="009A018E" w:rsidTr="00DE1AB4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811" w:type="dxa"/>
            <w:vAlign w:val="center"/>
          </w:tcPr>
          <w:p w:rsidR="00C00BB4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  <w:p w:rsidR="00C00BB4" w:rsidRPr="007B426C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919" w:type="dxa"/>
            <w:vAlign w:val="center"/>
          </w:tcPr>
          <w:p w:rsidR="00DE1AB4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15 059</w:t>
            </w:r>
          </w:p>
          <w:p w:rsidR="001B7EFC" w:rsidRPr="007B426C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22 034</w:t>
            </w:r>
          </w:p>
        </w:tc>
        <w:tc>
          <w:tcPr>
            <w:tcW w:w="932" w:type="dxa"/>
            <w:vAlign w:val="center"/>
          </w:tcPr>
          <w:p w:rsidR="00DE1AB4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26 591</w:t>
            </w:r>
          </w:p>
          <w:p w:rsidR="001B7EFC" w:rsidRPr="007B426C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27 867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E1AB4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11 532</w:t>
            </w:r>
          </w:p>
          <w:p w:rsidR="001B7EFC" w:rsidRPr="007B426C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5 833</w:t>
            </w:r>
          </w:p>
        </w:tc>
        <w:tc>
          <w:tcPr>
            <w:tcW w:w="768" w:type="dxa"/>
            <w:vAlign w:val="center"/>
          </w:tcPr>
          <w:p w:rsidR="00DE1AB4" w:rsidRPr="001B7EFC" w:rsidRDefault="001B7EFC" w:rsidP="00A57BB8">
            <w:pPr>
              <w:jc w:val="right"/>
              <w:rPr>
                <w:sz w:val="20"/>
              </w:rPr>
            </w:pPr>
            <w:r w:rsidRPr="001B7EFC">
              <w:rPr>
                <w:sz w:val="20"/>
              </w:rPr>
              <w:t>15,08</w:t>
            </w:r>
          </w:p>
          <w:p w:rsidR="001B7EFC" w:rsidRPr="001B7EFC" w:rsidRDefault="001B7EFC" w:rsidP="00A57BB8">
            <w:pPr>
              <w:jc w:val="right"/>
              <w:rPr>
                <w:sz w:val="20"/>
              </w:rPr>
            </w:pPr>
            <w:r w:rsidRPr="001B7EFC">
              <w:rPr>
                <w:sz w:val="20"/>
              </w:rPr>
              <w:t>14,39</w:t>
            </w:r>
          </w:p>
        </w:tc>
        <w:tc>
          <w:tcPr>
            <w:tcW w:w="709" w:type="dxa"/>
            <w:vAlign w:val="center"/>
          </w:tcPr>
          <w:p w:rsidR="00DE1AB4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24,70</w:t>
            </w:r>
          </w:p>
          <w:p w:rsidR="001B7EFC" w:rsidRPr="001B7EFC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25,13</w:t>
            </w:r>
          </w:p>
        </w:tc>
        <w:tc>
          <w:tcPr>
            <w:tcW w:w="1138" w:type="dxa"/>
            <w:vAlign w:val="center"/>
          </w:tcPr>
          <w:p w:rsidR="00DE1AB4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227 012</w:t>
            </w:r>
          </w:p>
          <w:p w:rsidR="001B7EFC" w:rsidRPr="001B7EFC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317 171</w:t>
            </w:r>
          </w:p>
        </w:tc>
        <w:tc>
          <w:tcPr>
            <w:tcW w:w="1130" w:type="dxa"/>
            <w:vAlign w:val="center"/>
          </w:tcPr>
          <w:p w:rsidR="00DE1AB4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656 679</w:t>
            </w:r>
          </w:p>
          <w:p w:rsidR="001B7EFC" w:rsidRPr="001B7EFC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700 170</w:t>
            </w:r>
          </w:p>
        </w:tc>
        <w:tc>
          <w:tcPr>
            <w:tcW w:w="1136" w:type="dxa"/>
            <w:vAlign w:val="center"/>
          </w:tcPr>
          <w:p w:rsidR="00DE1AB4" w:rsidRDefault="0057158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429 667</w:t>
            </w:r>
          </w:p>
          <w:p w:rsidR="00571581" w:rsidRPr="001B7EFC" w:rsidRDefault="0057158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382 999</w:t>
            </w:r>
          </w:p>
        </w:tc>
      </w:tr>
      <w:tr w:rsidR="00C00BB4" w:rsidRPr="009A018E" w:rsidTr="00DE1AB4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811" w:type="dxa"/>
            <w:vAlign w:val="center"/>
          </w:tcPr>
          <w:p w:rsidR="00C00BB4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  <w:p w:rsidR="00C00BB4" w:rsidRPr="007B426C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919" w:type="dxa"/>
            <w:vAlign w:val="center"/>
          </w:tcPr>
          <w:p w:rsidR="00DE1AB4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8 573</w:t>
            </w:r>
          </w:p>
          <w:p w:rsidR="001B7EFC" w:rsidRPr="007B426C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8 187</w:t>
            </w:r>
          </w:p>
        </w:tc>
        <w:tc>
          <w:tcPr>
            <w:tcW w:w="932" w:type="dxa"/>
            <w:vAlign w:val="center"/>
          </w:tcPr>
          <w:p w:rsidR="00DE1AB4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2 187</w:t>
            </w:r>
          </w:p>
          <w:p w:rsidR="001B7EFC" w:rsidRPr="007B426C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2 658</w:t>
            </w:r>
          </w:p>
        </w:tc>
        <w:tc>
          <w:tcPr>
            <w:tcW w:w="964" w:type="dxa"/>
            <w:shd w:val="clear" w:color="auto" w:fill="D6E3BC"/>
            <w:vAlign w:val="center"/>
          </w:tcPr>
          <w:p w:rsidR="00DE1AB4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-6 386</w:t>
            </w:r>
          </w:p>
          <w:p w:rsidR="001B7EFC" w:rsidRPr="007B426C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-5 529</w:t>
            </w:r>
          </w:p>
        </w:tc>
        <w:tc>
          <w:tcPr>
            <w:tcW w:w="768" w:type="dxa"/>
            <w:vAlign w:val="center"/>
          </w:tcPr>
          <w:p w:rsidR="00DE1AB4" w:rsidRPr="001B7EFC" w:rsidRDefault="001B7EFC" w:rsidP="00A57BB8">
            <w:pPr>
              <w:jc w:val="right"/>
              <w:rPr>
                <w:sz w:val="20"/>
              </w:rPr>
            </w:pPr>
            <w:r w:rsidRPr="001B7EFC">
              <w:rPr>
                <w:sz w:val="20"/>
              </w:rPr>
              <w:t>90,84</w:t>
            </w:r>
          </w:p>
          <w:p w:rsidR="001B7EFC" w:rsidRPr="001B7EFC" w:rsidRDefault="001B7EFC" w:rsidP="00A57BB8">
            <w:pPr>
              <w:jc w:val="right"/>
              <w:rPr>
                <w:sz w:val="20"/>
              </w:rPr>
            </w:pPr>
            <w:r w:rsidRPr="001B7EFC">
              <w:rPr>
                <w:sz w:val="20"/>
              </w:rPr>
              <w:t>100,26</w:t>
            </w:r>
          </w:p>
        </w:tc>
        <w:tc>
          <w:tcPr>
            <w:tcW w:w="709" w:type="dxa"/>
            <w:vAlign w:val="center"/>
          </w:tcPr>
          <w:p w:rsidR="00DE1AB4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85,03</w:t>
            </w:r>
          </w:p>
          <w:p w:rsidR="001B7EFC" w:rsidRPr="001B7EFC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81,51</w:t>
            </w:r>
          </w:p>
        </w:tc>
        <w:tc>
          <w:tcPr>
            <w:tcW w:w="1138" w:type="dxa"/>
            <w:vAlign w:val="center"/>
          </w:tcPr>
          <w:p w:rsidR="00DE1AB4" w:rsidRDefault="001B7EFC" w:rsidP="008D3C61">
            <w:pPr>
              <w:jc w:val="right"/>
              <w:rPr>
                <w:sz w:val="20"/>
              </w:rPr>
            </w:pPr>
            <w:r>
              <w:rPr>
                <w:sz w:val="20"/>
              </w:rPr>
              <w:t>778 797</w:t>
            </w:r>
          </w:p>
          <w:p w:rsidR="001B7EFC" w:rsidRPr="001B7EFC" w:rsidRDefault="001B7EFC" w:rsidP="008D3C61">
            <w:pPr>
              <w:jc w:val="right"/>
              <w:rPr>
                <w:sz w:val="20"/>
              </w:rPr>
            </w:pPr>
            <w:r>
              <w:rPr>
                <w:sz w:val="20"/>
              </w:rPr>
              <w:t>820 899</w:t>
            </w:r>
          </w:p>
        </w:tc>
        <w:tc>
          <w:tcPr>
            <w:tcW w:w="1130" w:type="dxa"/>
            <w:vAlign w:val="center"/>
          </w:tcPr>
          <w:p w:rsidR="00DE1AB4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185 920</w:t>
            </w:r>
          </w:p>
          <w:p w:rsidR="001B7EFC" w:rsidRPr="001B7EFC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216 638</w:t>
            </w:r>
          </w:p>
        </w:tc>
        <w:tc>
          <w:tcPr>
            <w:tcW w:w="1136" w:type="dxa"/>
            <w:shd w:val="clear" w:color="auto" w:fill="D6E3BC"/>
            <w:vAlign w:val="center"/>
          </w:tcPr>
          <w:p w:rsidR="00DE1AB4" w:rsidRDefault="00571581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-592 877</w:t>
            </w:r>
          </w:p>
          <w:p w:rsidR="00571581" w:rsidRPr="001B7EFC" w:rsidRDefault="00571581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-604 261</w:t>
            </w:r>
          </w:p>
        </w:tc>
      </w:tr>
      <w:tr w:rsidR="00C00BB4" w:rsidRPr="009A018E" w:rsidTr="00DE1AB4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811" w:type="dxa"/>
            <w:tcBorders>
              <w:bottom w:val="double" w:sz="4" w:space="0" w:color="auto"/>
            </w:tcBorders>
            <w:vAlign w:val="center"/>
          </w:tcPr>
          <w:p w:rsidR="00C00BB4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  <w:p w:rsidR="00C00BB4" w:rsidRPr="007B426C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DE1AB4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40 772</w:t>
            </w:r>
          </w:p>
          <w:p w:rsidR="001B7EFC" w:rsidRPr="007B426C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43 009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vAlign w:val="center"/>
          </w:tcPr>
          <w:p w:rsidR="00DE1AB4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24 288</w:t>
            </w:r>
          </w:p>
          <w:p w:rsidR="001B7EFC" w:rsidRPr="007B426C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23 726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DE1AB4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-16 484</w:t>
            </w:r>
          </w:p>
          <w:p w:rsidR="001B7EFC" w:rsidRPr="00273A33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-19 283</w:t>
            </w:r>
          </w:p>
        </w:tc>
        <w:tc>
          <w:tcPr>
            <w:tcW w:w="768" w:type="dxa"/>
            <w:tcBorders>
              <w:bottom w:val="double" w:sz="4" w:space="0" w:color="auto"/>
            </w:tcBorders>
            <w:vAlign w:val="center"/>
          </w:tcPr>
          <w:p w:rsidR="00DE1AB4" w:rsidRPr="001B7EFC" w:rsidRDefault="001B7EFC" w:rsidP="00A57BB8">
            <w:pPr>
              <w:jc w:val="right"/>
              <w:rPr>
                <w:sz w:val="20"/>
              </w:rPr>
            </w:pPr>
            <w:r w:rsidRPr="001B7EFC">
              <w:rPr>
                <w:sz w:val="20"/>
              </w:rPr>
              <w:t>81,67</w:t>
            </w:r>
          </w:p>
          <w:p w:rsidR="001B7EFC" w:rsidRPr="001B7EFC" w:rsidRDefault="001B7EFC" w:rsidP="00A57BB8">
            <w:pPr>
              <w:jc w:val="right"/>
              <w:rPr>
                <w:sz w:val="20"/>
              </w:rPr>
            </w:pPr>
            <w:r w:rsidRPr="001B7EFC">
              <w:rPr>
                <w:sz w:val="20"/>
              </w:rPr>
              <w:t>92,83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DE1AB4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88,14</w:t>
            </w:r>
          </w:p>
          <w:p w:rsidR="001B7EFC" w:rsidRPr="001B7EFC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102,58</w:t>
            </w:r>
          </w:p>
        </w:tc>
        <w:tc>
          <w:tcPr>
            <w:tcW w:w="1138" w:type="dxa"/>
            <w:tcBorders>
              <w:bottom w:val="double" w:sz="4" w:space="0" w:color="auto"/>
            </w:tcBorders>
            <w:vAlign w:val="center"/>
          </w:tcPr>
          <w:p w:rsidR="00DE1AB4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3 330 004</w:t>
            </w:r>
          </w:p>
          <w:p w:rsidR="001B7EFC" w:rsidRPr="001B7EFC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3 992 386</w:t>
            </w:r>
          </w:p>
        </w:tc>
        <w:tc>
          <w:tcPr>
            <w:tcW w:w="1130" w:type="dxa"/>
            <w:tcBorders>
              <w:bottom w:val="double" w:sz="4" w:space="0" w:color="auto"/>
            </w:tcBorders>
            <w:vAlign w:val="center"/>
          </w:tcPr>
          <w:p w:rsidR="00DE1AB4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2 140 782</w:t>
            </w:r>
          </w:p>
          <w:p w:rsidR="001B7EFC" w:rsidRPr="001B7EFC" w:rsidRDefault="001B7EFC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2 433 788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DE1AB4" w:rsidRDefault="00571581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-1 189 222</w:t>
            </w:r>
          </w:p>
          <w:p w:rsidR="00571581" w:rsidRPr="001B7EFC" w:rsidRDefault="00571581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-1 558 598</w:t>
            </w:r>
          </w:p>
        </w:tc>
      </w:tr>
    </w:tbl>
    <w:p w:rsidR="00607E48" w:rsidRDefault="00607E48" w:rsidP="00607E48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>, MZe</w:t>
      </w:r>
    </w:p>
    <w:p w:rsidR="00607E48" w:rsidRDefault="00607E48" w:rsidP="00607E48">
      <w:pPr>
        <w:ind w:left="284"/>
        <w:outlineLvl w:val="0"/>
        <w:rPr>
          <w:b/>
        </w:rPr>
      </w:pPr>
    </w:p>
    <w:p w:rsidR="00607E48" w:rsidRPr="007B426C" w:rsidRDefault="00607E48" w:rsidP="00607E48">
      <w:pPr>
        <w:ind w:left="284"/>
        <w:outlineLvl w:val="0"/>
        <w:rPr>
          <w:b/>
        </w:rPr>
      </w:pPr>
      <w:r w:rsidRPr="007B426C">
        <w:rPr>
          <w:b/>
        </w:rPr>
        <w:t>Vývoz</w:t>
      </w:r>
    </w:p>
    <w:p w:rsidR="00607E48" w:rsidRDefault="00607E48" w:rsidP="00607E48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>se z ČR, v</w:t>
      </w:r>
      <w:r w:rsidR="007C1F03">
        <w:rPr>
          <w:sz w:val="22"/>
          <w:szCs w:val="22"/>
        </w:rPr>
        <w:t> </w:t>
      </w:r>
      <w:r w:rsidR="00E52F25">
        <w:rPr>
          <w:sz w:val="22"/>
          <w:szCs w:val="22"/>
        </w:rPr>
        <w:t>lednu</w:t>
      </w:r>
      <w:r w:rsidR="007C1F03">
        <w:rPr>
          <w:sz w:val="22"/>
          <w:szCs w:val="22"/>
        </w:rPr>
        <w:t>-</w:t>
      </w:r>
      <w:r w:rsidR="00571581">
        <w:rPr>
          <w:sz w:val="22"/>
          <w:szCs w:val="22"/>
        </w:rPr>
        <w:t>červ</w:t>
      </w:r>
      <w:r w:rsidR="00DE1AB4">
        <w:rPr>
          <w:sz w:val="22"/>
          <w:szCs w:val="22"/>
        </w:rPr>
        <w:t>nu</w:t>
      </w:r>
      <w:r w:rsidR="008D3C61">
        <w:rPr>
          <w:sz w:val="22"/>
          <w:szCs w:val="22"/>
        </w:rPr>
        <w:t xml:space="preserve"> 201</w:t>
      </w:r>
      <w:r w:rsidR="00E52F25">
        <w:rPr>
          <w:sz w:val="22"/>
          <w:szCs w:val="22"/>
        </w:rPr>
        <w:t>4</w:t>
      </w:r>
      <w:r w:rsidR="008D3C61">
        <w:rPr>
          <w:sz w:val="22"/>
          <w:szCs w:val="22"/>
        </w:rPr>
        <w:t>,</w:t>
      </w:r>
      <w:r>
        <w:rPr>
          <w:sz w:val="22"/>
          <w:szCs w:val="22"/>
        </w:rPr>
        <w:t xml:space="preserve"> vyvezly</w:t>
      </w:r>
      <w:r w:rsidRPr="00D66B6A">
        <w:rPr>
          <w:sz w:val="22"/>
          <w:szCs w:val="22"/>
        </w:rPr>
        <w:t xml:space="preserve"> do </w:t>
      </w:r>
      <w:r w:rsidR="004E2DC0">
        <w:rPr>
          <w:sz w:val="22"/>
          <w:szCs w:val="22"/>
        </w:rPr>
        <w:t>6</w:t>
      </w:r>
      <w:r w:rsidR="00571581">
        <w:rPr>
          <w:sz w:val="22"/>
          <w:szCs w:val="22"/>
        </w:rPr>
        <w:t>5</w:t>
      </w:r>
      <w:r w:rsidRPr="00D66B6A">
        <w:rPr>
          <w:sz w:val="22"/>
          <w:szCs w:val="22"/>
        </w:rPr>
        <w:t xml:space="preserve"> zemí</w:t>
      </w:r>
      <w:r>
        <w:rPr>
          <w:sz w:val="22"/>
          <w:szCs w:val="22"/>
        </w:rPr>
        <w:t xml:space="preserve"> světa. V meziročním porovnání (</w:t>
      </w:r>
      <w:r w:rsidR="00E52F25">
        <w:rPr>
          <w:sz w:val="22"/>
          <w:szCs w:val="22"/>
        </w:rPr>
        <w:t>leden</w:t>
      </w:r>
      <w:r w:rsidR="004E2DC0">
        <w:rPr>
          <w:sz w:val="22"/>
          <w:szCs w:val="22"/>
        </w:rPr>
        <w:t>–</w:t>
      </w:r>
      <w:r w:rsidR="00571581">
        <w:rPr>
          <w:sz w:val="22"/>
          <w:szCs w:val="22"/>
        </w:rPr>
        <w:t>červ</w:t>
      </w:r>
      <w:r w:rsidR="00DE1AB4">
        <w:rPr>
          <w:sz w:val="22"/>
          <w:szCs w:val="22"/>
        </w:rPr>
        <w:t>en</w:t>
      </w:r>
      <w:r w:rsidR="004E2DC0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E52F25">
        <w:rPr>
          <w:sz w:val="22"/>
          <w:szCs w:val="22"/>
        </w:rPr>
        <w:t>4</w:t>
      </w:r>
      <w:r>
        <w:rPr>
          <w:sz w:val="22"/>
          <w:szCs w:val="22"/>
        </w:rPr>
        <w:t>/</w:t>
      </w:r>
      <w:r w:rsidR="00E52F25">
        <w:rPr>
          <w:sz w:val="22"/>
          <w:szCs w:val="22"/>
        </w:rPr>
        <w:t>leden</w:t>
      </w:r>
      <w:r w:rsidR="007C1F03">
        <w:rPr>
          <w:sz w:val="22"/>
          <w:szCs w:val="22"/>
        </w:rPr>
        <w:t>-</w:t>
      </w:r>
      <w:r w:rsidR="00571581">
        <w:rPr>
          <w:sz w:val="22"/>
          <w:szCs w:val="22"/>
        </w:rPr>
        <w:t>červ</w:t>
      </w:r>
      <w:r w:rsidR="00DE1AB4">
        <w:rPr>
          <w:sz w:val="22"/>
          <w:szCs w:val="22"/>
        </w:rPr>
        <w:t>en</w:t>
      </w:r>
      <w:r w:rsidR="008D3C61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E52F25">
        <w:rPr>
          <w:sz w:val="22"/>
          <w:szCs w:val="22"/>
        </w:rPr>
        <w:t>3</w:t>
      </w:r>
      <w:r>
        <w:rPr>
          <w:sz w:val="22"/>
          <w:szCs w:val="22"/>
        </w:rPr>
        <w:t xml:space="preserve">) došlo ke </w:t>
      </w:r>
      <w:r>
        <w:rPr>
          <w:b/>
          <w:sz w:val="22"/>
          <w:szCs w:val="22"/>
        </w:rPr>
        <w:t>zvýšení</w:t>
      </w:r>
      <w:r w:rsidRPr="00076E30">
        <w:rPr>
          <w:b/>
          <w:sz w:val="22"/>
          <w:szCs w:val="22"/>
        </w:rPr>
        <w:t xml:space="preserve"> finanční hodnoty vývozu o </w:t>
      </w:r>
      <w:r w:rsidR="00571581">
        <w:rPr>
          <w:b/>
          <w:sz w:val="22"/>
          <w:szCs w:val="22"/>
        </w:rPr>
        <w:t>17,9</w:t>
      </w:r>
      <w:r w:rsidRPr="00076E30">
        <w:rPr>
          <w:b/>
          <w:sz w:val="22"/>
          <w:szCs w:val="22"/>
        </w:rPr>
        <w:t xml:space="preserve"> %,</w:t>
      </w:r>
      <w:r>
        <w:rPr>
          <w:sz w:val="22"/>
          <w:szCs w:val="22"/>
        </w:rPr>
        <w:t xml:space="preserve"> tj. cca o </w:t>
      </w:r>
      <w:r w:rsidR="00840452">
        <w:rPr>
          <w:sz w:val="22"/>
          <w:szCs w:val="22"/>
        </w:rPr>
        <w:t xml:space="preserve">1 </w:t>
      </w:r>
      <w:r w:rsidR="00571581">
        <w:rPr>
          <w:sz w:val="22"/>
          <w:szCs w:val="22"/>
        </w:rPr>
        <w:t>560</w:t>
      </w:r>
      <w:r w:rsidR="006B06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mil. Kč. </w:t>
      </w:r>
      <w:r w:rsidR="009C7996">
        <w:rPr>
          <w:sz w:val="22"/>
          <w:szCs w:val="22"/>
        </w:rPr>
        <w:br/>
      </w:r>
      <w:r w:rsidR="00DE1AB4">
        <w:rPr>
          <w:b/>
          <w:sz w:val="22"/>
          <w:szCs w:val="22"/>
        </w:rPr>
        <w:t>63,</w:t>
      </w:r>
      <w:r w:rsidR="00571581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%</w:t>
      </w:r>
      <w:r w:rsidRPr="0072395D">
        <w:rPr>
          <w:b/>
          <w:sz w:val="22"/>
          <w:szCs w:val="22"/>
        </w:rPr>
        <w:t xml:space="preserve"> finančního objemu vývozu představuje export do </w:t>
      </w:r>
      <w:r>
        <w:rPr>
          <w:b/>
          <w:sz w:val="22"/>
          <w:szCs w:val="22"/>
        </w:rPr>
        <w:t>3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 xml:space="preserve"> (do Německa </w:t>
      </w:r>
      <w:r w:rsidR="00E52F25">
        <w:rPr>
          <w:sz w:val="22"/>
          <w:szCs w:val="22"/>
        </w:rPr>
        <w:t>30,</w:t>
      </w:r>
      <w:r w:rsidR="008B4798">
        <w:rPr>
          <w:sz w:val="22"/>
          <w:szCs w:val="22"/>
        </w:rPr>
        <w:t>8</w:t>
      </w:r>
      <w:r>
        <w:rPr>
          <w:sz w:val="22"/>
          <w:szCs w:val="22"/>
        </w:rPr>
        <w:t xml:space="preserve"> %, na Slovensko </w:t>
      </w:r>
      <w:r w:rsidR="006B06D9">
        <w:rPr>
          <w:sz w:val="22"/>
          <w:szCs w:val="22"/>
        </w:rPr>
        <w:t>20,</w:t>
      </w:r>
      <w:r w:rsidR="008B4798">
        <w:rPr>
          <w:sz w:val="22"/>
          <w:szCs w:val="22"/>
        </w:rPr>
        <w:t>6</w:t>
      </w:r>
      <w:r>
        <w:rPr>
          <w:sz w:val="22"/>
          <w:szCs w:val="22"/>
        </w:rPr>
        <w:t xml:space="preserve"> %, do Itálie </w:t>
      </w:r>
      <w:r w:rsidR="006B06D9">
        <w:rPr>
          <w:sz w:val="22"/>
          <w:szCs w:val="22"/>
        </w:rPr>
        <w:t>11,</w:t>
      </w:r>
      <w:r w:rsidR="009C7996">
        <w:rPr>
          <w:sz w:val="22"/>
          <w:szCs w:val="22"/>
        </w:rPr>
        <w:t>7</w:t>
      </w:r>
      <w:r>
        <w:rPr>
          <w:sz w:val="22"/>
          <w:szCs w:val="22"/>
        </w:rPr>
        <w:t xml:space="preserve"> %). Do zemí EU-28 se v daném období vyvezlo </w:t>
      </w:r>
      <w:r w:rsidR="006B06D9">
        <w:rPr>
          <w:sz w:val="22"/>
          <w:szCs w:val="22"/>
        </w:rPr>
        <w:t>84,</w:t>
      </w:r>
      <w:r w:rsidR="00571581">
        <w:rPr>
          <w:sz w:val="22"/>
          <w:szCs w:val="22"/>
        </w:rPr>
        <w:t>5</w:t>
      </w:r>
      <w:r>
        <w:rPr>
          <w:sz w:val="22"/>
          <w:szCs w:val="22"/>
        </w:rPr>
        <w:t xml:space="preserve"> % podílu z finanční hodnoty vývozu mléka a mléčných výrobků. </w:t>
      </w:r>
      <w:r w:rsidRPr="008C5B94">
        <w:rPr>
          <w:sz w:val="22"/>
          <w:szCs w:val="22"/>
        </w:rPr>
        <w:t xml:space="preserve">Podíl vývozu do třetích zemí představoval v daném období </w:t>
      </w:r>
      <w:r w:rsidR="006B06D9">
        <w:rPr>
          <w:sz w:val="22"/>
          <w:szCs w:val="22"/>
        </w:rPr>
        <w:t>1</w:t>
      </w:r>
      <w:r w:rsidR="008B4798">
        <w:rPr>
          <w:sz w:val="22"/>
          <w:szCs w:val="22"/>
        </w:rPr>
        <w:t>5</w:t>
      </w:r>
      <w:r w:rsidR="006B06D9">
        <w:rPr>
          <w:sz w:val="22"/>
          <w:szCs w:val="22"/>
        </w:rPr>
        <w:t>,</w:t>
      </w:r>
      <w:r w:rsidR="008B4798">
        <w:rPr>
          <w:sz w:val="22"/>
          <w:szCs w:val="22"/>
        </w:rPr>
        <w:t>5</w:t>
      </w:r>
      <w:r w:rsidRPr="008C5B94">
        <w:rPr>
          <w:sz w:val="22"/>
          <w:szCs w:val="22"/>
        </w:rPr>
        <w:t xml:space="preserve"> %.</w:t>
      </w:r>
      <w:r>
        <w:rPr>
          <w:sz w:val="22"/>
          <w:szCs w:val="22"/>
        </w:rPr>
        <w:t xml:space="preserve"> Vývoz do třetích zemí tvořily převážně destinace – Libanon, </w:t>
      </w:r>
      <w:r w:rsidR="006B06D9">
        <w:rPr>
          <w:sz w:val="22"/>
          <w:szCs w:val="22"/>
        </w:rPr>
        <w:t xml:space="preserve">Thajsko, </w:t>
      </w:r>
      <w:r w:rsidR="00840452">
        <w:rPr>
          <w:sz w:val="22"/>
          <w:szCs w:val="22"/>
        </w:rPr>
        <w:t xml:space="preserve">Rusko, </w:t>
      </w:r>
      <w:r w:rsidR="006B06D9">
        <w:rPr>
          <w:sz w:val="22"/>
          <w:szCs w:val="22"/>
        </w:rPr>
        <w:t xml:space="preserve">Malajsie, </w:t>
      </w:r>
      <w:r w:rsidR="00A6518F">
        <w:rPr>
          <w:sz w:val="22"/>
          <w:szCs w:val="22"/>
        </w:rPr>
        <w:t xml:space="preserve">Saudská Arábie, </w:t>
      </w:r>
      <w:r w:rsidR="00840452">
        <w:rPr>
          <w:sz w:val="22"/>
          <w:szCs w:val="22"/>
        </w:rPr>
        <w:t xml:space="preserve">Spojené arabské emiráty, </w:t>
      </w:r>
      <w:r w:rsidR="009C7996">
        <w:rPr>
          <w:sz w:val="22"/>
          <w:szCs w:val="22"/>
        </w:rPr>
        <w:t xml:space="preserve">Bangladéš, </w:t>
      </w:r>
      <w:r w:rsidR="006B06D9">
        <w:rPr>
          <w:sz w:val="22"/>
          <w:szCs w:val="22"/>
        </w:rPr>
        <w:t xml:space="preserve">Indonésie, </w:t>
      </w:r>
      <w:r w:rsidR="00571581">
        <w:rPr>
          <w:sz w:val="22"/>
          <w:szCs w:val="22"/>
        </w:rPr>
        <w:t>Makedonie</w:t>
      </w:r>
      <w:r w:rsidR="006B06D9">
        <w:rPr>
          <w:sz w:val="22"/>
          <w:szCs w:val="22"/>
        </w:rPr>
        <w:t xml:space="preserve">, </w:t>
      </w:r>
      <w:r w:rsidR="009C7996">
        <w:rPr>
          <w:sz w:val="22"/>
          <w:szCs w:val="22"/>
        </w:rPr>
        <w:t>Ukrajina</w:t>
      </w:r>
      <w:r w:rsidR="008D3C61">
        <w:rPr>
          <w:sz w:val="22"/>
          <w:szCs w:val="22"/>
        </w:rPr>
        <w:t>.</w:t>
      </w:r>
      <w:r>
        <w:rPr>
          <w:sz w:val="22"/>
          <w:szCs w:val="22"/>
        </w:rPr>
        <w:t xml:space="preserve"> Předmětem obchodu s těmito z</w:t>
      </w:r>
      <w:r w:rsidR="00A6518F">
        <w:rPr>
          <w:sz w:val="22"/>
          <w:szCs w:val="22"/>
        </w:rPr>
        <w:t>eměmi byly zejména sušená mléka a</w:t>
      </w:r>
      <w:r>
        <w:rPr>
          <w:sz w:val="22"/>
          <w:szCs w:val="22"/>
        </w:rPr>
        <w:t xml:space="preserve"> syrovátka, </w:t>
      </w:r>
      <w:r w:rsidR="00A6518F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bílé sýry, </w:t>
      </w:r>
      <w:r w:rsidR="00A6518F">
        <w:rPr>
          <w:sz w:val="22"/>
          <w:szCs w:val="22"/>
        </w:rPr>
        <w:t>sýry s plísní a Eidam</w:t>
      </w:r>
      <w:r>
        <w:rPr>
          <w:sz w:val="22"/>
          <w:szCs w:val="22"/>
        </w:rPr>
        <w:t xml:space="preserve">. </w:t>
      </w:r>
    </w:p>
    <w:p w:rsidR="00607E48" w:rsidRDefault="00607E48" w:rsidP="00607E48">
      <w:pPr>
        <w:shd w:val="clear" w:color="auto" w:fill="FFFFFF"/>
        <w:ind w:left="284"/>
        <w:jc w:val="both"/>
        <w:rPr>
          <w:sz w:val="22"/>
          <w:szCs w:val="22"/>
        </w:rPr>
      </w:pPr>
      <w:r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 w:rsidR="009C7996">
        <w:rPr>
          <w:sz w:val="22"/>
          <w:szCs w:val="22"/>
          <w:u w:val="single"/>
        </w:rPr>
        <w:t>43,</w:t>
      </w:r>
      <w:r w:rsidR="00571581">
        <w:rPr>
          <w:sz w:val="22"/>
          <w:szCs w:val="22"/>
          <w:u w:val="single"/>
        </w:rPr>
        <w:t>2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</w:t>
      </w:r>
      <w:r w:rsidR="00840452">
        <w:rPr>
          <w:sz w:val="22"/>
          <w:szCs w:val="22"/>
        </w:rPr>
        <w:t>28,</w:t>
      </w:r>
      <w:r w:rsidR="00571581">
        <w:rPr>
          <w:sz w:val="22"/>
          <w:szCs w:val="22"/>
        </w:rPr>
        <w:t>3</w:t>
      </w:r>
      <w:r>
        <w:rPr>
          <w:sz w:val="22"/>
          <w:szCs w:val="22"/>
        </w:rPr>
        <w:t xml:space="preserve"> %. </w:t>
      </w:r>
    </w:p>
    <w:p w:rsidR="00607E48" w:rsidRDefault="00607E48" w:rsidP="00607E48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6B06D9">
        <w:rPr>
          <w:sz w:val="22"/>
          <w:szCs w:val="22"/>
        </w:rPr>
        <w:t> </w:t>
      </w:r>
      <w:r w:rsidR="00A6518F">
        <w:rPr>
          <w:sz w:val="22"/>
          <w:szCs w:val="22"/>
        </w:rPr>
        <w:t>lednu</w:t>
      </w:r>
      <w:r w:rsidR="006B06D9">
        <w:rPr>
          <w:sz w:val="22"/>
          <w:szCs w:val="22"/>
        </w:rPr>
        <w:t>-</w:t>
      </w:r>
      <w:r w:rsidR="00571581">
        <w:rPr>
          <w:sz w:val="22"/>
          <w:szCs w:val="22"/>
        </w:rPr>
        <w:t>červ</w:t>
      </w:r>
      <w:r w:rsidR="009C7996">
        <w:rPr>
          <w:sz w:val="22"/>
          <w:szCs w:val="22"/>
        </w:rPr>
        <w:t>nu</w:t>
      </w:r>
      <w:r>
        <w:rPr>
          <w:sz w:val="22"/>
          <w:szCs w:val="22"/>
        </w:rPr>
        <w:t xml:space="preserve"> 201</w:t>
      </w:r>
      <w:r w:rsidR="00A6518F">
        <w:rPr>
          <w:sz w:val="22"/>
          <w:szCs w:val="22"/>
        </w:rPr>
        <w:t>4</w:t>
      </w:r>
      <w:r>
        <w:rPr>
          <w:sz w:val="22"/>
          <w:szCs w:val="22"/>
        </w:rPr>
        <w:t xml:space="preserve"> se meziročně </w:t>
      </w:r>
      <w:r w:rsidR="006B06D9">
        <w:rPr>
          <w:sz w:val="22"/>
          <w:szCs w:val="22"/>
        </w:rPr>
        <w:t>zvýšil</w:t>
      </w:r>
      <w:r>
        <w:rPr>
          <w:sz w:val="22"/>
          <w:szCs w:val="22"/>
        </w:rPr>
        <w:t xml:space="preserve"> objem vývozu mléka v cisternách o </w:t>
      </w:r>
      <w:r w:rsidR="00571581">
        <w:rPr>
          <w:sz w:val="22"/>
          <w:szCs w:val="22"/>
        </w:rPr>
        <w:t>4,7</w:t>
      </w:r>
      <w:r w:rsidR="008D3C61">
        <w:rPr>
          <w:sz w:val="22"/>
          <w:szCs w:val="22"/>
        </w:rPr>
        <w:t xml:space="preserve"> </w:t>
      </w:r>
      <w:r w:rsidR="00A6518F">
        <w:rPr>
          <w:sz w:val="22"/>
          <w:szCs w:val="22"/>
        </w:rPr>
        <w:t xml:space="preserve">%, </w:t>
      </w:r>
      <w:r>
        <w:rPr>
          <w:sz w:val="22"/>
          <w:szCs w:val="22"/>
        </w:rPr>
        <w:t xml:space="preserve">konzumního mléka o </w:t>
      </w:r>
      <w:r w:rsidR="00571581">
        <w:rPr>
          <w:sz w:val="22"/>
          <w:szCs w:val="22"/>
        </w:rPr>
        <w:t>15,1</w:t>
      </w:r>
      <w:r>
        <w:rPr>
          <w:sz w:val="22"/>
          <w:szCs w:val="22"/>
        </w:rPr>
        <w:t xml:space="preserve"> %</w:t>
      </w:r>
      <w:r w:rsidR="006B06D9">
        <w:rPr>
          <w:sz w:val="22"/>
          <w:szCs w:val="22"/>
        </w:rPr>
        <w:t>,</w:t>
      </w:r>
      <w:r w:rsidR="008D3C61">
        <w:rPr>
          <w:sz w:val="22"/>
          <w:szCs w:val="22"/>
        </w:rPr>
        <w:t xml:space="preserve"> </w:t>
      </w:r>
      <w:r w:rsidR="00A6518F">
        <w:rPr>
          <w:sz w:val="22"/>
          <w:szCs w:val="22"/>
        </w:rPr>
        <w:t>smetan</w:t>
      </w:r>
      <w:r w:rsidR="006B06D9">
        <w:rPr>
          <w:sz w:val="22"/>
          <w:szCs w:val="22"/>
        </w:rPr>
        <w:t>y konzumní</w:t>
      </w:r>
      <w:r w:rsidR="00A6518F">
        <w:rPr>
          <w:sz w:val="22"/>
          <w:szCs w:val="22"/>
        </w:rPr>
        <w:t xml:space="preserve"> o </w:t>
      </w:r>
      <w:r w:rsidR="00571581">
        <w:rPr>
          <w:sz w:val="22"/>
          <w:szCs w:val="22"/>
        </w:rPr>
        <w:t>30,9</w:t>
      </w:r>
      <w:r w:rsidR="00840452">
        <w:rPr>
          <w:sz w:val="22"/>
          <w:szCs w:val="22"/>
        </w:rPr>
        <w:t xml:space="preserve"> %</w:t>
      </w:r>
      <w:r w:rsidR="00840452" w:rsidRPr="00840452">
        <w:rPr>
          <w:sz w:val="22"/>
          <w:szCs w:val="22"/>
        </w:rPr>
        <w:t xml:space="preserve"> </w:t>
      </w:r>
      <w:r w:rsidR="00840452">
        <w:rPr>
          <w:sz w:val="22"/>
          <w:szCs w:val="22"/>
        </w:rPr>
        <w:t>a</w:t>
      </w:r>
      <w:r w:rsidR="00840452" w:rsidRPr="00840452">
        <w:rPr>
          <w:sz w:val="22"/>
          <w:szCs w:val="22"/>
        </w:rPr>
        <w:t xml:space="preserve"> </w:t>
      </w:r>
      <w:r w:rsidR="00491922">
        <w:rPr>
          <w:sz w:val="22"/>
          <w:szCs w:val="22"/>
        </w:rPr>
        <w:t xml:space="preserve">objem vývozu </w:t>
      </w:r>
      <w:r w:rsidR="00840452">
        <w:rPr>
          <w:sz w:val="22"/>
          <w:szCs w:val="22"/>
        </w:rPr>
        <w:t xml:space="preserve">smetany v cisternách o </w:t>
      </w:r>
      <w:r w:rsidR="00571581">
        <w:rPr>
          <w:sz w:val="22"/>
          <w:szCs w:val="22"/>
        </w:rPr>
        <w:t>6,9</w:t>
      </w:r>
      <w:r w:rsidR="00840452">
        <w:rPr>
          <w:sz w:val="22"/>
          <w:szCs w:val="22"/>
        </w:rPr>
        <w:t xml:space="preserve"> %</w:t>
      </w:r>
      <w:r w:rsidR="00491922">
        <w:rPr>
          <w:sz w:val="22"/>
          <w:szCs w:val="22"/>
        </w:rPr>
        <w:t>.</w:t>
      </w:r>
    </w:p>
    <w:p w:rsidR="00607E48" w:rsidRDefault="00607E48" w:rsidP="00607E48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Významným vývozním artiklem mlékárenského zboží jsou sýry a tvarohy (podíl na celkové finanční hodnotě vývozu představují </w:t>
      </w:r>
      <w:r w:rsidR="008B4798">
        <w:rPr>
          <w:sz w:val="22"/>
          <w:szCs w:val="22"/>
        </w:rPr>
        <w:t>23,7</w:t>
      </w:r>
      <w:r>
        <w:rPr>
          <w:sz w:val="22"/>
          <w:szCs w:val="22"/>
        </w:rPr>
        <w:t xml:space="preserve"> %). </w:t>
      </w:r>
      <w:r w:rsidR="00A6518F">
        <w:rPr>
          <w:sz w:val="22"/>
          <w:szCs w:val="22"/>
          <w:u w:val="single"/>
        </w:rPr>
        <w:t>V</w:t>
      </w:r>
      <w:r w:rsidR="006B06D9">
        <w:rPr>
          <w:sz w:val="22"/>
          <w:szCs w:val="22"/>
          <w:u w:val="single"/>
        </w:rPr>
        <w:t> </w:t>
      </w:r>
      <w:r w:rsidR="00A6518F">
        <w:rPr>
          <w:sz w:val="22"/>
          <w:szCs w:val="22"/>
          <w:u w:val="single"/>
        </w:rPr>
        <w:t>lednu</w:t>
      </w:r>
      <w:r w:rsidR="006B06D9">
        <w:rPr>
          <w:sz w:val="22"/>
          <w:szCs w:val="22"/>
          <w:u w:val="single"/>
        </w:rPr>
        <w:t>-</w:t>
      </w:r>
      <w:r w:rsidR="00571581">
        <w:rPr>
          <w:sz w:val="22"/>
          <w:szCs w:val="22"/>
          <w:u w:val="single"/>
        </w:rPr>
        <w:t>červ</w:t>
      </w:r>
      <w:r w:rsidR="009C7996">
        <w:rPr>
          <w:sz w:val="22"/>
          <w:szCs w:val="22"/>
          <w:u w:val="single"/>
        </w:rPr>
        <w:t>nu</w:t>
      </w:r>
      <w:r w:rsidR="00A6518F">
        <w:rPr>
          <w:sz w:val="22"/>
          <w:szCs w:val="22"/>
          <w:u w:val="single"/>
        </w:rPr>
        <w:t xml:space="preserve"> 2014 se </w:t>
      </w:r>
      <w:r w:rsidR="006B06D9">
        <w:rPr>
          <w:sz w:val="22"/>
          <w:szCs w:val="22"/>
          <w:u w:val="single"/>
        </w:rPr>
        <w:t xml:space="preserve">meziročně </w:t>
      </w:r>
      <w:r w:rsidR="00A6518F">
        <w:rPr>
          <w:sz w:val="22"/>
          <w:szCs w:val="22"/>
          <w:u w:val="single"/>
        </w:rPr>
        <w:t>snížil</w:t>
      </w:r>
      <w:r w:rsidRPr="00BD7D96">
        <w:rPr>
          <w:sz w:val="22"/>
          <w:szCs w:val="22"/>
          <w:u w:val="single"/>
        </w:rPr>
        <w:t xml:space="preserve"> objemu vývozu sýrů a tvarohů </w:t>
      </w:r>
      <w:r w:rsidR="00A6518F">
        <w:rPr>
          <w:sz w:val="22"/>
          <w:szCs w:val="22"/>
          <w:u w:val="single"/>
        </w:rPr>
        <w:t xml:space="preserve">o </w:t>
      </w:r>
      <w:r w:rsidR="00571581">
        <w:rPr>
          <w:sz w:val="22"/>
          <w:szCs w:val="22"/>
          <w:u w:val="single"/>
        </w:rPr>
        <w:t>2,3</w:t>
      </w:r>
      <w:r w:rsidR="00A6518F">
        <w:rPr>
          <w:sz w:val="22"/>
          <w:szCs w:val="22"/>
          <w:u w:val="single"/>
        </w:rPr>
        <w:t xml:space="preserve"> %</w:t>
      </w:r>
      <w:r w:rsidR="00571581">
        <w:rPr>
          <w:sz w:val="22"/>
          <w:szCs w:val="22"/>
          <w:u w:val="single"/>
        </w:rPr>
        <w:t>, zvýšila se průměrná vývozní cena o 16,3 %</w:t>
      </w:r>
      <w:r w:rsidR="006B06D9">
        <w:rPr>
          <w:sz w:val="22"/>
          <w:szCs w:val="22"/>
        </w:rPr>
        <w:t>.</w:t>
      </w:r>
      <w:r>
        <w:rPr>
          <w:sz w:val="22"/>
          <w:szCs w:val="22"/>
        </w:rPr>
        <w:t xml:space="preserve"> Objem vývozu sušeného odtučněného mléka se v meziročním porovnání </w:t>
      </w:r>
      <w:r w:rsidR="00A6518F">
        <w:rPr>
          <w:sz w:val="22"/>
          <w:szCs w:val="22"/>
        </w:rPr>
        <w:t>leden</w:t>
      </w:r>
      <w:r w:rsidR="006B06D9">
        <w:rPr>
          <w:sz w:val="22"/>
          <w:szCs w:val="22"/>
        </w:rPr>
        <w:t>-</w:t>
      </w:r>
      <w:r w:rsidR="00571581">
        <w:rPr>
          <w:sz w:val="22"/>
          <w:szCs w:val="22"/>
        </w:rPr>
        <w:t>červ</w:t>
      </w:r>
      <w:r w:rsidR="009C7996">
        <w:rPr>
          <w:sz w:val="22"/>
          <w:szCs w:val="22"/>
        </w:rPr>
        <w:t>en</w:t>
      </w:r>
      <w:r w:rsidR="006B06D9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A6518F">
        <w:rPr>
          <w:sz w:val="22"/>
          <w:szCs w:val="22"/>
        </w:rPr>
        <w:t>4</w:t>
      </w:r>
      <w:r>
        <w:rPr>
          <w:sz w:val="22"/>
          <w:szCs w:val="22"/>
        </w:rPr>
        <w:t>/</w:t>
      </w:r>
      <w:r w:rsidR="00A6518F">
        <w:rPr>
          <w:sz w:val="22"/>
          <w:szCs w:val="22"/>
        </w:rPr>
        <w:t>leden</w:t>
      </w:r>
      <w:r w:rsidR="006B06D9">
        <w:rPr>
          <w:sz w:val="22"/>
          <w:szCs w:val="22"/>
        </w:rPr>
        <w:t>-</w:t>
      </w:r>
      <w:r w:rsidR="00571581">
        <w:rPr>
          <w:sz w:val="22"/>
          <w:szCs w:val="22"/>
        </w:rPr>
        <w:t>červ</w:t>
      </w:r>
      <w:r w:rsidR="009C7996">
        <w:rPr>
          <w:sz w:val="22"/>
          <w:szCs w:val="22"/>
        </w:rPr>
        <w:t>en</w:t>
      </w:r>
      <w:r>
        <w:rPr>
          <w:sz w:val="22"/>
          <w:szCs w:val="22"/>
        </w:rPr>
        <w:t xml:space="preserve"> 201</w:t>
      </w:r>
      <w:r w:rsidR="00A6518F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="00A6518F">
        <w:rPr>
          <w:sz w:val="22"/>
          <w:szCs w:val="22"/>
        </w:rPr>
        <w:t>zvýšil</w:t>
      </w:r>
      <w:r>
        <w:rPr>
          <w:sz w:val="22"/>
          <w:szCs w:val="22"/>
        </w:rPr>
        <w:t xml:space="preserve"> o </w:t>
      </w:r>
      <w:r w:rsidR="00571581">
        <w:rPr>
          <w:sz w:val="22"/>
          <w:szCs w:val="22"/>
        </w:rPr>
        <w:t>36</w:t>
      </w:r>
      <w:r w:rsidR="009C7996">
        <w:rPr>
          <w:sz w:val="22"/>
          <w:szCs w:val="22"/>
        </w:rPr>
        <w:t>,7</w:t>
      </w:r>
      <w:r>
        <w:rPr>
          <w:sz w:val="22"/>
          <w:szCs w:val="22"/>
        </w:rPr>
        <w:t xml:space="preserve"> %, naopak vývoz sušeného mléka plnotučného </w:t>
      </w:r>
      <w:r w:rsidR="00A6518F">
        <w:rPr>
          <w:sz w:val="22"/>
          <w:szCs w:val="22"/>
        </w:rPr>
        <w:t>se snížil</w:t>
      </w:r>
      <w:r w:rsidR="006D73F2">
        <w:rPr>
          <w:sz w:val="22"/>
          <w:szCs w:val="22"/>
        </w:rPr>
        <w:t xml:space="preserve"> (</w:t>
      </w:r>
      <w:r w:rsidR="00A6518F">
        <w:rPr>
          <w:sz w:val="22"/>
          <w:szCs w:val="22"/>
        </w:rPr>
        <w:t xml:space="preserve">o </w:t>
      </w:r>
      <w:r w:rsidR="00571581">
        <w:rPr>
          <w:sz w:val="22"/>
          <w:szCs w:val="22"/>
        </w:rPr>
        <w:t>30,1</w:t>
      </w:r>
      <w:r w:rsidR="00A6518F">
        <w:rPr>
          <w:sz w:val="22"/>
          <w:szCs w:val="22"/>
        </w:rPr>
        <w:t xml:space="preserve"> </w:t>
      </w:r>
      <w:r>
        <w:rPr>
          <w:sz w:val="22"/>
          <w:szCs w:val="22"/>
        </w:rPr>
        <w:t>%</w:t>
      </w:r>
      <w:r w:rsidR="006D73F2">
        <w:rPr>
          <w:sz w:val="22"/>
          <w:szCs w:val="22"/>
        </w:rPr>
        <w:t>)</w:t>
      </w:r>
      <w:r>
        <w:rPr>
          <w:sz w:val="22"/>
          <w:szCs w:val="22"/>
        </w:rPr>
        <w:t xml:space="preserve">. Vývoz kondenzovaných mlék byl meziročně </w:t>
      </w:r>
      <w:r w:rsidR="007679E5">
        <w:rPr>
          <w:sz w:val="22"/>
          <w:szCs w:val="22"/>
        </w:rPr>
        <w:t>niž</w:t>
      </w:r>
      <w:r w:rsidR="00A65B07">
        <w:rPr>
          <w:sz w:val="22"/>
          <w:szCs w:val="22"/>
        </w:rPr>
        <w:t>ší</w:t>
      </w:r>
      <w:r>
        <w:rPr>
          <w:sz w:val="22"/>
          <w:szCs w:val="22"/>
        </w:rPr>
        <w:t xml:space="preserve"> o </w:t>
      </w:r>
      <w:r w:rsidR="00571581">
        <w:rPr>
          <w:sz w:val="22"/>
          <w:szCs w:val="22"/>
        </w:rPr>
        <w:t>42,5</w:t>
      </w:r>
      <w:r>
        <w:rPr>
          <w:sz w:val="22"/>
          <w:szCs w:val="22"/>
        </w:rPr>
        <w:t xml:space="preserve"> %. Objem vývozu jogurtů </w:t>
      </w:r>
      <w:r w:rsidR="00571581">
        <w:rPr>
          <w:sz w:val="22"/>
          <w:szCs w:val="22"/>
        </w:rPr>
        <w:t xml:space="preserve">byl </w:t>
      </w:r>
      <w:r>
        <w:rPr>
          <w:sz w:val="22"/>
          <w:szCs w:val="22"/>
        </w:rPr>
        <w:t xml:space="preserve">meziročně </w:t>
      </w:r>
      <w:r w:rsidR="00571581">
        <w:rPr>
          <w:sz w:val="22"/>
          <w:szCs w:val="22"/>
        </w:rPr>
        <w:t>nižší</w:t>
      </w:r>
      <w:r w:rsidR="00A65B0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 </w:t>
      </w:r>
      <w:r w:rsidR="00571581">
        <w:rPr>
          <w:sz w:val="22"/>
          <w:szCs w:val="22"/>
        </w:rPr>
        <w:t>7,4</w:t>
      </w:r>
      <w:r>
        <w:rPr>
          <w:sz w:val="22"/>
          <w:szCs w:val="22"/>
        </w:rPr>
        <w:t xml:space="preserve"> %, </w:t>
      </w:r>
      <w:r w:rsidR="00A65B07">
        <w:rPr>
          <w:sz w:val="22"/>
          <w:szCs w:val="22"/>
        </w:rPr>
        <w:t>zvýši</w:t>
      </w:r>
      <w:r>
        <w:rPr>
          <w:sz w:val="22"/>
          <w:szCs w:val="22"/>
        </w:rPr>
        <w:t xml:space="preserve">l se vývoz ostatních zakysaných mléčných výrobků o </w:t>
      </w:r>
      <w:r w:rsidR="00571581">
        <w:rPr>
          <w:sz w:val="22"/>
          <w:szCs w:val="22"/>
        </w:rPr>
        <w:t>18,6</w:t>
      </w:r>
      <w:r>
        <w:rPr>
          <w:sz w:val="22"/>
          <w:szCs w:val="22"/>
        </w:rPr>
        <w:t xml:space="preserve"> %. Vývoz másla </w:t>
      </w:r>
      <w:r w:rsidR="00A65B07">
        <w:rPr>
          <w:sz w:val="22"/>
          <w:szCs w:val="22"/>
        </w:rPr>
        <w:t>a tuků z mléka byl za období leden</w:t>
      </w:r>
      <w:r w:rsidR="006B06D9">
        <w:rPr>
          <w:sz w:val="22"/>
          <w:szCs w:val="22"/>
        </w:rPr>
        <w:t>-</w:t>
      </w:r>
      <w:r w:rsidR="00571581">
        <w:rPr>
          <w:sz w:val="22"/>
          <w:szCs w:val="22"/>
        </w:rPr>
        <w:t>červen</w:t>
      </w:r>
      <w:r w:rsidR="00A65B07">
        <w:rPr>
          <w:sz w:val="22"/>
          <w:szCs w:val="22"/>
        </w:rPr>
        <w:t xml:space="preserve"> 2014 meziročně </w:t>
      </w:r>
      <w:r w:rsidR="006B06D9">
        <w:rPr>
          <w:sz w:val="22"/>
          <w:szCs w:val="22"/>
        </w:rPr>
        <w:t xml:space="preserve">vyšší </w:t>
      </w:r>
      <w:r w:rsidR="00A65B07">
        <w:rPr>
          <w:sz w:val="22"/>
          <w:szCs w:val="22"/>
        </w:rPr>
        <w:t xml:space="preserve">o </w:t>
      </w:r>
      <w:r w:rsidR="00571581">
        <w:rPr>
          <w:sz w:val="22"/>
          <w:szCs w:val="22"/>
        </w:rPr>
        <w:t>21,5</w:t>
      </w:r>
      <w:r w:rsidR="006B06D9">
        <w:rPr>
          <w:sz w:val="22"/>
          <w:szCs w:val="22"/>
        </w:rPr>
        <w:t xml:space="preserve"> %.</w:t>
      </w:r>
      <w:r w:rsidR="00A65B07">
        <w:rPr>
          <w:sz w:val="22"/>
          <w:szCs w:val="22"/>
        </w:rPr>
        <w:t xml:space="preserve"> </w:t>
      </w:r>
    </w:p>
    <w:p w:rsidR="00607E48" w:rsidRDefault="00607E48" w:rsidP="00607E48">
      <w:pPr>
        <w:ind w:left="284"/>
        <w:outlineLvl w:val="0"/>
        <w:rPr>
          <w:b/>
        </w:rPr>
      </w:pPr>
    </w:p>
    <w:p w:rsidR="00607E48" w:rsidRPr="007B426C" w:rsidRDefault="00607E48" w:rsidP="00607E48">
      <w:pPr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607E48" w:rsidRDefault="00607E48" w:rsidP="00607E48">
      <w:pPr>
        <w:ind w:left="284"/>
        <w:jc w:val="both"/>
        <w:rPr>
          <w:sz w:val="22"/>
          <w:szCs w:val="22"/>
        </w:rPr>
      </w:pPr>
      <w:r w:rsidRPr="001C27A9">
        <w:rPr>
          <w:sz w:val="22"/>
          <w:szCs w:val="22"/>
        </w:rPr>
        <w:t>Dovozy ze tří zemí - z Německa (</w:t>
      </w:r>
      <w:r w:rsidR="0031036A">
        <w:rPr>
          <w:sz w:val="22"/>
          <w:szCs w:val="22"/>
        </w:rPr>
        <w:t>45,</w:t>
      </w:r>
      <w:r w:rsidR="00571581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%), Polska (</w:t>
      </w:r>
      <w:r w:rsidR="00E67B53">
        <w:rPr>
          <w:sz w:val="22"/>
          <w:szCs w:val="22"/>
        </w:rPr>
        <w:t>24,</w:t>
      </w:r>
      <w:r w:rsidR="00571581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 a Slovenska (</w:t>
      </w:r>
      <w:r w:rsidR="0031036A">
        <w:rPr>
          <w:sz w:val="22"/>
          <w:szCs w:val="22"/>
        </w:rPr>
        <w:t>12,</w:t>
      </w:r>
      <w:r w:rsidR="00571581">
        <w:rPr>
          <w:sz w:val="22"/>
          <w:szCs w:val="22"/>
        </w:rPr>
        <w:t>5</w:t>
      </w:r>
      <w:r w:rsidRPr="001C27A9">
        <w:rPr>
          <w:sz w:val="22"/>
          <w:szCs w:val="22"/>
        </w:rPr>
        <w:t xml:space="preserve"> %) představují celkem </w:t>
      </w:r>
      <w:r w:rsidR="00E67B53">
        <w:rPr>
          <w:sz w:val="22"/>
          <w:szCs w:val="22"/>
        </w:rPr>
        <w:t>82,</w:t>
      </w:r>
      <w:r w:rsidR="0031036A">
        <w:rPr>
          <w:sz w:val="22"/>
          <w:szCs w:val="22"/>
        </w:rPr>
        <w:t>3</w:t>
      </w:r>
      <w:r w:rsidRPr="001C27A9">
        <w:rPr>
          <w:sz w:val="22"/>
          <w:szCs w:val="22"/>
        </w:rPr>
        <w:t xml:space="preserve"> % veškerého dovozu mléka a mléčných výrobků (z finančního vyjádření).</w:t>
      </w:r>
      <w:r>
        <w:rPr>
          <w:sz w:val="22"/>
          <w:szCs w:val="22"/>
        </w:rPr>
        <w:t xml:space="preserve"> V</w:t>
      </w:r>
      <w:r w:rsidR="00E67B53">
        <w:rPr>
          <w:sz w:val="22"/>
          <w:szCs w:val="22"/>
        </w:rPr>
        <w:t> </w:t>
      </w:r>
      <w:r w:rsidR="002C6BD1">
        <w:rPr>
          <w:sz w:val="22"/>
          <w:szCs w:val="22"/>
        </w:rPr>
        <w:t>lednu</w:t>
      </w:r>
      <w:r w:rsidR="00E67B53">
        <w:rPr>
          <w:sz w:val="22"/>
          <w:szCs w:val="22"/>
        </w:rPr>
        <w:t>-</w:t>
      </w:r>
      <w:r w:rsidR="00571581">
        <w:rPr>
          <w:sz w:val="22"/>
          <w:szCs w:val="22"/>
        </w:rPr>
        <w:t>červnu</w:t>
      </w:r>
      <w:r>
        <w:rPr>
          <w:sz w:val="22"/>
          <w:szCs w:val="22"/>
        </w:rPr>
        <w:t xml:space="preserve"> 201</w:t>
      </w:r>
      <w:r w:rsidR="002C6BD1">
        <w:rPr>
          <w:sz w:val="22"/>
          <w:szCs w:val="22"/>
        </w:rPr>
        <w:t>4</w:t>
      </w:r>
      <w:r w:rsidRPr="00AB3150">
        <w:rPr>
          <w:sz w:val="22"/>
          <w:szCs w:val="22"/>
        </w:rPr>
        <w:t xml:space="preserve"> se mléko </w:t>
      </w:r>
      <w:r>
        <w:rPr>
          <w:sz w:val="22"/>
          <w:szCs w:val="22"/>
        </w:rPr>
        <w:br/>
      </w:r>
      <w:r w:rsidRPr="00AB3150">
        <w:rPr>
          <w:sz w:val="22"/>
          <w:szCs w:val="22"/>
        </w:rPr>
        <w:t xml:space="preserve">a mléčné výrobky dovezly do ČR </w:t>
      </w:r>
      <w:r w:rsidRPr="0072395D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 </w:t>
      </w:r>
      <w:r w:rsidR="00E67B53">
        <w:rPr>
          <w:b/>
          <w:sz w:val="22"/>
          <w:szCs w:val="22"/>
        </w:rPr>
        <w:t>3</w:t>
      </w:r>
      <w:r w:rsidR="00571581">
        <w:rPr>
          <w:b/>
          <w:sz w:val="22"/>
          <w:szCs w:val="22"/>
        </w:rPr>
        <w:t>5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>, ze zemí EU-28 celkem 99,</w:t>
      </w:r>
      <w:r w:rsidR="00491922">
        <w:rPr>
          <w:sz w:val="22"/>
          <w:szCs w:val="22"/>
        </w:rPr>
        <w:t>7</w:t>
      </w:r>
      <w:r>
        <w:rPr>
          <w:sz w:val="22"/>
          <w:szCs w:val="22"/>
        </w:rPr>
        <w:t xml:space="preserve"> %. V meziročním porovnání došlo ke </w:t>
      </w:r>
      <w:r>
        <w:rPr>
          <w:b/>
          <w:sz w:val="22"/>
          <w:szCs w:val="22"/>
        </w:rPr>
        <w:t>zvýšení</w:t>
      </w:r>
      <w:r w:rsidRPr="003E3ABB">
        <w:rPr>
          <w:b/>
          <w:sz w:val="22"/>
          <w:szCs w:val="22"/>
        </w:rPr>
        <w:t xml:space="preserve"> finanční hodnoty dovozu</w:t>
      </w:r>
      <w:r>
        <w:rPr>
          <w:sz w:val="22"/>
          <w:szCs w:val="22"/>
        </w:rPr>
        <w:t xml:space="preserve"> o </w:t>
      </w:r>
      <w:r w:rsidR="00E67B53">
        <w:rPr>
          <w:sz w:val="22"/>
          <w:szCs w:val="22"/>
        </w:rPr>
        <w:t xml:space="preserve">cca </w:t>
      </w:r>
      <w:r w:rsidR="00571581">
        <w:rPr>
          <w:sz w:val="22"/>
          <w:szCs w:val="22"/>
        </w:rPr>
        <w:t>1 005,1</w:t>
      </w:r>
      <w:r>
        <w:rPr>
          <w:sz w:val="22"/>
          <w:szCs w:val="22"/>
        </w:rPr>
        <w:t xml:space="preserve"> mil. Kč, tj. o </w:t>
      </w:r>
      <w:r w:rsidR="00571581">
        <w:rPr>
          <w:sz w:val="22"/>
          <w:szCs w:val="22"/>
        </w:rPr>
        <w:t>17,3</w:t>
      </w:r>
      <w:r>
        <w:rPr>
          <w:sz w:val="22"/>
          <w:szCs w:val="22"/>
        </w:rPr>
        <w:t xml:space="preserve"> %. </w:t>
      </w:r>
      <w:r w:rsidR="00571581">
        <w:rPr>
          <w:sz w:val="22"/>
          <w:szCs w:val="22"/>
        </w:rPr>
        <w:t>Meziročně se dováží více zboží z Německa, Polska, Francie, Nizozemska, Rakouska,</w:t>
      </w:r>
      <w:r w:rsidR="00FF56D0">
        <w:rPr>
          <w:sz w:val="22"/>
          <w:szCs w:val="22"/>
        </w:rPr>
        <w:t xml:space="preserve"> Spojeného království.</w:t>
      </w:r>
    </w:p>
    <w:p w:rsidR="00607E48" w:rsidRDefault="00607E48" w:rsidP="00607E48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Objemy dovozu sýrů (včetně tvarohů) se v meziročním porovnání </w:t>
      </w:r>
      <w:r w:rsidR="002C6BD1">
        <w:rPr>
          <w:sz w:val="22"/>
          <w:szCs w:val="22"/>
        </w:rPr>
        <w:t>leden</w:t>
      </w:r>
      <w:r w:rsidR="00E67B53">
        <w:rPr>
          <w:sz w:val="22"/>
          <w:szCs w:val="22"/>
        </w:rPr>
        <w:t>-</w:t>
      </w:r>
      <w:r w:rsidR="00FF56D0">
        <w:rPr>
          <w:sz w:val="22"/>
          <w:szCs w:val="22"/>
        </w:rPr>
        <w:t>červen</w:t>
      </w:r>
      <w:r>
        <w:rPr>
          <w:sz w:val="22"/>
          <w:szCs w:val="22"/>
        </w:rPr>
        <w:t xml:space="preserve"> 201</w:t>
      </w:r>
      <w:r w:rsidR="002C6BD1">
        <w:rPr>
          <w:sz w:val="22"/>
          <w:szCs w:val="22"/>
        </w:rPr>
        <w:t>4</w:t>
      </w:r>
      <w:r>
        <w:rPr>
          <w:sz w:val="22"/>
          <w:szCs w:val="22"/>
        </w:rPr>
        <w:t>/</w:t>
      </w:r>
      <w:r w:rsidR="002C6BD1">
        <w:rPr>
          <w:sz w:val="22"/>
          <w:szCs w:val="22"/>
        </w:rPr>
        <w:t>leden</w:t>
      </w:r>
      <w:r w:rsidR="00E67B53">
        <w:rPr>
          <w:sz w:val="22"/>
          <w:szCs w:val="22"/>
        </w:rPr>
        <w:t>-</w:t>
      </w:r>
      <w:r w:rsidR="00FF56D0">
        <w:rPr>
          <w:sz w:val="22"/>
          <w:szCs w:val="22"/>
        </w:rPr>
        <w:t>červen</w:t>
      </w:r>
      <w:r>
        <w:rPr>
          <w:sz w:val="22"/>
          <w:szCs w:val="22"/>
        </w:rPr>
        <w:t xml:space="preserve"> 201</w:t>
      </w:r>
      <w:r w:rsidR="002C6BD1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="00E67B53">
        <w:rPr>
          <w:sz w:val="22"/>
          <w:szCs w:val="22"/>
        </w:rPr>
        <w:t>zvýšily</w:t>
      </w:r>
      <w:r>
        <w:rPr>
          <w:sz w:val="22"/>
          <w:szCs w:val="22"/>
        </w:rPr>
        <w:t xml:space="preserve">, a to o </w:t>
      </w:r>
      <w:r w:rsidR="00FF56D0">
        <w:rPr>
          <w:sz w:val="22"/>
          <w:szCs w:val="22"/>
        </w:rPr>
        <w:t>2 237</w:t>
      </w:r>
      <w:r>
        <w:rPr>
          <w:sz w:val="22"/>
          <w:szCs w:val="22"/>
        </w:rPr>
        <w:t xml:space="preserve"> t na celkových </w:t>
      </w:r>
      <w:r w:rsidR="00FF56D0">
        <w:rPr>
          <w:sz w:val="22"/>
          <w:szCs w:val="22"/>
        </w:rPr>
        <w:t>43 009</w:t>
      </w:r>
      <w:r>
        <w:rPr>
          <w:sz w:val="22"/>
          <w:szCs w:val="22"/>
        </w:rPr>
        <w:t xml:space="preserve"> t. </w:t>
      </w:r>
      <w:r w:rsidRPr="008A769C">
        <w:rPr>
          <w:b/>
          <w:color w:val="4F6228" w:themeColor="accent3" w:themeShade="80"/>
          <w:sz w:val="22"/>
          <w:szCs w:val="22"/>
          <w:u w:val="single"/>
        </w:rPr>
        <w:t xml:space="preserve">Toto dovážené množství představovalo </w:t>
      </w:r>
      <w:r w:rsidR="0031036A">
        <w:rPr>
          <w:b/>
          <w:color w:val="4F6228" w:themeColor="accent3" w:themeShade="80"/>
          <w:sz w:val="22"/>
          <w:szCs w:val="22"/>
          <w:u w:val="single"/>
        </w:rPr>
        <w:t>6</w:t>
      </w:r>
      <w:r w:rsidR="00FF56D0">
        <w:rPr>
          <w:b/>
          <w:color w:val="4F6228" w:themeColor="accent3" w:themeShade="80"/>
          <w:sz w:val="22"/>
          <w:szCs w:val="22"/>
          <w:u w:val="single"/>
        </w:rPr>
        <w:t>3</w:t>
      </w:r>
      <w:r w:rsidR="0031036A">
        <w:rPr>
          <w:b/>
          <w:color w:val="4F6228" w:themeColor="accent3" w:themeShade="80"/>
          <w:sz w:val="22"/>
          <w:szCs w:val="22"/>
          <w:u w:val="single"/>
        </w:rPr>
        <w:t>,0</w:t>
      </w:r>
      <w:r w:rsidRPr="008A769C">
        <w:rPr>
          <w:b/>
          <w:color w:val="4F6228" w:themeColor="accent3" w:themeShade="80"/>
          <w:sz w:val="22"/>
          <w:szCs w:val="22"/>
          <w:u w:val="single"/>
        </w:rPr>
        <w:t xml:space="preserve"> % objemu domácí výroby sýrů</w:t>
      </w:r>
      <w:r>
        <w:rPr>
          <w:b/>
          <w:color w:val="4F6228" w:themeColor="accent3" w:themeShade="80"/>
          <w:sz w:val="22"/>
          <w:szCs w:val="22"/>
          <w:u w:val="single"/>
        </w:rPr>
        <w:t xml:space="preserve"> </w:t>
      </w:r>
      <w:r w:rsidR="0031036A">
        <w:rPr>
          <w:b/>
          <w:color w:val="4F6228" w:themeColor="accent3" w:themeShade="80"/>
          <w:sz w:val="22"/>
          <w:szCs w:val="22"/>
          <w:u w:val="single"/>
        </w:rPr>
        <w:br/>
      </w:r>
      <w:r w:rsidRPr="008A769C">
        <w:rPr>
          <w:b/>
          <w:color w:val="4F6228" w:themeColor="accent3" w:themeShade="80"/>
          <w:sz w:val="22"/>
          <w:szCs w:val="22"/>
          <w:u w:val="single"/>
        </w:rPr>
        <w:t>a tvarohů</w:t>
      </w:r>
      <w:r w:rsidRPr="0072395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za dané období. Největší objemy sýrů a tvarohů se do ČR v</w:t>
      </w:r>
      <w:r w:rsidR="00E67B53">
        <w:rPr>
          <w:sz w:val="22"/>
          <w:szCs w:val="22"/>
        </w:rPr>
        <w:t> </w:t>
      </w:r>
      <w:r w:rsidR="002C6BD1">
        <w:rPr>
          <w:sz w:val="22"/>
          <w:szCs w:val="22"/>
        </w:rPr>
        <w:t>lednu</w:t>
      </w:r>
      <w:r w:rsidR="00E67B53">
        <w:rPr>
          <w:sz w:val="22"/>
          <w:szCs w:val="22"/>
        </w:rPr>
        <w:t>-</w:t>
      </w:r>
      <w:r w:rsidR="00FF56D0">
        <w:rPr>
          <w:sz w:val="22"/>
          <w:szCs w:val="22"/>
        </w:rPr>
        <w:t>červ</w:t>
      </w:r>
      <w:r w:rsidR="0031036A">
        <w:rPr>
          <w:sz w:val="22"/>
          <w:szCs w:val="22"/>
        </w:rPr>
        <w:t>nu</w:t>
      </w:r>
      <w:r>
        <w:rPr>
          <w:sz w:val="22"/>
          <w:szCs w:val="22"/>
        </w:rPr>
        <w:t xml:space="preserve"> 201</w:t>
      </w:r>
      <w:r w:rsidR="002C6BD1">
        <w:rPr>
          <w:sz w:val="22"/>
          <w:szCs w:val="22"/>
        </w:rPr>
        <w:t>4</w:t>
      </w:r>
      <w:r>
        <w:rPr>
          <w:sz w:val="22"/>
          <w:szCs w:val="22"/>
        </w:rPr>
        <w:t xml:space="preserve"> dovezly z Německa </w:t>
      </w:r>
      <w:r w:rsidRPr="002D63FB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z dovezených</w:t>
      </w:r>
      <w:r w:rsidR="00E67B53">
        <w:rPr>
          <w:i/>
          <w:sz w:val="22"/>
          <w:szCs w:val="22"/>
        </w:rPr>
        <w:t xml:space="preserve"> </w:t>
      </w:r>
      <w:r w:rsidR="007321DE">
        <w:rPr>
          <w:i/>
          <w:sz w:val="22"/>
          <w:szCs w:val="22"/>
        </w:rPr>
        <w:t xml:space="preserve">sýrů a tvarohů </w:t>
      </w:r>
      <w:r w:rsidR="00FF56D0">
        <w:rPr>
          <w:i/>
          <w:sz w:val="22"/>
          <w:szCs w:val="22"/>
        </w:rPr>
        <w:t>21 037</w:t>
      </w:r>
      <w:r>
        <w:rPr>
          <w:i/>
          <w:sz w:val="22"/>
          <w:szCs w:val="22"/>
        </w:rPr>
        <w:t xml:space="preserve"> t z Německa bylo </w:t>
      </w:r>
      <w:r w:rsidRPr="002D63FB">
        <w:rPr>
          <w:i/>
          <w:sz w:val="22"/>
          <w:szCs w:val="22"/>
        </w:rPr>
        <w:t xml:space="preserve">např. </w:t>
      </w:r>
      <w:r w:rsidR="00FF56D0">
        <w:rPr>
          <w:i/>
          <w:sz w:val="22"/>
          <w:szCs w:val="22"/>
        </w:rPr>
        <w:t>7 386</w:t>
      </w:r>
      <w:r w:rsidRPr="002D63FB">
        <w:rPr>
          <w:i/>
          <w:sz w:val="22"/>
          <w:szCs w:val="22"/>
        </w:rPr>
        <w:t xml:space="preserve"> t Eidamu za průměrnou dovozní cenu </w:t>
      </w:r>
      <w:r w:rsidR="00FF56D0">
        <w:rPr>
          <w:i/>
          <w:sz w:val="22"/>
          <w:szCs w:val="22"/>
        </w:rPr>
        <w:t>89,72</w:t>
      </w:r>
      <w:r w:rsidRPr="002D63FB">
        <w:rPr>
          <w:i/>
          <w:sz w:val="22"/>
          <w:szCs w:val="22"/>
        </w:rPr>
        <w:t xml:space="preserve"> Kč/kg – </w:t>
      </w:r>
      <w:r w:rsidRPr="002D63FB">
        <w:rPr>
          <w:i/>
          <w:sz w:val="22"/>
          <w:szCs w:val="22"/>
          <w:u w:val="single"/>
        </w:rPr>
        <w:t>přitom spotřebitelská cena Eidamu na domácím trhu ČR v </w:t>
      </w:r>
      <w:r w:rsidRPr="00E6206B">
        <w:rPr>
          <w:i/>
          <w:sz w:val="22"/>
          <w:szCs w:val="22"/>
          <w:u w:val="single"/>
        </w:rPr>
        <w:t>měsíci</w:t>
      </w:r>
      <w:r w:rsidRPr="00E67B53">
        <w:rPr>
          <w:i/>
          <w:sz w:val="22"/>
          <w:szCs w:val="22"/>
          <w:u w:val="single"/>
        </w:rPr>
        <w:t xml:space="preserve"> </w:t>
      </w:r>
      <w:r w:rsidR="00263E85">
        <w:rPr>
          <w:i/>
          <w:sz w:val="22"/>
          <w:szCs w:val="22"/>
          <w:u w:val="single"/>
        </w:rPr>
        <w:t>červ</w:t>
      </w:r>
      <w:r w:rsidR="00DE6D7B">
        <w:rPr>
          <w:i/>
          <w:sz w:val="22"/>
          <w:szCs w:val="22"/>
          <w:u w:val="single"/>
        </w:rPr>
        <w:t>nu</w:t>
      </w:r>
      <w:r w:rsidR="002C6BD1">
        <w:rPr>
          <w:sz w:val="22"/>
          <w:szCs w:val="22"/>
          <w:u w:val="single"/>
        </w:rPr>
        <w:t xml:space="preserve"> 2014</w:t>
      </w:r>
      <w:r>
        <w:rPr>
          <w:i/>
          <w:sz w:val="22"/>
          <w:szCs w:val="22"/>
          <w:u w:val="single"/>
        </w:rPr>
        <w:t xml:space="preserve"> </w:t>
      </w:r>
      <w:r w:rsidRPr="002D63FB">
        <w:rPr>
          <w:i/>
          <w:sz w:val="22"/>
          <w:szCs w:val="22"/>
          <w:u w:val="single"/>
        </w:rPr>
        <w:t xml:space="preserve">byla </w:t>
      </w:r>
      <w:r w:rsidR="00263E85">
        <w:rPr>
          <w:i/>
          <w:sz w:val="22"/>
          <w:szCs w:val="22"/>
          <w:u w:val="single"/>
        </w:rPr>
        <w:t>146,07</w:t>
      </w:r>
      <w:r w:rsidRPr="002D63FB">
        <w:rPr>
          <w:i/>
          <w:sz w:val="22"/>
          <w:szCs w:val="22"/>
          <w:u w:val="single"/>
        </w:rPr>
        <w:t xml:space="preserve"> Kč/kg</w:t>
      </w:r>
      <w:r>
        <w:rPr>
          <w:i/>
          <w:sz w:val="22"/>
          <w:szCs w:val="22"/>
          <w:u w:val="single"/>
        </w:rPr>
        <w:t>,</w:t>
      </w:r>
      <w:r>
        <w:rPr>
          <w:i/>
          <w:sz w:val="22"/>
          <w:szCs w:val="22"/>
        </w:rPr>
        <w:t xml:space="preserve"> </w:t>
      </w:r>
      <w:r w:rsidR="00263E85">
        <w:rPr>
          <w:i/>
          <w:sz w:val="22"/>
          <w:szCs w:val="22"/>
        </w:rPr>
        <w:t>7 370</w:t>
      </w:r>
      <w:r w:rsidR="002C6BD1"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</w:rPr>
        <w:t>t čerstvých</w:t>
      </w:r>
      <w:r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</w:rPr>
        <w:lastRenderedPageBreak/>
        <w:t xml:space="preserve">sýrů </w:t>
      </w:r>
      <w:r w:rsidR="00DE6D7B">
        <w:rPr>
          <w:i/>
          <w:sz w:val="22"/>
          <w:szCs w:val="22"/>
        </w:rPr>
        <w:t>a t</w:t>
      </w:r>
      <w:r w:rsidRPr="002D63FB">
        <w:rPr>
          <w:i/>
          <w:sz w:val="22"/>
          <w:szCs w:val="22"/>
        </w:rPr>
        <w:t xml:space="preserve">varohů za průměrnou dovozní cenu </w:t>
      </w:r>
      <w:r w:rsidR="00263E85">
        <w:rPr>
          <w:i/>
          <w:sz w:val="22"/>
          <w:szCs w:val="22"/>
        </w:rPr>
        <w:t>63,63</w:t>
      </w:r>
      <w:r w:rsidRPr="002D63FB">
        <w:rPr>
          <w:i/>
          <w:sz w:val="22"/>
          <w:szCs w:val="22"/>
        </w:rPr>
        <w:t xml:space="preserve"> Kč/kg</w:t>
      </w:r>
      <w:r>
        <w:rPr>
          <w:i/>
          <w:sz w:val="22"/>
          <w:szCs w:val="22"/>
        </w:rPr>
        <w:t xml:space="preserve"> a dále </w:t>
      </w:r>
      <w:r w:rsidR="00263E85">
        <w:rPr>
          <w:i/>
          <w:sz w:val="22"/>
          <w:szCs w:val="22"/>
        </w:rPr>
        <w:t>2 188</w:t>
      </w:r>
      <w:r>
        <w:rPr>
          <w:i/>
          <w:sz w:val="22"/>
          <w:szCs w:val="22"/>
        </w:rPr>
        <w:t xml:space="preserve"> t Goudy za </w:t>
      </w:r>
      <w:r w:rsidR="00263E85">
        <w:rPr>
          <w:i/>
          <w:sz w:val="22"/>
          <w:szCs w:val="22"/>
        </w:rPr>
        <w:t>97,35</w:t>
      </w:r>
      <w:r>
        <w:rPr>
          <w:i/>
          <w:sz w:val="22"/>
          <w:szCs w:val="22"/>
        </w:rPr>
        <w:t xml:space="preserve"> Kč/kg – spotřebitelská cena na českém trhu v </w:t>
      </w:r>
      <w:r w:rsidR="00263E85">
        <w:rPr>
          <w:i/>
          <w:sz w:val="22"/>
          <w:szCs w:val="22"/>
        </w:rPr>
        <w:t>červ</w:t>
      </w:r>
      <w:r w:rsidR="00DE6D7B">
        <w:rPr>
          <w:i/>
          <w:sz w:val="22"/>
          <w:szCs w:val="22"/>
        </w:rPr>
        <w:t>nu</w:t>
      </w:r>
      <w:r>
        <w:rPr>
          <w:i/>
          <w:sz w:val="22"/>
          <w:szCs w:val="22"/>
        </w:rPr>
        <w:t xml:space="preserve"> 201</w:t>
      </w:r>
      <w:r w:rsidR="002C6BD1">
        <w:rPr>
          <w:i/>
          <w:sz w:val="22"/>
          <w:szCs w:val="22"/>
        </w:rPr>
        <w:t>4</w:t>
      </w:r>
      <w:r>
        <w:rPr>
          <w:i/>
          <w:sz w:val="22"/>
          <w:szCs w:val="22"/>
        </w:rPr>
        <w:t xml:space="preserve"> byla </w:t>
      </w:r>
      <w:r w:rsidR="00263E85">
        <w:rPr>
          <w:i/>
          <w:sz w:val="22"/>
          <w:szCs w:val="22"/>
        </w:rPr>
        <w:t>209,09</w:t>
      </w:r>
      <w:r>
        <w:rPr>
          <w:i/>
          <w:sz w:val="22"/>
          <w:szCs w:val="22"/>
        </w:rPr>
        <w:t xml:space="preserve"> Kč/kg</w:t>
      </w:r>
      <w:r w:rsidRPr="002D63FB"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 a z </w:t>
      </w:r>
      <w:r w:rsidRPr="002D63FB">
        <w:rPr>
          <w:sz w:val="22"/>
          <w:szCs w:val="22"/>
        </w:rPr>
        <w:t xml:space="preserve">Polska </w:t>
      </w:r>
      <w:r w:rsidRPr="002D63FB">
        <w:rPr>
          <w:i/>
          <w:sz w:val="22"/>
          <w:szCs w:val="22"/>
          <w:u w:val="single"/>
        </w:rPr>
        <w:t>(</w:t>
      </w:r>
      <w:r>
        <w:rPr>
          <w:i/>
          <w:sz w:val="22"/>
          <w:szCs w:val="22"/>
          <w:u w:val="single"/>
        </w:rPr>
        <w:t xml:space="preserve">z </w:t>
      </w:r>
      <w:r w:rsidR="00263E85">
        <w:rPr>
          <w:i/>
          <w:sz w:val="22"/>
          <w:szCs w:val="22"/>
          <w:u w:val="single"/>
        </w:rPr>
        <w:t>13 192</w:t>
      </w:r>
      <w:r>
        <w:rPr>
          <w:i/>
          <w:sz w:val="22"/>
          <w:szCs w:val="22"/>
          <w:u w:val="single"/>
        </w:rPr>
        <w:t xml:space="preserve"> t dovezených</w:t>
      </w:r>
      <w:r w:rsidR="007321DE">
        <w:rPr>
          <w:i/>
          <w:sz w:val="22"/>
          <w:szCs w:val="22"/>
          <w:u w:val="single"/>
        </w:rPr>
        <w:t xml:space="preserve"> sýrů a</w:t>
      </w:r>
      <w:r>
        <w:rPr>
          <w:i/>
          <w:sz w:val="22"/>
          <w:szCs w:val="22"/>
          <w:u w:val="single"/>
        </w:rPr>
        <w:t xml:space="preserve"> </w:t>
      </w:r>
      <w:r w:rsidR="007321DE">
        <w:rPr>
          <w:i/>
          <w:sz w:val="22"/>
          <w:szCs w:val="22"/>
          <w:u w:val="single"/>
        </w:rPr>
        <w:t xml:space="preserve">tvarohů </w:t>
      </w:r>
      <w:r>
        <w:rPr>
          <w:i/>
          <w:sz w:val="22"/>
          <w:szCs w:val="22"/>
          <w:u w:val="single"/>
        </w:rPr>
        <w:t xml:space="preserve">z Polska představovaly </w:t>
      </w:r>
      <w:r w:rsidRPr="002D63FB">
        <w:rPr>
          <w:i/>
          <w:sz w:val="22"/>
          <w:szCs w:val="22"/>
          <w:u w:val="single"/>
        </w:rPr>
        <w:t xml:space="preserve">např. tavené sýry – </w:t>
      </w:r>
      <w:r w:rsidR="007321DE">
        <w:rPr>
          <w:i/>
          <w:sz w:val="22"/>
          <w:szCs w:val="22"/>
          <w:u w:val="single"/>
        </w:rPr>
        <w:t xml:space="preserve">2 </w:t>
      </w:r>
      <w:r w:rsidR="00263E85">
        <w:rPr>
          <w:i/>
          <w:sz w:val="22"/>
          <w:szCs w:val="22"/>
          <w:u w:val="single"/>
        </w:rPr>
        <w:t>935</w:t>
      </w:r>
      <w:r w:rsidRPr="002D63FB">
        <w:rPr>
          <w:i/>
          <w:sz w:val="22"/>
          <w:szCs w:val="22"/>
          <w:u w:val="single"/>
        </w:rPr>
        <w:t xml:space="preserve"> t za </w:t>
      </w:r>
      <w:r w:rsidR="00491922">
        <w:rPr>
          <w:i/>
          <w:sz w:val="22"/>
          <w:szCs w:val="22"/>
          <w:u w:val="single"/>
        </w:rPr>
        <w:t>77,</w:t>
      </w:r>
      <w:r w:rsidR="00263E85">
        <w:rPr>
          <w:i/>
          <w:sz w:val="22"/>
          <w:szCs w:val="22"/>
          <w:u w:val="single"/>
        </w:rPr>
        <w:t>39</w:t>
      </w:r>
      <w:r w:rsidRPr="002D63FB">
        <w:rPr>
          <w:i/>
          <w:sz w:val="22"/>
          <w:szCs w:val="22"/>
          <w:u w:val="single"/>
        </w:rPr>
        <w:t xml:space="preserve"> Kč/kg,</w:t>
      </w:r>
      <w:r w:rsidRPr="002D63FB"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  <w:u w:val="single"/>
        </w:rPr>
        <w:t xml:space="preserve">na domácím trhu ČR byla spotřebitelská cena </w:t>
      </w:r>
      <w:r w:rsidR="007321DE">
        <w:rPr>
          <w:i/>
          <w:sz w:val="22"/>
          <w:szCs w:val="22"/>
          <w:u w:val="single"/>
        </w:rPr>
        <w:t>214,</w:t>
      </w:r>
      <w:r w:rsidR="00263E85">
        <w:rPr>
          <w:i/>
          <w:sz w:val="22"/>
          <w:szCs w:val="22"/>
          <w:u w:val="single"/>
        </w:rPr>
        <w:t>31</w:t>
      </w:r>
      <w:r w:rsidRPr="002D63FB">
        <w:rPr>
          <w:i/>
          <w:sz w:val="22"/>
          <w:szCs w:val="22"/>
          <w:u w:val="single"/>
        </w:rPr>
        <w:t xml:space="preserve"> Kč/kg</w:t>
      </w:r>
      <w:r w:rsidRPr="002D63FB">
        <w:rPr>
          <w:i/>
          <w:sz w:val="22"/>
          <w:szCs w:val="22"/>
        </w:rPr>
        <w:t xml:space="preserve">, Eidam – </w:t>
      </w:r>
      <w:r w:rsidR="00263E85">
        <w:rPr>
          <w:i/>
          <w:sz w:val="22"/>
          <w:szCs w:val="22"/>
        </w:rPr>
        <w:t>2 303</w:t>
      </w:r>
      <w:r w:rsidRPr="002D63FB">
        <w:rPr>
          <w:i/>
          <w:sz w:val="22"/>
          <w:szCs w:val="22"/>
        </w:rPr>
        <w:t xml:space="preserve"> t za </w:t>
      </w:r>
      <w:r w:rsidR="00263E85">
        <w:rPr>
          <w:i/>
          <w:sz w:val="22"/>
          <w:szCs w:val="22"/>
        </w:rPr>
        <w:t>93,32</w:t>
      </w:r>
      <w:r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</w:rPr>
        <w:t>Kč/kg</w:t>
      </w:r>
      <w:r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. Meziročně </w:t>
      </w:r>
      <w:r w:rsidR="002C6BD1">
        <w:rPr>
          <w:sz w:val="22"/>
          <w:szCs w:val="22"/>
        </w:rPr>
        <w:t xml:space="preserve">vyšší </w:t>
      </w:r>
      <w:r>
        <w:rPr>
          <w:sz w:val="22"/>
          <w:szCs w:val="22"/>
        </w:rPr>
        <w:t xml:space="preserve">byly objemy dovozu jogurtů a ostatních zakysaných mléčných výrobků (o </w:t>
      </w:r>
      <w:r w:rsidR="00263E85">
        <w:rPr>
          <w:sz w:val="22"/>
          <w:szCs w:val="22"/>
        </w:rPr>
        <w:t>1 039</w:t>
      </w:r>
      <w:r w:rsidR="00E67B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t, tj. o </w:t>
      </w:r>
      <w:r w:rsidR="007321DE">
        <w:rPr>
          <w:sz w:val="22"/>
          <w:szCs w:val="22"/>
        </w:rPr>
        <w:t>5,</w:t>
      </w:r>
      <w:r w:rsidR="00263E85">
        <w:rPr>
          <w:sz w:val="22"/>
          <w:szCs w:val="22"/>
        </w:rPr>
        <w:t>0</w:t>
      </w:r>
      <w:r>
        <w:rPr>
          <w:sz w:val="22"/>
          <w:szCs w:val="22"/>
        </w:rPr>
        <w:t xml:space="preserve"> %).</w:t>
      </w:r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607E48" w:rsidRDefault="00607E48" w:rsidP="00607E48">
      <w:pPr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DOVOZY z vybraných zemí (% z celkově dovezeného objemu daného sortimentu zboží)</w:t>
      </w:r>
    </w:p>
    <w:tbl>
      <w:tblPr>
        <w:tblW w:w="10115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3"/>
        <w:gridCol w:w="1134"/>
        <w:gridCol w:w="1559"/>
        <w:gridCol w:w="13"/>
        <w:gridCol w:w="1547"/>
        <w:gridCol w:w="1559"/>
        <w:gridCol w:w="1610"/>
      </w:tblGrid>
      <w:tr w:rsidR="00607E48" w:rsidRPr="005C00CE" w:rsidTr="00A814B3">
        <w:trPr>
          <w:cantSplit/>
          <w:trHeight w:val="163"/>
        </w:trPr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C2D69B" w:themeFill="accent3" w:themeFillTint="99"/>
            <w:vAlign w:val="center"/>
          </w:tcPr>
          <w:p w:rsidR="00607E48" w:rsidRPr="005C00CE" w:rsidRDefault="00607E48" w:rsidP="00ED18DA">
            <w:pPr>
              <w:rPr>
                <w:sz w:val="22"/>
                <w:szCs w:val="22"/>
              </w:rPr>
            </w:pPr>
            <w:r w:rsidRPr="005C00CE">
              <w:rPr>
                <w:sz w:val="22"/>
                <w:szCs w:val="22"/>
              </w:rPr>
              <w:t>Název zboží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</w:tcPr>
          <w:p w:rsidR="00607E48" w:rsidRPr="002A7358" w:rsidRDefault="00607E48" w:rsidP="00ED18DA">
            <w:pPr>
              <w:jc w:val="center"/>
              <w:rPr>
                <w:sz w:val="22"/>
                <w:szCs w:val="22"/>
              </w:rPr>
            </w:pPr>
            <w:r w:rsidRPr="002A7358">
              <w:rPr>
                <w:sz w:val="22"/>
                <w:szCs w:val="22"/>
              </w:rPr>
              <w:t>Jednotky</w:t>
            </w:r>
          </w:p>
        </w:tc>
        <w:tc>
          <w:tcPr>
            <w:tcW w:w="6288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5C00CE" w:rsidRDefault="00E67B53" w:rsidP="005329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Leden – </w:t>
            </w:r>
            <w:r w:rsidR="0053297B">
              <w:rPr>
                <w:b/>
                <w:sz w:val="22"/>
                <w:szCs w:val="22"/>
              </w:rPr>
              <w:t>červen</w:t>
            </w:r>
            <w:r>
              <w:rPr>
                <w:b/>
                <w:sz w:val="22"/>
                <w:szCs w:val="22"/>
              </w:rPr>
              <w:t xml:space="preserve"> </w:t>
            </w:r>
            <w:r w:rsidR="00607E48" w:rsidRPr="005C00CE">
              <w:rPr>
                <w:b/>
                <w:sz w:val="22"/>
                <w:szCs w:val="22"/>
              </w:rPr>
              <w:t>201</w:t>
            </w:r>
            <w:r w:rsidR="00C00BB4">
              <w:rPr>
                <w:b/>
                <w:sz w:val="22"/>
                <w:szCs w:val="22"/>
              </w:rPr>
              <w:t>4</w:t>
            </w:r>
          </w:p>
        </w:tc>
      </w:tr>
      <w:tr w:rsidR="00607E48" w:rsidRPr="005C00CE" w:rsidTr="00A814B3">
        <w:trPr>
          <w:cantSplit/>
          <w:trHeight w:val="163"/>
        </w:trPr>
        <w:tc>
          <w:tcPr>
            <w:tcW w:w="2693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5C00CE" w:rsidRDefault="00607E48" w:rsidP="00ED18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C2D69B" w:themeFill="accent3" w:themeFillTint="99"/>
          </w:tcPr>
          <w:p w:rsidR="00607E48" w:rsidRPr="005C00CE" w:rsidRDefault="00607E48" w:rsidP="00ED18D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5C00CE" w:rsidRDefault="00607E48" w:rsidP="00ED18DA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Země celkem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5C00CE" w:rsidRDefault="00607E48" w:rsidP="00ED18DA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Německo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5C00CE" w:rsidRDefault="00607E48" w:rsidP="00ED18DA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Polsko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5C00CE" w:rsidRDefault="00607E48" w:rsidP="00ED18DA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Slovensko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Mléko a smet. nezah. </w:t>
            </w:r>
            <w:r w:rsidRPr="002A7358">
              <w:rPr>
                <w:b/>
                <w:sz w:val="18"/>
                <w:szCs w:val="18"/>
              </w:rPr>
              <w:t>(0401)</w:t>
            </w:r>
          </w:p>
        </w:tc>
        <w:tc>
          <w:tcPr>
            <w:tcW w:w="1134" w:type="dxa"/>
            <w:tcBorders>
              <w:top w:val="nil"/>
            </w:tcBorders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tcBorders>
              <w:top w:val="nil"/>
            </w:tcBorders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tcBorders>
              <w:top w:val="nil"/>
            </w:tcBorders>
            <w:vAlign w:val="center"/>
          </w:tcPr>
          <w:p w:rsidR="00607E48" w:rsidRPr="002A7358" w:rsidRDefault="00780310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41,6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607E48" w:rsidRPr="002A7358" w:rsidRDefault="00780310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6,1</w:t>
            </w:r>
          </w:p>
        </w:tc>
        <w:tc>
          <w:tcPr>
            <w:tcW w:w="1610" w:type="dxa"/>
            <w:tcBorders>
              <w:top w:val="nil"/>
            </w:tcBorders>
            <w:vAlign w:val="center"/>
          </w:tcPr>
          <w:p w:rsidR="00607E48" w:rsidRPr="002A7358" w:rsidRDefault="00780310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45,3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07E48" w:rsidRPr="002A7358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2A7358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780310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41 398</w:t>
            </w:r>
          </w:p>
        </w:tc>
        <w:tc>
          <w:tcPr>
            <w:tcW w:w="1547" w:type="dxa"/>
            <w:vAlign w:val="center"/>
          </w:tcPr>
          <w:p w:rsidR="00607E48" w:rsidRPr="002A7358" w:rsidRDefault="00780310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17 240</w:t>
            </w:r>
          </w:p>
        </w:tc>
        <w:tc>
          <w:tcPr>
            <w:tcW w:w="1559" w:type="dxa"/>
            <w:vAlign w:val="center"/>
          </w:tcPr>
          <w:p w:rsidR="00607E48" w:rsidRPr="002A7358" w:rsidRDefault="00780310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2 531</w:t>
            </w:r>
          </w:p>
        </w:tc>
        <w:tc>
          <w:tcPr>
            <w:tcW w:w="1610" w:type="dxa"/>
            <w:vAlign w:val="center"/>
          </w:tcPr>
          <w:p w:rsidR="00607E48" w:rsidRPr="002A7358" w:rsidRDefault="00780310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18 762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Mléko a smet. zahuš. </w:t>
            </w:r>
            <w:r w:rsidRPr="002A7358">
              <w:rPr>
                <w:b/>
                <w:sz w:val="18"/>
                <w:szCs w:val="18"/>
              </w:rPr>
              <w:t>(0402)</w:t>
            </w: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607E48" w:rsidRPr="002A7358" w:rsidRDefault="00780310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56,4</w:t>
            </w:r>
          </w:p>
        </w:tc>
        <w:tc>
          <w:tcPr>
            <w:tcW w:w="1559" w:type="dxa"/>
            <w:vAlign w:val="center"/>
          </w:tcPr>
          <w:p w:rsidR="00607E48" w:rsidRPr="002A7358" w:rsidRDefault="00780310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9,6</w:t>
            </w:r>
          </w:p>
        </w:tc>
        <w:tc>
          <w:tcPr>
            <w:tcW w:w="1610" w:type="dxa"/>
            <w:vAlign w:val="center"/>
          </w:tcPr>
          <w:p w:rsidR="00607E48" w:rsidRPr="002A7358" w:rsidRDefault="00780310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21,7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2A7358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780310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4 820</w:t>
            </w:r>
          </w:p>
        </w:tc>
        <w:tc>
          <w:tcPr>
            <w:tcW w:w="1547" w:type="dxa"/>
            <w:vAlign w:val="center"/>
          </w:tcPr>
          <w:p w:rsidR="00607E48" w:rsidRPr="002A7358" w:rsidRDefault="00780310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2 718</w:t>
            </w:r>
          </w:p>
        </w:tc>
        <w:tc>
          <w:tcPr>
            <w:tcW w:w="1559" w:type="dxa"/>
            <w:vAlign w:val="center"/>
          </w:tcPr>
          <w:p w:rsidR="00607E48" w:rsidRPr="002A7358" w:rsidRDefault="00780310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463</w:t>
            </w:r>
          </w:p>
        </w:tc>
        <w:tc>
          <w:tcPr>
            <w:tcW w:w="1610" w:type="dxa"/>
            <w:vAlign w:val="center"/>
          </w:tcPr>
          <w:p w:rsidR="00607E48" w:rsidRPr="002A7358" w:rsidRDefault="00780310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1 044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Jogurty, kefíry apod. </w:t>
            </w:r>
            <w:r w:rsidRPr="002A7358">
              <w:rPr>
                <w:b/>
                <w:sz w:val="18"/>
                <w:szCs w:val="18"/>
              </w:rPr>
              <w:t>(0403)</w:t>
            </w: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607E48" w:rsidRPr="002A7358" w:rsidRDefault="00780310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55,6</w:t>
            </w:r>
          </w:p>
        </w:tc>
        <w:tc>
          <w:tcPr>
            <w:tcW w:w="1559" w:type="dxa"/>
            <w:vAlign w:val="center"/>
          </w:tcPr>
          <w:p w:rsidR="00607E48" w:rsidRPr="002A7358" w:rsidRDefault="00780310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30,0</w:t>
            </w:r>
          </w:p>
        </w:tc>
        <w:tc>
          <w:tcPr>
            <w:tcW w:w="1610" w:type="dxa"/>
            <w:vAlign w:val="center"/>
          </w:tcPr>
          <w:p w:rsidR="00607E48" w:rsidRPr="002A7358" w:rsidRDefault="00780310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7,7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07E48" w:rsidRPr="00F969B0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F969B0" w:rsidRDefault="00780310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21 848</w:t>
            </w:r>
          </w:p>
        </w:tc>
        <w:tc>
          <w:tcPr>
            <w:tcW w:w="1547" w:type="dxa"/>
            <w:vAlign w:val="center"/>
          </w:tcPr>
          <w:p w:rsidR="00607E48" w:rsidRPr="00F969B0" w:rsidRDefault="00780310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12 158</w:t>
            </w:r>
          </w:p>
        </w:tc>
        <w:tc>
          <w:tcPr>
            <w:tcW w:w="1559" w:type="dxa"/>
            <w:vAlign w:val="center"/>
          </w:tcPr>
          <w:p w:rsidR="00607E48" w:rsidRPr="00F969B0" w:rsidRDefault="00780310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6 559</w:t>
            </w:r>
          </w:p>
        </w:tc>
        <w:tc>
          <w:tcPr>
            <w:tcW w:w="1610" w:type="dxa"/>
            <w:vAlign w:val="center"/>
          </w:tcPr>
          <w:p w:rsidR="00607E48" w:rsidRPr="00F969B0" w:rsidRDefault="00780310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1 693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Syrovátka </w:t>
            </w:r>
            <w:r w:rsidRPr="002A7358">
              <w:rPr>
                <w:b/>
                <w:sz w:val="18"/>
                <w:szCs w:val="18"/>
              </w:rPr>
              <w:t>(0404)</w:t>
            </w: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607E48" w:rsidRPr="002A7358" w:rsidRDefault="00780310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41,0</w:t>
            </w:r>
          </w:p>
        </w:tc>
        <w:tc>
          <w:tcPr>
            <w:tcW w:w="1559" w:type="dxa"/>
            <w:vAlign w:val="center"/>
          </w:tcPr>
          <w:p w:rsidR="00607E48" w:rsidRPr="002A7358" w:rsidRDefault="00780310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3,0</w:t>
            </w:r>
          </w:p>
        </w:tc>
        <w:tc>
          <w:tcPr>
            <w:tcW w:w="1610" w:type="dxa"/>
            <w:vAlign w:val="center"/>
          </w:tcPr>
          <w:p w:rsidR="00607E48" w:rsidRPr="002A7358" w:rsidRDefault="00780310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15,4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07E48" w:rsidRPr="00F969B0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F969B0" w:rsidRDefault="00780310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22 034</w:t>
            </w:r>
          </w:p>
        </w:tc>
        <w:tc>
          <w:tcPr>
            <w:tcW w:w="1547" w:type="dxa"/>
            <w:vAlign w:val="center"/>
          </w:tcPr>
          <w:p w:rsidR="00607E48" w:rsidRPr="00F969B0" w:rsidRDefault="00780310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9 035</w:t>
            </w:r>
          </w:p>
        </w:tc>
        <w:tc>
          <w:tcPr>
            <w:tcW w:w="1559" w:type="dxa"/>
            <w:vAlign w:val="center"/>
          </w:tcPr>
          <w:p w:rsidR="00607E48" w:rsidRPr="00F969B0" w:rsidRDefault="00780310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657</w:t>
            </w:r>
          </w:p>
        </w:tc>
        <w:tc>
          <w:tcPr>
            <w:tcW w:w="1610" w:type="dxa"/>
            <w:vAlign w:val="center"/>
          </w:tcPr>
          <w:p w:rsidR="00607E48" w:rsidRPr="00F969B0" w:rsidRDefault="00780310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3 383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Máslo </w:t>
            </w:r>
            <w:r w:rsidRPr="002A7358">
              <w:rPr>
                <w:b/>
                <w:sz w:val="18"/>
                <w:szCs w:val="18"/>
              </w:rPr>
              <w:t>(0405)</w:t>
            </w: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607E48" w:rsidRPr="002A7358" w:rsidRDefault="00780310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42,9</w:t>
            </w:r>
          </w:p>
        </w:tc>
        <w:tc>
          <w:tcPr>
            <w:tcW w:w="1559" w:type="dxa"/>
            <w:vAlign w:val="center"/>
          </w:tcPr>
          <w:p w:rsidR="00607E48" w:rsidRPr="002A7358" w:rsidRDefault="00780310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24,0</w:t>
            </w:r>
          </w:p>
        </w:tc>
        <w:tc>
          <w:tcPr>
            <w:tcW w:w="1610" w:type="dxa"/>
            <w:vAlign w:val="center"/>
          </w:tcPr>
          <w:p w:rsidR="00607E48" w:rsidRPr="002A7358" w:rsidRDefault="00780310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16,2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07E48" w:rsidRPr="00F969B0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F969B0" w:rsidRDefault="00780310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8 187</w:t>
            </w:r>
          </w:p>
        </w:tc>
        <w:tc>
          <w:tcPr>
            <w:tcW w:w="1547" w:type="dxa"/>
            <w:vAlign w:val="center"/>
          </w:tcPr>
          <w:p w:rsidR="00607E48" w:rsidRPr="00F969B0" w:rsidRDefault="00780310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3 516</w:t>
            </w:r>
          </w:p>
        </w:tc>
        <w:tc>
          <w:tcPr>
            <w:tcW w:w="1559" w:type="dxa"/>
            <w:vAlign w:val="center"/>
          </w:tcPr>
          <w:p w:rsidR="00607E48" w:rsidRPr="00F969B0" w:rsidRDefault="00780310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1 966</w:t>
            </w:r>
          </w:p>
        </w:tc>
        <w:tc>
          <w:tcPr>
            <w:tcW w:w="1610" w:type="dxa"/>
            <w:vAlign w:val="center"/>
          </w:tcPr>
          <w:p w:rsidR="00607E48" w:rsidRPr="00F969B0" w:rsidRDefault="00780310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1 326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Sýry a tvarohy </w:t>
            </w:r>
            <w:r w:rsidRPr="002A7358">
              <w:rPr>
                <w:b/>
                <w:sz w:val="18"/>
                <w:szCs w:val="18"/>
              </w:rPr>
              <w:t>(0406)</w:t>
            </w: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607E48" w:rsidRPr="002A7358" w:rsidRDefault="00780310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48,9</w:t>
            </w:r>
          </w:p>
        </w:tc>
        <w:tc>
          <w:tcPr>
            <w:tcW w:w="1559" w:type="dxa"/>
            <w:vAlign w:val="center"/>
          </w:tcPr>
          <w:p w:rsidR="00607E48" w:rsidRPr="002A7358" w:rsidRDefault="00780310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30,7</w:t>
            </w:r>
          </w:p>
        </w:tc>
        <w:tc>
          <w:tcPr>
            <w:tcW w:w="1610" w:type="dxa"/>
            <w:vAlign w:val="center"/>
          </w:tcPr>
          <w:p w:rsidR="00607E48" w:rsidRPr="002A7358" w:rsidRDefault="00780310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7,4</w:t>
            </w:r>
          </w:p>
        </w:tc>
      </w:tr>
      <w:tr w:rsidR="00607E48" w:rsidRPr="005C00CE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07E48" w:rsidRPr="005C00CE" w:rsidRDefault="00607E48" w:rsidP="00ED18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07E48" w:rsidRPr="00F969B0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tcBorders>
              <w:bottom w:val="double" w:sz="4" w:space="0" w:color="auto"/>
            </w:tcBorders>
            <w:vAlign w:val="center"/>
          </w:tcPr>
          <w:p w:rsidR="00607E48" w:rsidRPr="00F969B0" w:rsidRDefault="00780310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43 009</w:t>
            </w:r>
          </w:p>
        </w:tc>
        <w:tc>
          <w:tcPr>
            <w:tcW w:w="1547" w:type="dxa"/>
            <w:tcBorders>
              <w:bottom w:val="double" w:sz="4" w:space="0" w:color="auto"/>
            </w:tcBorders>
            <w:vAlign w:val="center"/>
          </w:tcPr>
          <w:p w:rsidR="00607E48" w:rsidRPr="00F969B0" w:rsidRDefault="00780310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21 037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607E48" w:rsidRPr="00F969B0" w:rsidRDefault="00780310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13 192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vAlign w:val="center"/>
          </w:tcPr>
          <w:p w:rsidR="00607E48" w:rsidRPr="00F969B0" w:rsidRDefault="00780310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3 176</w:t>
            </w:r>
          </w:p>
        </w:tc>
      </w:tr>
    </w:tbl>
    <w:p w:rsidR="00607E48" w:rsidRDefault="00607E48" w:rsidP="00607E48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>, MZe</w:t>
      </w:r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2C6BD1" w:rsidRDefault="002C6BD1" w:rsidP="00607E48">
      <w:pPr>
        <w:ind w:left="426"/>
        <w:rPr>
          <w:b/>
          <w:sz w:val="22"/>
          <w:szCs w:val="22"/>
        </w:rPr>
      </w:pPr>
    </w:p>
    <w:p w:rsidR="002C6BD1" w:rsidRDefault="002C6BD1" w:rsidP="00607E48">
      <w:pPr>
        <w:ind w:left="426"/>
        <w:rPr>
          <w:b/>
          <w:sz w:val="22"/>
          <w:szCs w:val="22"/>
        </w:rPr>
      </w:pPr>
    </w:p>
    <w:p w:rsidR="002C6BD1" w:rsidRDefault="002C6BD1" w:rsidP="00607E48">
      <w:pPr>
        <w:ind w:left="426"/>
        <w:rPr>
          <w:b/>
          <w:sz w:val="22"/>
          <w:szCs w:val="22"/>
        </w:rPr>
      </w:pPr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607E48" w:rsidRPr="00E167C9" w:rsidRDefault="00607E48" w:rsidP="00607E48">
      <w:pPr>
        <w:ind w:left="426"/>
        <w:rPr>
          <w:b/>
          <w:sz w:val="22"/>
          <w:szCs w:val="22"/>
        </w:rPr>
      </w:pPr>
      <w:r w:rsidRPr="00E167C9">
        <w:rPr>
          <w:b/>
          <w:sz w:val="22"/>
          <w:szCs w:val="22"/>
        </w:rPr>
        <w:t xml:space="preserve">Vývoz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Pr="00E167C9">
          <w:rPr>
            <w:b/>
            <w:sz w:val="22"/>
            <w:szCs w:val="22"/>
          </w:rPr>
          <w:t>2 l</w:t>
        </w:r>
      </w:smartTag>
      <w:r w:rsidRPr="00E167C9">
        <w:rPr>
          <w:b/>
          <w:sz w:val="22"/>
          <w:szCs w:val="22"/>
        </w:rPr>
        <w:t xml:space="preserve"> – celní položka 0401 20 99  (tuny)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607E48" w:rsidRPr="009A018E" w:rsidTr="00ED18DA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607E48" w:rsidRPr="009A018E" w:rsidTr="00ED18DA">
        <w:trPr>
          <w:trHeight w:val="167"/>
        </w:trPr>
        <w:tc>
          <w:tcPr>
            <w:tcW w:w="91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607E48" w:rsidRPr="00D66B6A" w:rsidTr="00ED18DA">
        <w:trPr>
          <w:trHeight w:val="201"/>
        </w:trPr>
        <w:tc>
          <w:tcPr>
            <w:tcW w:w="91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607E48" w:rsidRPr="009A018E" w:rsidTr="00ED18DA">
        <w:trPr>
          <w:trHeight w:val="167"/>
        </w:trPr>
        <w:tc>
          <w:tcPr>
            <w:tcW w:w="91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607E48" w:rsidRPr="00D66B6A" w:rsidTr="00ED18DA">
        <w:trPr>
          <w:trHeight w:val="193"/>
        </w:trPr>
        <w:tc>
          <w:tcPr>
            <w:tcW w:w="91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607E48" w:rsidRPr="009A018E" w:rsidTr="00ED18DA">
        <w:trPr>
          <w:trHeight w:val="167"/>
        </w:trPr>
        <w:tc>
          <w:tcPr>
            <w:tcW w:w="91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607E48" w:rsidRPr="00D66B6A" w:rsidTr="00ED18DA">
        <w:trPr>
          <w:trHeight w:val="185"/>
        </w:trPr>
        <w:tc>
          <w:tcPr>
            <w:tcW w:w="91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607E48" w:rsidRPr="009A018E" w:rsidTr="00ED18DA">
        <w:trPr>
          <w:trHeight w:val="167"/>
        </w:trPr>
        <w:tc>
          <w:tcPr>
            <w:tcW w:w="91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607E48" w:rsidRPr="00D66B6A" w:rsidTr="00ED18DA">
        <w:trPr>
          <w:trHeight w:val="177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607E48" w:rsidRPr="009A018E" w:rsidTr="00ED18DA">
        <w:trPr>
          <w:trHeight w:val="223"/>
        </w:trPr>
        <w:tc>
          <w:tcPr>
            <w:tcW w:w="913" w:type="dxa"/>
            <w:vAlign w:val="center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607E48" w:rsidRPr="00D66B6A" w:rsidTr="00ED18DA">
        <w:trPr>
          <w:trHeight w:val="155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607E48" w:rsidRPr="009A018E" w:rsidTr="00ED18DA">
        <w:trPr>
          <w:trHeight w:val="223"/>
        </w:trPr>
        <w:tc>
          <w:tcPr>
            <w:tcW w:w="913" w:type="dxa"/>
            <w:vAlign w:val="center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607E48" w:rsidRPr="00D66B6A" w:rsidTr="00ED18DA">
        <w:trPr>
          <w:trHeight w:val="133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607E48" w:rsidRPr="009A018E" w:rsidTr="00ED18DA">
        <w:trPr>
          <w:trHeight w:val="223"/>
        </w:trPr>
        <w:tc>
          <w:tcPr>
            <w:tcW w:w="913" w:type="dxa"/>
            <w:vAlign w:val="center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607E48" w:rsidRPr="00D66B6A" w:rsidTr="00ED18DA">
        <w:trPr>
          <w:trHeight w:val="98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607E48" w:rsidRPr="009A018E" w:rsidTr="00ED18DA">
        <w:trPr>
          <w:trHeight w:val="241"/>
        </w:trPr>
        <w:tc>
          <w:tcPr>
            <w:tcW w:w="913" w:type="dxa"/>
            <w:vAlign w:val="center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38 763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607E48" w:rsidRPr="007A5D6A" w:rsidRDefault="00607E48" w:rsidP="00ED18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607E48" w:rsidRPr="00D66B6A" w:rsidTr="00ED18DA">
        <w:trPr>
          <w:trHeight w:val="203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</w:tr>
      <w:tr w:rsidR="00607E48" w:rsidRPr="006440F7" w:rsidTr="00ED18DA">
        <w:trPr>
          <w:trHeight w:val="203"/>
        </w:trPr>
        <w:tc>
          <w:tcPr>
            <w:tcW w:w="913" w:type="dxa"/>
            <w:vAlign w:val="center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38 234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42 136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39 887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43 763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48 897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52 095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54 362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48 544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46 427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39 729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37 742</w:t>
            </w:r>
          </w:p>
        </w:tc>
        <w:tc>
          <w:tcPr>
            <w:tcW w:w="844" w:type="dxa"/>
          </w:tcPr>
          <w:p w:rsidR="00607E48" w:rsidRPr="00CF1A4D" w:rsidRDefault="00607E48" w:rsidP="00ED18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534 524</w:t>
            </w:r>
          </w:p>
        </w:tc>
      </w:tr>
      <w:tr w:rsidR="00607E48" w:rsidRPr="00D66B6A" w:rsidTr="00ED18DA">
        <w:trPr>
          <w:trHeight w:val="203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7,72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7,97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8,15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844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8,25</w:t>
            </w:r>
          </w:p>
        </w:tc>
      </w:tr>
      <w:tr w:rsidR="00607E48" w:rsidRPr="006136AD" w:rsidTr="00ED18DA">
        <w:trPr>
          <w:trHeight w:val="203"/>
        </w:trPr>
        <w:tc>
          <w:tcPr>
            <w:tcW w:w="913" w:type="dxa"/>
            <w:vAlign w:val="center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44 678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38 779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42 741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43 326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47 653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48 312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43 274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41 472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40 195</w:t>
            </w:r>
          </w:p>
        </w:tc>
        <w:tc>
          <w:tcPr>
            <w:tcW w:w="723" w:type="dxa"/>
          </w:tcPr>
          <w:p w:rsidR="00607E48" w:rsidRPr="006136AD" w:rsidRDefault="00FF29F4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40 061</w:t>
            </w:r>
          </w:p>
        </w:tc>
        <w:tc>
          <w:tcPr>
            <w:tcW w:w="723" w:type="dxa"/>
          </w:tcPr>
          <w:p w:rsidR="00607E48" w:rsidRPr="006136AD" w:rsidRDefault="00FF29F4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37 530</w:t>
            </w:r>
          </w:p>
        </w:tc>
        <w:tc>
          <w:tcPr>
            <w:tcW w:w="723" w:type="dxa"/>
          </w:tcPr>
          <w:p w:rsidR="00607E48" w:rsidRPr="006136AD" w:rsidRDefault="00FF29F4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40 445</w:t>
            </w:r>
          </w:p>
        </w:tc>
        <w:tc>
          <w:tcPr>
            <w:tcW w:w="844" w:type="dxa"/>
          </w:tcPr>
          <w:p w:rsidR="00607E48" w:rsidRPr="007848A9" w:rsidRDefault="00FF29F4" w:rsidP="00ED18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508 466</w:t>
            </w:r>
          </w:p>
        </w:tc>
      </w:tr>
      <w:tr w:rsidR="00607E48" w:rsidRPr="00D66B6A" w:rsidTr="00C00BB4">
        <w:trPr>
          <w:trHeight w:val="203"/>
        </w:trPr>
        <w:tc>
          <w:tcPr>
            <w:tcW w:w="913" w:type="dxa"/>
            <w:vAlign w:val="center"/>
          </w:tcPr>
          <w:p w:rsidR="00607E48" w:rsidRPr="00D66B6A" w:rsidRDefault="00607E48" w:rsidP="00C00BB4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8,71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9,42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9,00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9,51</w:t>
            </w:r>
          </w:p>
        </w:tc>
        <w:tc>
          <w:tcPr>
            <w:tcW w:w="723" w:type="dxa"/>
          </w:tcPr>
          <w:p w:rsidR="00607E48" w:rsidRDefault="00607E48" w:rsidP="00FF29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10,0</w:t>
            </w:r>
            <w:r w:rsidR="00FF29F4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10,53</w:t>
            </w:r>
          </w:p>
        </w:tc>
        <w:tc>
          <w:tcPr>
            <w:tcW w:w="723" w:type="dxa"/>
          </w:tcPr>
          <w:p w:rsidR="00607E48" w:rsidRDefault="00FF29F4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10,70</w:t>
            </w:r>
          </w:p>
        </w:tc>
        <w:tc>
          <w:tcPr>
            <w:tcW w:w="844" w:type="dxa"/>
          </w:tcPr>
          <w:p w:rsidR="00607E48" w:rsidRDefault="00FF29F4" w:rsidP="00FF29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9,26</w:t>
            </w:r>
          </w:p>
        </w:tc>
      </w:tr>
      <w:tr w:rsidR="00C00BB4" w:rsidRPr="006136AD" w:rsidTr="00F51ACA">
        <w:trPr>
          <w:trHeight w:val="203"/>
        </w:trPr>
        <w:tc>
          <w:tcPr>
            <w:tcW w:w="913" w:type="dxa"/>
            <w:vAlign w:val="center"/>
          </w:tcPr>
          <w:p w:rsidR="00C00BB4" w:rsidRPr="006136AD" w:rsidRDefault="00C00BB4" w:rsidP="00C00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723" w:type="dxa"/>
          </w:tcPr>
          <w:p w:rsidR="00C00BB4" w:rsidRPr="006136AD" w:rsidRDefault="00AD2650" w:rsidP="00F51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45 554</w:t>
            </w:r>
          </w:p>
        </w:tc>
        <w:tc>
          <w:tcPr>
            <w:tcW w:w="723" w:type="dxa"/>
          </w:tcPr>
          <w:p w:rsidR="00C00BB4" w:rsidRPr="006136AD" w:rsidRDefault="00E67B53" w:rsidP="00F51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40 622</w:t>
            </w:r>
          </w:p>
        </w:tc>
        <w:tc>
          <w:tcPr>
            <w:tcW w:w="723" w:type="dxa"/>
          </w:tcPr>
          <w:p w:rsidR="00C00BB4" w:rsidRPr="006136AD" w:rsidRDefault="00E67B53" w:rsidP="00F51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46 515</w:t>
            </w:r>
          </w:p>
        </w:tc>
        <w:tc>
          <w:tcPr>
            <w:tcW w:w="723" w:type="dxa"/>
          </w:tcPr>
          <w:p w:rsidR="00C00BB4" w:rsidRPr="006136AD" w:rsidRDefault="00B44D31" w:rsidP="00F51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50 693</w:t>
            </w:r>
          </w:p>
        </w:tc>
        <w:tc>
          <w:tcPr>
            <w:tcW w:w="723" w:type="dxa"/>
          </w:tcPr>
          <w:p w:rsidR="00C00BB4" w:rsidRPr="006136AD" w:rsidRDefault="006B6BCD" w:rsidP="00F51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48 583</w:t>
            </w:r>
          </w:p>
        </w:tc>
        <w:tc>
          <w:tcPr>
            <w:tcW w:w="723" w:type="dxa"/>
          </w:tcPr>
          <w:p w:rsidR="00C00BB4" w:rsidRPr="006136AD" w:rsidRDefault="00780310" w:rsidP="00F51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47 853</w:t>
            </w: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C00BB4" w:rsidRPr="007848A9" w:rsidRDefault="00780310" w:rsidP="00F51AC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279 820</w:t>
            </w:r>
          </w:p>
        </w:tc>
      </w:tr>
      <w:tr w:rsidR="00C00BB4" w:rsidRPr="00D66B6A" w:rsidTr="00ED18DA">
        <w:trPr>
          <w:trHeight w:val="203"/>
        </w:trPr>
        <w:tc>
          <w:tcPr>
            <w:tcW w:w="913" w:type="dxa"/>
            <w:tcBorders>
              <w:bottom w:val="double" w:sz="4" w:space="0" w:color="auto"/>
            </w:tcBorders>
            <w:vAlign w:val="center"/>
          </w:tcPr>
          <w:p w:rsidR="00C00BB4" w:rsidRPr="00D66B6A" w:rsidRDefault="00C00BB4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AD2650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E67B53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10,75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E67B53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10,60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B44D31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10,23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6B6BCD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10,10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780310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9,92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FF29F4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C00BB4" w:rsidRDefault="006B6BCD" w:rsidP="0078031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</w:t>
            </w:r>
            <w:r w:rsidR="00780310">
              <w:rPr>
                <w:i/>
                <w:sz w:val="18"/>
                <w:szCs w:val="18"/>
              </w:rPr>
              <w:t>3</w:t>
            </w:r>
            <w:r>
              <w:rPr>
                <w:i/>
                <w:sz w:val="18"/>
                <w:szCs w:val="18"/>
              </w:rPr>
              <w:t>8</w:t>
            </w:r>
          </w:p>
        </w:tc>
      </w:tr>
    </w:tbl>
    <w:p w:rsidR="00607E48" w:rsidRDefault="00607E48" w:rsidP="00607E48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  <w:r w:rsidR="00FF29F4">
        <w:rPr>
          <w:i/>
          <w:sz w:val="18"/>
          <w:szCs w:val="18"/>
        </w:rPr>
        <w:t>, čísla jsou zaokrouhlena</w:t>
      </w:r>
    </w:p>
    <w:p w:rsidR="00C90ACA" w:rsidRDefault="00C90ACA" w:rsidP="00607E48">
      <w:pPr>
        <w:ind w:left="426"/>
        <w:rPr>
          <w:i/>
          <w:sz w:val="18"/>
          <w:szCs w:val="18"/>
        </w:rPr>
      </w:pPr>
    </w:p>
    <w:p w:rsidR="001B60FE" w:rsidRDefault="003235A2" w:rsidP="00607E48">
      <w:pPr>
        <w:ind w:left="426"/>
        <w:rPr>
          <w:i/>
          <w:sz w:val="18"/>
          <w:szCs w:val="18"/>
        </w:rPr>
      </w:pPr>
      <w:r w:rsidRPr="003235A2">
        <w:rPr>
          <w:i/>
          <w:noProof/>
          <w:sz w:val="18"/>
          <w:szCs w:val="18"/>
        </w:rPr>
        <w:lastRenderedPageBreak/>
        <w:drawing>
          <wp:inline distT="0" distB="0" distL="0" distR="0">
            <wp:extent cx="5972810" cy="3858895"/>
            <wp:effectExtent l="19050" t="0" r="27940" b="8255"/>
            <wp:docPr id="2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B60FE" w:rsidRDefault="001B60FE" w:rsidP="00607E48">
      <w:pPr>
        <w:ind w:left="426"/>
        <w:rPr>
          <w:i/>
          <w:sz w:val="18"/>
          <w:szCs w:val="18"/>
        </w:rPr>
      </w:pPr>
    </w:p>
    <w:p w:rsidR="00607E48" w:rsidRDefault="00607E48" w:rsidP="00607E48">
      <w:pPr>
        <w:ind w:left="426"/>
        <w:rPr>
          <w:i/>
          <w:sz w:val="18"/>
          <w:szCs w:val="18"/>
        </w:rPr>
      </w:pPr>
    </w:p>
    <w:sectPr w:rsidR="00607E48" w:rsidSect="00E628BE">
      <w:footerReference w:type="even" r:id="rId13"/>
      <w:footerReference w:type="default" r:id="rId14"/>
      <w:type w:val="continuous"/>
      <w:pgSz w:w="11906" w:h="16838" w:code="9"/>
      <w:pgMar w:top="624" w:right="624" w:bottom="624" w:left="624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58D" w:rsidRDefault="0065058D" w:rsidP="00CC65A3">
      <w:pPr>
        <w:pStyle w:val="POZNMKA"/>
      </w:pPr>
      <w:r>
        <w:separator/>
      </w:r>
    </w:p>
  </w:endnote>
  <w:endnote w:type="continuationSeparator" w:id="0">
    <w:p w:rsidR="0065058D" w:rsidRDefault="0065058D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EFC" w:rsidRDefault="00F80915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B7EF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B7EFC" w:rsidRDefault="001B7EF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EFC" w:rsidRDefault="001B7EFC" w:rsidP="0012072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 xml:space="preserve">Odbor </w:t>
    </w:r>
    <w:r w:rsidRPr="00697EEE">
      <w:rPr>
        <w:rFonts w:ascii="Cambria" w:hAnsi="Cambria"/>
        <w:sz w:val="20"/>
      </w:rPr>
      <w:t xml:space="preserve">živočišných komodit MZe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="00F80915"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="00F80915" w:rsidRPr="00697EEE">
      <w:rPr>
        <w:sz w:val="20"/>
      </w:rPr>
      <w:fldChar w:fldCharType="separate"/>
    </w:r>
    <w:r w:rsidR="001E4D58">
      <w:rPr>
        <w:noProof/>
        <w:sz w:val="20"/>
      </w:rPr>
      <w:t>1</w:t>
    </w:r>
    <w:r w:rsidR="00F80915"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r w:rsidRPr="00697EEE">
      <w:rPr>
        <w:sz w:val="20"/>
      </w:rPr>
      <w:t>Schválil:</w:t>
    </w:r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Veselá</w:t>
    </w:r>
    <w:r>
      <w:rPr>
        <w:sz w:val="20"/>
      </w:rPr>
      <w:t xml:space="preserve">                                                                                                                                 Ing. Juraj Saksún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58D" w:rsidRDefault="0065058D" w:rsidP="00CC65A3">
      <w:pPr>
        <w:pStyle w:val="POZNMKA"/>
      </w:pPr>
      <w:r>
        <w:separator/>
      </w:r>
    </w:p>
  </w:footnote>
  <w:footnote w:type="continuationSeparator" w:id="0">
    <w:p w:rsidR="0065058D" w:rsidRDefault="0065058D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A461CCE"/>
    <w:multiLevelType w:val="hybridMultilevel"/>
    <w:tmpl w:val="CF1274A4"/>
    <w:lvl w:ilvl="0" w:tplc="5058C7B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20"/>
  </w:num>
  <w:num w:numId="12">
    <w:abstractNumId w:val="0"/>
  </w:num>
  <w:num w:numId="13">
    <w:abstractNumId w:val="18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4"/>
  </w:num>
  <w:num w:numId="19">
    <w:abstractNumId w:val="11"/>
  </w:num>
  <w:num w:numId="20">
    <w:abstractNumId w:val="16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6AF"/>
    <w:rsid w:val="00000F1E"/>
    <w:rsid w:val="000019CE"/>
    <w:rsid w:val="00001A31"/>
    <w:rsid w:val="00002C77"/>
    <w:rsid w:val="00002D0D"/>
    <w:rsid w:val="00003C63"/>
    <w:rsid w:val="000049A0"/>
    <w:rsid w:val="000055CA"/>
    <w:rsid w:val="00007195"/>
    <w:rsid w:val="00007C41"/>
    <w:rsid w:val="000106CE"/>
    <w:rsid w:val="00012207"/>
    <w:rsid w:val="00012F42"/>
    <w:rsid w:val="00013315"/>
    <w:rsid w:val="0001367C"/>
    <w:rsid w:val="00013C17"/>
    <w:rsid w:val="000150E6"/>
    <w:rsid w:val="00015E9F"/>
    <w:rsid w:val="00016B58"/>
    <w:rsid w:val="00016B8C"/>
    <w:rsid w:val="00017D30"/>
    <w:rsid w:val="000204FD"/>
    <w:rsid w:val="00020734"/>
    <w:rsid w:val="000211D5"/>
    <w:rsid w:val="00021C9C"/>
    <w:rsid w:val="000224CD"/>
    <w:rsid w:val="00022B6B"/>
    <w:rsid w:val="00022EEE"/>
    <w:rsid w:val="000230A5"/>
    <w:rsid w:val="0002348D"/>
    <w:rsid w:val="000235A4"/>
    <w:rsid w:val="000246C4"/>
    <w:rsid w:val="00025012"/>
    <w:rsid w:val="000254E0"/>
    <w:rsid w:val="00031078"/>
    <w:rsid w:val="000318B5"/>
    <w:rsid w:val="0003197D"/>
    <w:rsid w:val="00031EE4"/>
    <w:rsid w:val="00031F89"/>
    <w:rsid w:val="00032E30"/>
    <w:rsid w:val="0003494F"/>
    <w:rsid w:val="0003547D"/>
    <w:rsid w:val="00035859"/>
    <w:rsid w:val="00035A55"/>
    <w:rsid w:val="00035EDA"/>
    <w:rsid w:val="00037590"/>
    <w:rsid w:val="00041C6F"/>
    <w:rsid w:val="00041E21"/>
    <w:rsid w:val="00043EE3"/>
    <w:rsid w:val="00043F99"/>
    <w:rsid w:val="0004555A"/>
    <w:rsid w:val="00046065"/>
    <w:rsid w:val="000461B3"/>
    <w:rsid w:val="00052EC9"/>
    <w:rsid w:val="0005309F"/>
    <w:rsid w:val="00053A3C"/>
    <w:rsid w:val="00055815"/>
    <w:rsid w:val="00057EC8"/>
    <w:rsid w:val="0006023F"/>
    <w:rsid w:val="00060EAD"/>
    <w:rsid w:val="00064F31"/>
    <w:rsid w:val="00067180"/>
    <w:rsid w:val="00070819"/>
    <w:rsid w:val="00070D27"/>
    <w:rsid w:val="00070F10"/>
    <w:rsid w:val="00073840"/>
    <w:rsid w:val="00074629"/>
    <w:rsid w:val="00074A94"/>
    <w:rsid w:val="000751BE"/>
    <w:rsid w:val="000752B7"/>
    <w:rsid w:val="00075744"/>
    <w:rsid w:val="0007613A"/>
    <w:rsid w:val="00076E30"/>
    <w:rsid w:val="00077F64"/>
    <w:rsid w:val="00080AC4"/>
    <w:rsid w:val="00083C39"/>
    <w:rsid w:val="00083F92"/>
    <w:rsid w:val="00084764"/>
    <w:rsid w:val="00086B4B"/>
    <w:rsid w:val="00086D95"/>
    <w:rsid w:val="00086DC1"/>
    <w:rsid w:val="00086F36"/>
    <w:rsid w:val="000873D8"/>
    <w:rsid w:val="00090A40"/>
    <w:rsid w:val="000921FC"/>
    <w:rsid w:val="00093864"/>
    <w:rsid w:val="00093FC1"/>
    <w:rsid w:val="00095002"/>
    <w:rsid w:val="00095191"/>
    <w:rsid w:val="00095A92"/>
    <w:rsid w:val="000970CE"/>
    <w:rsid w:val="0009794F"/>
    <w:rsid w:val="000A014B"/>
    <w:rsid w:val="000A0590"/>
    <w:rsid w:val="000A0774"/>
    <w:rsid w:val="000A0A13"/>
    <w:rsid w:val="000A1231"/>
    <w:rsid w:val="000A1645"/>
    <w:rsid w:val="000A323E"/>
    <w:rsid w:val="000A4D6F"/>
    <w:rsid w:val="000A6357"/>
    <w:rsid w:val="000A644E"/>
    <w:rsid w:val="000A68F7"/>
    <w:rsid w:val="000A7511"/>
    <w:rsid w:val="000B0B47"/>
    <w:rsid w:val="000B11DB"/>
    <w:rsid w:val="000B244A"/>
    <w:rsid w:val="000B2702"/>
    <w:rsid w:val="000B309D"/>
    <w:rsid w:val="000B3CC0"/>
    <w:rsid w:val="000B5EF6"/>
    <w:rsid w:val="000C0488"/>
    <w:rsid w:val="000C0C94"/>
    <w:rsid w:val="000C1206"/>
    <w:rsid w:val="000C1EE2"/>
    <w:rsid w:val="000C230D"/>
    <w:rsid w:val="000C342C"/>
    <w:rsid w:val="000C3B02"/>
    <w:rsid w:val="000C3CEA"/>
    <w:rsid w:val="000C49DF"/>
    <w:rsid w:val="000C7815"/>
    <w:rsid w:val="000D007A"/>
    <w:rsid w:val="000D02C3"/>
    <w:rsid w:val="000D0E8F"/>
    <w:rsid w:val="000D17ED"/>
    <w:rsid w:val="000D1CC3"/>
    <w:rsid w:val="000D203E"/>
    <w:rsid w:val="000D3096"/>
    <w:rsid w:val="000D34BD"/>
    <w:rsid w:val="000D3C92"/>
    <w:rsid w:val="000D434B"/>
    <w:rsid w:val="000D5752"/>
    <w:rsid w:val="000D5DDD"/>
    <w:rsid w:val="000D6050"/>
    <w:rsid w:val="000D7AE1"/>
    <w:rsid w:val="000E23BE"/>
    <w:rsid w:val="000E5024"/>
    <w:rsid w:val="000E5623"/>
    <w:rsid w:val="000E66B8"/>
    <w:rsid w:val="000E69CA"/>
    <w:rsid w:val="000F006B"/>
    <w:rsid w:val="000F2F4D"/>
    <w:rsid w:val="000F3DC4"/>
    <w:rsid w:val="000F4B99"/>
    <w:rsid w:val="000F4C25"/>
    <w:rsid w:val="000F5255"/>
    <w:rsid w:val="000F6240"/>
    <w:rsid w:val="000F66A8"/>
    <w:rsid w:val="000F6AC7"/>
    <w:rsid w:val="000F74BD"/>
    <w:rsid w:val="001005DD"/>
    <w:rsid w:val="0010140F"/>
    <w:rsid w:val="00102FF5"/>
    <w:rsid w:val="001031E4"/>
    <w:rsid w:val="00103784"/>
    <w:rsid w:val="00103F62"/>
    <w:rsid w:val="0010523F"/>
    <w:rsid w:val="00105304"/>
    <w:rsid w:val="0010530A"/>
    <w:rsid w:val="00106672"/>
    <w:rsid w:val="00106D95"/>
    <w:rsid w:val="00107C56"/>
    <w:rsid w:val="00110D86"/>
    <w:rsid w:val="00110E1E"/>
    <w:rsid w:val="0011419E"/>
    <w:rsid w:val="00114597"/>
    <w:rsid w:val="00114F7A"/>
    <w:rsid w:val="00116195"/>
    <w:rsid w:val="001174F2"/>
    <w:rsid w:val="0011795B"/>
    <w:rsid w:val="00117A88"/>
    <w:rsid w:val="00120728"/>
    <w:rsid w:val="0012088B"/>
    <w:rsid w:val="00122DA4"/>
    <w:rsid w:val="00123BE9"/>
    <w:rsid w:val="00124352"/>
    <w:rsid w:val="00124D52"/>
    <w:rsid w:val="00125F4A"/>
    <w:rsid w:val="00126559"/>
    <w:rsid w:val="00126B00"/>
    <w:rsid w:val="00127B6F"/>
    <w:rsid w:val="00130949"/>
    <w:rsid w:val="0013132E"/>
    <w:rsid w:val="0013178A"/>
    <w:rsid w:val="00131A9C"/>
    <w:rsid w:val="0013239D"/>
    <w:rsid w:val="001326C3"/>
    <w:rsid w:val="00133F4A"/>
    <w:rsid w:val="0013447D"/>
    <w:rsid w:val="001356B8"/>
    <w:rsid w:val="0013670C"/>
    <w:rsid w:val="00137BA9"/>
    <w:rsid w:val="001413C5"/>
    <w:rsid w:val="00142BE6"/>
    <w:rsid w:val="00143FAE"/>
    <w:rsid w:val="00144ECC"/>
    <w:rsid w:val="00145B62"/>
    <w:rsid w:val="00145FC0"/>
    <w:rsid w:val="001478F0"/>
    <w:rsid w:val="001479E3"/>
    <w:rsid w:val="001514E2"/>
    <w:rsid w:val="00151FF5"/>
    <w:rsid w:val="00152389"/>
    <w:rsid w:val="00152BC8"/>
    <w:rsid w:val="00156AA8"/>
    <w:rsid w:val="00157A92"/>
    <w:rsid w:val="001632FA"/>
    <w:rsid w:val="00165A73"/>
    <w:rsid w:val="00165C4A"/>
    <w:rsid w:val="0016687B"/>
    <w:rsid w:val="001668B0"/>
    <w:rsid w:val="00166F08"/>
    <w:rsid w:val="00167538"/>
    <w:rsid w:val="001675D5"/>
    <w:rsid w:val="001676E4"/>
    <w:rsid w:val="001704CF"/>
    <w:rsid w:val="00170C55"/>
    <w:rsid w:val="00170F97"/>
    <w:rsid w:val="00171C8B"/>
    <w:rsid w:val="001735B8"/>
    <w:rsid w:val="00173632"/>
    <w:rsid w:val="00174720"/>
    <w:rsid w:val="001747EF"/>
    <w:rsid w:val="001751FD"/>
    <w:rsid w:val="001758D9"/>
    <w:rsid w:val="001772BE"/>
    <w:rsid w:val="001776BB"/>
    <w:rsid w:val="00177E5C"/>
    <w:rsid w:val="001803CF"/>
    <w:rsid w:val="00181582"/>
    <w:rsid w:val="00182114"/>
    <w:rsid w:val="00184FB8"/>
    <w:rsid w:val="0019001D"/>
    <w:rsid w:val="0019057A"/>
    <w:rsid w:val="001907A3"/>
    <w:rsid w:val="00190AB9"/>
    <w:rsid w:val="00191111"/>
    <w:rsid w:val="00192AB0"/>
    <w:rsid w:val="0019350C"/>
    <w:rsid w:val="00194354"/>
    <w:rsid w:val="00194FB9"/>
    <w:rsid w:val="00196EBB"/>
    <w:rsid w:val="001A12F4"/>
    <w:rsid w:val="001A43F7"/>
    <w:rsid w:val="001A490F"/>
    <w:rsid w:val="001A5848"/>
    <w:rsid w:val="001A6466"/>
    <w:rsid w:val="001A6A20"/>
    <w:rsid w:val="001A6C5C"/>
    <w:rsid w:val="001A71E3"/>
    <w:rsid w:val="001A72CA"/>
    <w:rsid w:val="001B0F0C"/>
    <w:rsid w:val="001B15CB"/>
    <w:rsid w:val="001B2621"/>
    <w:rsid w:val="001B2961"/>
    <w:rsid w:val="001B4C95"/>
    <w:rsid w:val="001B520F"/>
    <w:rsid w:val="001B60FE"/>
    <w:rsid w:val="001B6118"/>
    <w:rsid w:val="001B7EFC"/>
    <w:rsid w:val="001C107D"/>
    <w:rsid w:val="001C14F3"/>
    <w:rsid w:val="001C2058"/>
    <w:rsid w:val="001C27A9"/>
    <w:rsid w:val="001C5DF9"/>
    <w:rsid w:val="001C6242"/>
    <w:rsid w:val="001C64F5"/>
    <w:rsid w:val="001C7082"/>
    <w:rsid w:val="001C7D81"/>
    <w:rsid w:val="001D0301"/>
    <w:rsid w:val="001D30D4"/>
    <w:rsid w:val="001D371C"/>
    <w:rsid w:val="001D4C0F"/>
    <w:rsid w:val="001D596F"/>
    <w:rsid w:val="001D60D6"/>
    <w:rsid w:val="001D6806"/>
    <w:rsid w:val="001D6DFD"/>
    <w:rsid w:val="001E02A3"/>
    <w:rsid w:val="001E2528"/>
    <w:rsid w:val="001E3C0A"/>
    <w:rsid w:val="001E4D58"/>
    <w:rsid w:val="001E5A13"/>
    <w:rsid w:val="001E61DC"/>
    <w:rsid w:val="001E66F3"/>
    <w:rsid w:val="001E66FE"/>
    <w:rsid w:val="001E76BE"/>
    <w:rsid w:val="001F2767"/>
    <w:rsid w:val="001F3EDF"/>
    <w:rsid w:val="001F459A"/>
    <w:rsid w:val="001F4D08"/>
    <w:rsid w:val="001F548D"/>
    <w:rsid w:val="001F5B53"/>
    <w:rsid w:val="001F6421"/>
    <w:rsid w:val="001F77B6"/>
    <w:rsid w:val="00200EDE"/>
    <w:rsid w:val="00201460"/>
    <w:rsid w:val="00202F7A"/>
    <w:rsid w:val="002035C3"/>
    <w:rsid w:val="0020367C"/>
    <w:rsid w:val="002056B1"/>
    <w:rsid w:val="00206618"/>
    <w:rsid w:val="002101AC"/>
    <w:rsid w:val="0021076D"/>
    <w:rsid w:val="00210E45"/>
    <w:rsid w:val="00211567"/>
    <w:rsid w:val="00211C25"/>
    <w:rsid w:val="0021458A"/>
    <w:rsid w:val="00214C4A"/>
    <w:rsid w:val="00216855"/>
    <w:rsid w:val="00217203"/>
    <w:rsid w:val="002215EC"/>
    <w:rsid w:val="00222020"/>
    <w:rsid w:val="00224FE0"/>
    <w:rsid w:val="002251BE"/>
    <w:rsid w:val="00227A59"/>
    <w:rsid w:val="00230C89"/>
    <w:rsid w:val="00235254"/>
    <w:rsid w:val="0023608B"/>
    <w:rsid w:val="00237412"/>
    <w:rsid w:val="002409AD"/>
    <w:rsid w:val="002413B9"/>
    <w:rsid w:val="00241A17"/>
    <w:rsid w:val="00243F2B"/>
    <w:rsid w:val="00245370"/>
    <w:rsid w:val="002454BF"/>
    <w:rsid w:val="002462C9"/>
    <w:rsid w:val="00247465"/>
    <w:rsid w:val="00250969"/>
    <w:rsid w:val="00253A25"/>
    <w:rsid w:val="002566ED"/>
    <w:rsid w:val="002567B0"/>
    <w:rsid w:val="00257BB1"/>
    <w:rsid w:val="00260F75"/>
    <w:rsid w:val="00261AA9"/>
    <w:rsid w:val="00263E85"/>
    <w:rsid w:val="002646A1"/>
    <w:rsid w:val="002646E5"/>
    <w:rsid w:val="00265534"/>
    <w:rsid w:val="002662AE"/>
    <w:rsid w:val="00267C50"/>
    <w:rsid w:val="00270F7B"/>
    <w:rsid w:val="00271160"/>
    <w:rsid w:val="002711C5"/>
    <w:rsid w:val="002715E3"/>
    <w:rsid w:val="00271F22"/>
    <w:rsid w:val="00272382"/>
    <w:rsid w:val="002725B2"/>
    <w:rsid w:val="00272702"/>
    <w:rsid w:val="002728E5"/>
    <w:rsid w:val="0027336E"/>
    <w:rsid w:val="00273A33"/>
    <w:rsid w:val="0027491B"/>
    <w:rsid w:val="00274CF9"/>
    <w:rsid w:val="00276DF1"/>
    <w:rsid w:val="00276FAC"/>
    <w:rsid w:val="00280399"/>
    <w:rsid w:val="00281B69"/>
    <w:rsid w:val="00282125"/>
    <w:rsid w:val="002824C4"/>
    <w:rsid w:val="00284072"/>
    <w:rsid w:val="002847D2"/>
    <w:rsid w:val="002853DF"/>
    <w:rsid w:val="0028634B"/>
    <w:rsid w:val="00287047"/>
    <w:rsid w:val="00287AD5"/>
    <w:rsid w:val="002908B7"/>
    <w:rsid w:val="00291D3E"/>
    <w:rsid w:val="00292E15"/>
    <w:rsid w:val="002962E7"/>
    <w:rsid w:val="002A03B3"/>
    <w:rsid w:val="002A2494"/>
    <w:rsid w:val="002A27D3"/>
    <w:rsid w:val="002A5117"/>
    <w:rsid w:val="002A5B7D"/>
    <w:rsid w:val="002A685C"/>
    <w:rsid w:val="002A7068"/>
    <w:rsid w:val="002A7358"/>
    <w:rsid w:val="002B0C7A"/>
    <w:rsid w:val="002B13BE"/>
    <w:rsid w:val="002B2318"/>
    <w:rsid w:val="002B2C35"/>
    <w:rsid w:val="002B3AAA"/>
    <w:rsid w:val="002B42B0"/>
    <w:rsid w:val="002B4667"/>
    <w:rsid w:val="002B495D"/>
    <w:rsid w:val="002B5AAB"/>
    <w:rsid w:val="002B69E4"/>
    <w:rsid w:val="002B6D43"/>
    <w:rsid w:val="002B6EEC"/>
    <w:rsid w:val="002B7AE3"/>
    <w:rsid w:val="002C0FB7"/>
    <w:rsid w:val="002C1156"/>
    <w:rsid w:val="002C2A30"/>
    <w:rsid w:val="002C4513"/>
    <w:rsid w:val="002C60F9"/>
    <w:rsid w:val="002C6117"/>
    <w:rsid w:val="002C6BD1"/>
    <w:rsid w:val="002C6D93"/>
    <w:rsid w:val="002D076E"/>
    <w:rsid w:val="002D120F"/>
    <w:rsid w:val="002D135B"/>
    <w:rsid w:val="002D19FB"/>
    <w:rsid w:val="002D2689"/>
    <w:rsid w:val="002D313C"/>
    <w:rsid w:val="002D36A7"/>
    <w:rsid w:val="002D4C36"/>
    <w:rsid w:val="002D5179"/>
    <w:rsid w:val="002D5757"/>
    <w:rsid w:val="002D6217"/>
    <w:rsid w:val="002D63FB"/>
    <w:rsid w:val="002D72F8"/>
    <w:rsid w:val="002E06F0"/>
    <w:rsid w:val="002E3858"/>
    <w:rsid w:val="002E40D7"/>
    <w:rsid w:val="002E40F4"/>
    <w:rsid w:val="002E541F"/>
    <w:rsid w:val="002E5531"/>
    <w:rsid w:val="002E5775"/>
    <w:rsid w:val="002E6002"/>
    <w:rsid w:val="002E6C86"/>
    <w:rsid w:val="002E6EF3"/>
    <w:rsid w:val="002F0103"/>
    <w:rsid w:val="002F0BC0"/>
    <w:rsid w:val="002F11F3"/>
    <w:rsid w:val="002F1635"/>
    <w:rsid w:val="002F1C93"/>
    <w:rsid w:val="002F1F57"/>
    <w:rsid w:val="002F228E"/>
    <w:rsid w:val="002F46AE"/>
    <w:rsid w:val="002F6C39"/>
    <w:rsid w:val="002F77AC"/>
    <w:rsid w:val="003003E0"/>
    <w:rsid w:val="00300C75"/>
    <w:rsid w:val="00301D61"/>
    <w:rsid w:val="00304834"/>
    <w:rsid w:val="0030629E"/>
    <w:rsid w:val="0031036A"/>
    <w:rsid w:val="00310967"/>
    <w:rsid w:val="00311A72"/>
    <w:rsid w:val="00311E29"/>
    <w:rsid w:val="003125F4"/>
    <w:rsid w:val="003126DF"/>
    <w:rsid w:val="00313FDD"/>
    <w:rsid w:val="00314FC9"/>
    <w:rsid w:val="003153D5"/>
    <w:rsid w:val="003169B3"/>
    <w:rsid w:val="003174B0"/>
    <w:rsid w:val="00320A89"/>
    <w:rsid w:val="003222F7"/>
    <w:rsid w:val="003232DC"/>
    <w:rsid w:val="00323549"/>
    <w:rsid w:val="003235A2"/>
    <w:rsid w:val="0032448A"/>
    <w:rsid w:val="003245B5"/>
    <w:rsid w:val="00325DE3"/>
    <w:rsid w:val="00330A12"/>
    <w:rsid w:val="00330CEB"/>
    <w:rsid w:val="0033194C"/>
    <w:rsid w:val="00331B80"/>
    <w:rsid w:val="0033227D"/>
    <w:rsid w:val="00333792"/>
    <w:rsid w:val="00334026"/>
    <w:rsid w:val="0033469B"/>
    <w:rsid w:val="00335269"/>
    <w:rsid w:val="00335A7A"/>
    <w:rsid w:val="00337CAA"/>
    <w:rsid w:val="003414C0"/>
    <w:rsid w:val="00341B13"/>
    <w:rsid w:val="00344251"/>
    <w:rsid w:val="00344F2B"/>
    <w:rsid w:val="00345233"/>
    <w:rsid w:val="003472EC"/>
    <w:rsid w:val="00350E14"/>
    <w:rsid w:val="003511A0"/>
    <w:rsid w:val="00351458"/>
    <w:rsid w:val="00352B06"/>
    <w:rsid w:val="00355FB5"/>
    <w:rsid w:val="0035731C"/>
    <w:rsid w:val="00361365"/>
    <w:rsid w:val="003617D9"/>
    <w:rsid w:val="00363513"/>
    <w:rsid w:val="00365042"/>
    <w:rsid w:val="003652AC"/>
    <w:rsid w:val="00371077"/>
    <w:rsid w:val="00371A36"/>
    <w:rsid w:val="00371AF8"/>
    <w:rsid w:val="00372287"/>
    <w:rsid w:val="003741E5"/>
    <w:rsid w:val="00374245"/>
    <w:rsid w:val="00374857"/>
    <w:rsid w:val="00374E59"/>
    <w:rsid w:val="0037568B"/>
    <w:rsid w:val="00381C8F"/>
    <w:rsid w:val="00384133"/>
    <w:rsid w:val="003849CC"/>
    <w:rsid w:val="0039318D"/>
    <w:rsid w:val="00393B77"/>
    <w:rsid w:val="00394489"/>
    <w:rsid w:val="003944AA"/>
    <w:rsid w:val="00394C2C"/>
    <w:rsid w:val="00395423"/>
    <w:rsid w:val="003967CB"/>
    <w:rsid w:val="00396A8C"/>
    <w:rsid w:val="003978E1"/>
    <w:rsid w:val="003A0CBB"/>
    <w:rsid w:val="003A1122"/>
    <w:rsid w:val="003A4142"/>
    <w:rsid w:val="003A42A4"/>
    <w:rsid w:val="003B2A2F"/>
    <w:rsid w:val="003B420A"/>
    <w:rsid w:val="003B43AA"/>
    <w:rsid w:val="003B47C3"/>
    <w:rsid w:val="003B59CD"/>
    <w:rsid w:val="003B710E"/>
    <w:rsid w:val="003C03B2"/>
    <w:rsid w:val="003C0B6C"/>
    <w:rsid w:val="003C37BD"/>
    <w:rsid w:val="003C5319"/>
    <w:rsid w:val="003C60B6"/>
    <w:rsid w:val="003C652E"/>
    <w:rsid w:val="003C7191"/>
    <w:rsid w:val="003C72DA"/>
    <w:rsid w:val="003D0558"/>
    <w:rsid w:val="003D0F05"/>
    <w:rsid w:val="003D13B5"/>
    <w:rsid w:val="003D2298"/>
    <w:rsid w:val="003E0E25"/>
    <w:rsid w:val="003E1701"/>
    <w:rsid w:val="003E222D"/>
    <w:rsid w:val="003E2F84"/>
    <w:rsid w:val="003E3ABB"/>
    <w:rsid w:val="003E4F3B"/>
    <w:rsid w:val="003E5FB8"/>
    <w:rsid w:val="003E6616"/>
    <w:rsid w:val="003E6F2B"/>
    <w:rsid w:val="003E7503"/>
    <w:rsid w:val="003E7DE7"/>
    <w:rsid w:val="003F07FE"/>
    <w:rsid w:val="003F1271"/>
    <w:rsid w:val="003F211F"/>
    <w:rsid w:val="003F31B9"/>
    <w:rsid w:val="003F4FB3"/>
    <w:rsid w:val="003F4FC7"/>
    <w:rsid w:val="003F5CEE"/>
    <w:rsid w:val="004010FE"/>
    <w:rsid w:val="00403358"/>
    <w:rsid w:val="0040378B"/>
    <w:rsid w:val="00404981"/>
    <w:rsid w:val="00404A66"/>
    <w:rsid w:val="00405FF4"/>
    <w:rsid w:val="0041173E"/>
    <w:rsid w:val="0041286D"/>
    <w:rsid w:val="00413BCD"/>
    <w:rsid w:val="004140F5"/>
    <w:rsid w:val="00414476"/>
    <w:rsid w:val="00414B37"/>
    <w:rsid w:val="004151D2"/>
    <w:rsid w:val="00415DD1"/>
    <w:rsid w:val="004174AE"/>
    <w:rsid w:val="0042025B"/>
    <w:rsid w:val="00422B81"/>
    <w:rsid w:val="00422C1B"/>
    <w:rsid w:val="00423068"/>
    <w:rsid w:val="00423B34"/>
    <w:rsid w:val="00423F31"/>
    <w:rsid w:val="00424775"/>
    <w:rsid w:val="004249DB"/>
    <w:rsid w:val="00425178"/>
    <w:rsid w:val="004259EB"/>
    <w:rsid w:val="00426E2A"/>
    <w:rsid w:val="004300E2"/>
    <w:rsid w:val="00431C68"/>
    <w:rsid w:val="0043218B"/>
    <w:rsid w:val="00432CBE"/>
    <w:rsid w:val="00434080"/>
    <w:rsid w:val="004341FB"/>
    <w:rsid w:val="00435AEB"/>
    <w:rsid w:val="00436DBA"/>
    <w:rsid w:val="004376CA"/>
    <w:rsid w:val="00440357"/>
    <w:rsid w:val="0044132B"/>
    <w:rsid w:val="00441866"/>
    <w:rsid w:val="0044189B"/>
    <w:rsid w:val="004419D1"/>
    <w:rsid w:val="00443203"/>
    <w:rsid w:val="00446238"/>
    <w:rsid w:val="004470F9"/>
    <w:rsid w:val="00451794"/>
    <w:rsid w:val="00452675"/>
    <w:rsid w:val="00452EB2"/>
    <w:rsid w:val="004552EF"/>
    <w:rsid w:val="00455377"/>
    <w:rsid w:val="00456054"/>
    <w:rsid w:val="0045657A"/>
    <w:rsid w:val="00457C56"/>
    <w:rsid w:val="00457CC5"/>
    <w:rsid w:val="00460E6C"/>
    <w:rsid w:val="00462136"/>
    <w:rsid w:val="00463A91"/>
    <w:rsid w:val="00463AB7"/>
    <w:rsid w:val="00464794"/>
    <w:rsid w:val="00464B0D"/>
    <w:rsid w:val="00465DA7"/>
    <w:rsid w:val="00466E8A"/>
    <w:rsid w:val="004674E8"/>
    <w:rsid w:val="00467D46"/>
    <w:rsid w:val="0047013D"/>
    <w:rsid w:val="0047133F"/>
    <w:rsid w:val="004715FD"/>
    <w:rsid w:val="00473305"/>
    <w:rsid w:val="004736C3"/>
    <w:rsid w:val="0047414B"/>
    <w:rsid w:val="0047493A"/>
    <w:rsid w:val="00474B9F"/>
    <w:rsid w:val="00475539"/>
    <w:rsid w:val="0047597F"/>
    <w:rsid w:val="00477C67"/>
    <w:rsid w:val="00477E5D"/>
    <w:rsid w:val="00480C96"/>
    <w:rsid w:val="00480F1D"/>
    <w:rsid w:val="00483D14"/>
    <w:rsid w:val="00483E99"/>
    <w:rsid w:val="00485548"/>
    <w:rsid w:val="00491922"/>
    <w:rsid w:val="00493015"/>
    <w:rsid w:val="0049568B"/>
    <w:rsid w:val="00496485"/>
    <w:rsid w:val="00497C1A"/>
    <w:rsid w:val="004A20C5"/>
    <w:rsid w:val="004A3039"/>
    <w:rsid w:val="004A3355"/>
    <w:rsid w:val="004A3DB8"/>
    <w:rsid w:val="004A5019"/>
    <w:rsid w:val="004A696D"/>
    <w:rsid w:val="004A795C"/>
    <w:rsid w:val="004B4DAE"/>
    <w:rsid w:val="004B5DA1"/>
    <w:rsid w:val="004B60E8"/>
    <w:rsid w:val="004C1993"/>
    <w:rsid w:val="004C1E3C"/>
    <w:rsid w:val="004C1FD9"/>
    <w:rsid w:val="004C2870"/>
    <w:rsid w:val="004C494B"/>
    <w:rsid w:val="004C5C07"/>
    <w:rsid w:val="004C6883"/>
    <w:rsid w:val="004C7E97"/>
    <w:rsid w:val="004D0062"/>
    <w:rsid w:val="004D0480"/>
    <w:rsid w:val="004D0CD1"/>
    <w:rsid w:val="004D1FA2"/>
    <w:rsid w:val="004D2086"/>
    <w:rsid w:val="004D2622"/>
    <w:rsid w:val="004D2EA6"/>
    <w:rsid w:val="004D2F1D"/>
    <w:rsid w:val="004D3B37"/>
    <w:rsid w:val="004D409F"/>
    <w:rsid w:val="004D5D83"/>
    <w:rsid w:val="004D77A0"/>
    <w:rsid w:val="004E1BB4"/>
    <w:rsid w:val="004E25FB"/>
    <w:rsid w:val="004E286D"/>
    <w:rsid w:val="004E2DC0"/>
    <w:rsid w:val="004E33B3"/>
    <w:rsid w:val="004E3443"/>
    <w:rsid w:val="004E3F76"/>
    <w:rsid w:val="004E4116"/>
    <w:rsid w:val="004E44C8"/>
    <w:rsid w:val="004E4504"/>
    <w:rsid w:val="004E4FA6"/>
    <w:rsid w:val="004E60E7"/>
    <w:rsid w:val="004E7073"/>
    <w:rsid w:val="004E7422"/>
    <w:rsid w:val="004E759E"/>
    <w:rsid w:val="004F10F9"/>
    <w:rsid w:val="004F218A"/>
    <w:rsid w:val="004F2583"/>
    <w:rsid w:val="004F4325"/>
    <w:rsid w:val="004F62A2"/>
    <w:rsid w:val="004F6D89"/>
    <w:rsid w:val="00502211"/>
    <w:rsid w:val="0050229B"/>
    <w:rsid w:val="00503C08"/>
    <w:rsid w:val="00504B82"/>
    <w:rsid w:val="00505897"/>
    <w:rsid w:val="00505F01"/>
    <w:rsid w:val="005063F8"/>
    <w:rsid w:val="00507D72"/>
    <w:rsid w:val="00507F6B"/>
    <w:rsid w:val="005119C9"/>
    <w:rsid w:val="005123A5"/>
    <w:rsid w:val="00513CF4"/>
    <w:rsid w:val="00513E3A"/>
    <w:rsid w:val="00514153"/>
    <w:rsid w:val="00515726"/>
    <w:rsid w:val="00521010"/>
    <w:rsid w:val="00521317"/>
    <w:rsid w:val="005230C4"/>
    <w:rsid w:val="0052310C"/>
    <w:rsid w:val="00523DBB"/>
    <w:rsid w:val="00526A0B"/>
    <w:rsid w:val="005307FF"/>
    <w:rsid w:val="0053092E"/>
    <w:rsid w:val="00531742"/>
    <w:rsid w:val="0053278E"/>
    <w:rsid w:val="00532876"/>
    <w:rsid w:val="0053297B"/>
    <w:rsid w:val="00533F9B"/>
    <w:rsid w:val="005345C1"/>
    <w:rsid w:val="005358A6"/>
    <w:rsid w:val="00536577"/>
    <w:rsid w:val="005368D8"/>
    <w:rsid w:val="00537CE3"/>
    <w:rsid w:val="00537D45"/>
    <w:rsid w:val="005421B0"/>
    <w:rsid w:val="00542A04"/>
    <w:rsid w:val="00543A60"/>
    <w:rsid w:val="005440E9"/>
    <w:rsid w:val="00544F47"/>
    <w:rsid w:val="005450FF"/>
    <w:rsid w:val="00545BBD"/>
    <w:rsid w:val="00545FBF"/>
    <w:rsid w:val="005507D8"/>
    <w:rsid w:val="00550DE8"/>
    <w:rsid w:val="00551163"/>
    <w:rsid w:val="00551452"/>
    <w:rsid w:val="0055428B"/>
    <w:rsid w:val="005546BF"/>
    <w:rsid w:val="00556D29"/>
    <w:rsid w:val="00556D9B"/>
    <w:rsid w:val="00556F7A"/>
    <w:rsid w:val="005576BC"/>
    <w:rsid w:val="00561A6A"/>
    <w:rsid w:val="00561AC0"/>
    <w:rsid w:val="005632B5"/>
    <w:rsid w:val="00563ACA"/>
    <w:rsid w:val="00565444"/>
    <w:rsid w:val="00566062"/>
    <w:rsid w:val="00566C85"/>
    <w:rsid w:val="00570070"/>
    <w:rsid w:val="00570098"/>
    <w:rsid w:val="00571581"/>
    <w:rsid w:val="00571880"/>
    <w:rsid w:val="00571930"/>
    <w:rsid w:val="0057273C"/>
    <w:rsid w:val="00572B77"/>
    <w:rsid w:val="00573A50"/>
    <w:rsid w:val="00573C0F"/>
    <w:rsid w:val="0057436F"/>
    <w:rsid w:val="00575B7B"/>
    <w:rsid w:val="00575CA2"/>
    <w:rsid w:val="00575DB8"/>
    <w:rsid w:val="00576D74"/>
    <w:rsid w:val="005807F3"/>
    <w:rsid w:val="00581B1B"/>
    <w:rsid w:val="00581F9D"/>
    <w:rsid w:val="00583A96"/>
    <w:rsid w:val="0058467D"/>
    <w:rsid w:val="00584FE9"/>
    <w:rsid w:val="00586889"/>
    <w:rsid w:val="00587FB4"/>
    <w:rsid w:val="005904FA"/>
    <w:rsid w:val="005922A8"/>
    <w:rsid w:val="00593F4A"/>
    <w:rsid w:val="005958F6"/>
    <w:rsid w:val="00595C60"/>
    <w:rsid w:val="00596961"/>
    <w:rsid w:val="005A0163"/>
    <w:rsid w:val="005A044F"/>
    <w:rsid w:val="005A3DDC"/>
    <w:rsid w:val="005A3EFF"/>
    <w:rsid w:val="005A452B"/>
    <w:rsid w:val="005A617B"/>
    <w:rsid w:val="005A683B"/>
    <w:rsid w:val="005A7ACC"/>
    <w:rsid w:val="005B0503"/>
    <w:rsid w:val="005B1C75"/>
    <w:rsid w:val="005B2483"/>
    <w:rsid w:val="005B2555"/>
    <w:rsid w:val="005B2F89"/>
    <w:rsid w:val="005B3224"/>
    <w:rsid w:val="005B35B2"/>
    <w:rsid w:val="005B3BD7"/>
    <w:rsid w:val="005B6A71"/>
    <w:rsid w:val="005B7C08"/>
    <w:rsid w:val="005B7C94"/>
    <w:rsid w:val="005C00CE"/>
    <w:rsid w:val="005C34E5"/>
    <w:rsid w:val="005C52D0"/>
    <w:rsid w:val="005C596E"/>
    <w:rsid w:val="005C5BA7"/>
    <w:rsid w:val="005C6D9E"/>
    <w:rsid w:val="005C6DEF"/>
    <w:rsid w:val="005C767E"/>
    <w:rsid w:val="005D0A69"/>
    <w:rsid w:val="005D21DF"/>
    <w:rsid w:val="005D2893"/>
    <w:rsid w:val="005D3E9E"/>
    <w:rsid w:val="005D4285"/>
    <w:rsid w:val="005D7D18"/>
    <w:rsid w:val="005E0EA6"/>
    <w:rsid w:val="005E14CA"/>
    <w:rsid w:val="005E4F91"/>
    <w:rsid w:val="005E5B1A"/>
    <w:rsid w:val="005E5B1F"/>
    <w:rsid w:val="005E5BFA"/>
    <w:rsid w:val="005E6467"/>
    <w:rsid w:val="005E705E"/>
    <w:rsid w:val="005E772F"/>
    <w:rsid w:val="005E7F92"/>
    <w:rsid w:val="005F11E7"/>
    <w:rsid w:val="005F1923"/>
    <w:rsid w:val="005F1DE1"/>
    <w:rsid w:val="005F2144"/>
    <w:rsid w:val="005F332A"/>
    <w:rsid w:val="005F44D0"/>
    <w:rsid w:val="005F689A"/>
    <w:rsid w:val="005F71E5"/>
    <w:rsid w:val="005F726E"/>
    <w:rsid w:val="00600052"/>
    <w:rsid w:val="006000FB"/>
    <w:rsid w:val="0060018C"/>
    <w:rsid w:val="0060057B"/>
    <w:rsid w:val="00601189"/>
    <w:rsid w:val="0060155F"/>
    <w:rsid w:val="00603849"/>
    <w:rsid w:val="00604393"/>
    <w:rsid w:val="00605891"/>
    <w:rsid w:val="00605AC3"/>
    <w:rsid w:val="006063BC"/>
    <w:rsid w:val="00606FA0"/>
    <w:rsid w:val="00607081"/>
    <w:rsid w:val="00607E48"/>
    <w:rsid w:val="00610748"/>
    <w:rsid w:val="00612C27"/>
    <w:rsid w:val="006136AD"/>
    <w:rsid w:val="006138E0"/>
    <w:rsid w:val="006141EB"/>
    <w:rsid w:val="00614394"/>
    <w:rsid w:val="0061529E"/>
    <w:rsid w:val="0061554D"/>
    <w:rsid w:val="00617473"/>
    <w:rsid w:val="00620B35"/>
    <w:rsid w:val="00621049"/>
    <w:rsid w:val="006230ED"/>
    <w:rsid w:val="00626618"/>
    <w:rsid w:val="00630BC2"/>
    <w:rsid w:val="0063236D"/>
    <w:rsid w:val="00633DAF"/>
    <w:rsid w:val="00635390"/>
    <w:rsid w:val="00635EB7"/>
    <w:rsid w:val="00636C08"/>
    <w:rsid w:val="00637170"/>
    <w:rsid w:val="006408F8"/>
    <w:rsid w:val="0064101A"/>
    <w:rsid w:val="00641781"/>
    <w:rsid w:val="0064212A"/>
    <w:rsid w:val="006440F7"/>
    <w:rsid w:val="00644DF7"/>
    <w:rsid w:val="00644E71"/>
    <w:rsid w:val="0064522D"/>
    <w:rsid w:val="006464CE"/>
    <w:rsid w:val="00646816"/>
    <w:rsid w:val="0065058D"/>
    <w:rsid w:val="006514FC"/>
    <w:rsid w:val="00651C48"/>
    <w:rsid w:val="00651D90"/>
    <w:rsid w:val="00651F36"/>
    <w:rsid w:val="0065304A"/>
    <w:rsid w:val="00653C74"/>
    <w:rsid w:val="00654521"/>
    <w:rsid w:val="00655B29"/>
    <w:rsid w:val="00657346"/>
    <w:rsid w:val="006619E4"/>
    <w:rsid w:val="0066260B"/>
    <w:rsid w:val="006631F7"/>
    <w:rsid w:val="00663301"/>
    <w:rsid w:val="00666C78"/>
    <w:rsid w:val="00670420"/>
    <w:rsid w:val="006711FF"/>
    <w:rsid w:val="00672F03"/>
    <w:rsid w:val="00673DE1"/>
    <w:rsid w:val="00674486"/>
    <w:rsid w:val="00674588"/>
    <w:rsid w:val="006753A3"/>
    <w:rsid w:val="0068003E"/>
    <w:rsid w:val="006809E5"/>
    <w:rsid w:val="00681436"/>
    <w:rsid w:val="00681F89"/>
    <w:rsid w:val="006822A0"/>
    <w:rsid w:val="00682355"/>
    <w:rsid w:val="006842A5"/>
    <w:rsid w:val="006845EE"/>
    <w:rsid w:val="00684B04"/>
    <w:rsid w:val="006859F0"/>
    <w:rsid w:val="00687BBA"/>
    <w:rsid w:val="00691FB0"/>
    <w:rsid w:val="00692FCA"/>
    <w:rsid w:val="00693E1D"/>
    <w:rsid w:val="00694813"/>
    <w:rsid w:val="006950FD"/>
    <w:rsid w:val="00697619"/>
    <w:rsid w:val="00697EEE"/>
    <w:rsid w:val="006A0586"/>
    <w:rsid w:val="006A1774"/>
    <w:rsid w:val="006A2A8B"/>
    <w:rsid w:val="006A2BDB"/>
    <w:rsid w:val="006A366B"/>
    <w:rsid w:val="006A37AA"/>
    <w:rsid w:val="006A4068"/>
    <w:rsid w:val="006A443A"/>
    <w:rsid w:val="006A4906"/>
    <w:rsid w:val="006A5C71"/>
    <w:rsid w:val="006A7B8B"/>
    <w:rsid w:val="006B06D9"/>
    <w:rsid w:val="006B06F4"/>
    <w:rsid w:val="006B0C38"/>
    <w:rsid w:val="006B1E0C"/>
    <w:rsid w:val="006B2128"/>
    <w:rsid w:val="006B27FF"/>
    <w:rsid w:val="006B401F"/>
    <w:rsid w:val="006B4B37"/>
    <w:rsid w:val="006B648D"/>
    <w:rsid w:val="006B64D0"/>
    <w:rsid w:val="006B6624"/>
    <w:rsid w:val="006B6BCD"/>
    <w:rsid w:val="006B739A"/>
    <w:rsid w:val="006B7492"/>
    <w:rsid w:val="006C226C"/>
    <w:rsid w:val="006C37CF"/>
    <w:rsid w:val="006C4810"/>
    <w:rsid w:val="006C5047"/>
    <w:rsid w:val="006C513E"/>
    <w:rsid w:val="006C652D"/>
    <w:rsid w:val="006C6C3B"/>
    <w:rsid w:val="006C749E"/>
    <w:rsid w:val="006C7DAE"/>
    <w:rsid w:val="006D0D39"/>
    <w:rsid w:val="006D16EF"/>
    <w:rsid w:val="006D1AFE"/>
    <w:rsid w:val="006D2B0A"/>
    <w:rsid w:val="006D2BE4"/>
    <w:rsid w:val="006D3EA9"/>
    <w:rsid w:val="006D3F2D"/>
    <w:rsid w:val="006D55DB"/>
    <w:rsid w:val="006D56FE"/>
    <w:rsid w:val="006D685D"/>
    <w:rsid w:val="006D73F2"/>
    <w:rsid w:val="006E05BA"/>
    <w:rsid w:val="006E0E85"/>
    <w:rsid w:val="006E371F"/>
    <w:rsid w:val="006E457B"/>
    <w:rsid w:val="006E4AE1"/>
    <w:rsid w:val="006E55A3"/>
    <w:rsid w:val="006E6529"/>
    <w:rsid w:val="006E7280"/>
    <w:rsid w:val="006E770F"/>
    <w:rsid w:val="006F016A"/>
    <w:rsid w:val="006F2C38"/>
    <w:rsid w:val="006F331D"/>
    <w:rsid w:val="006F3459"/>
    <w:rsid w:val="006F4E94"/>
    <w:rsid w:val="006F6071"/>
    <w:rsid w:val="006F680A"/>
    <w:rsid w:val="006F7A84"/>
    <w:rsid w:val="006F7C04"/>
    <w:rsid w:val="00702D42"/>
    <w:rsid w:val="00703167"/>
    <w:rsid w:val="00703221"/>
    <w:rsid w:val="00704398"/>
    <w:rsid w:val="00710E31"/>
    <w:rsid w:val="00711C22"/>
    <w:rsid w:val="00712004"/>
    <w:rsid w:val="007120D1"/>
    <w:rsid w:val="007139C8"/>
    <w:rsid w:val="00713E32"/>
    <w:rsid w:val="007175F4"/>
    <w:rsid w:val="007179FC"/>
    <w:rsid w:val="0072124F"/>
    <w:rsid w:val="007213A1"/>
    <w:rsid w:val="007220A9"/>
    <w:rsid w:val="00722318"/>
    <w:rsid w:val="007223D1"/>
    <w:rsid w:val="0072395D"/>
    <w:rsid w:val="00724255"/>
    <w:rsid w:val="00724BC3"/>
    <w:rsid w:val="00725E92"/>
    <w:rsid w:val="00727515"/>
    <w:rsid w:val="007277E0"/>
    <w:rsid w:val="0073002A"/>
    <w:rsid w:val="007321DE"/>
    <w:rsid w:val="00732A66"/>
    <w:rsid w:val="00732B76"/>
    <w:rsid w:val="00732EE7"/>
    <w:rsid w:val="00734413"/>
    <w:rsid w:val="00734572"/>
    <w:rsid w:val="007355C4"/>
    <w:rsid w:val="00735893"/>
    <w:rsid w:val="00736D04"/>
    <w:rsid w:val="007371A4"/>
    <w:rsid w:val="00737668"/>
    <w:rsid w:val="00737C9F"/>
    <w:rsid w:val="00737E73"/>
    <w:rsid w:val="007407BC"/>
    <w:rsid w:val="00741FA5"/>
    <w:rsid w:val="00742144"/>
    <w:rsid w:val="007432FB"/>
    <w:rsid w:val="00743984"/>
    <w:rsid w:val="00744D67"/>
    <w:rsid w:val="007457B8"/>
    <w:rsid w:val="00746768"/>
    <w:rsid w:val="00751D3D"/>
    <w:rsid w:val="0075281D"/>
    <w:rsid w:val="00752C16"/>
    <w:rsid w:val="00752E44"/>
    <w:rsid w:val="00752E9E"/>
    <w:rsid w:val="00753E13"/>
    <w:rsid w:val="0075462E"/>
    <w:rsid w:val="0075482B"/>
    <w:rsid w:val="007554B3"/>
    <w:rsid w:val="00756F10"/>
    <w:rsid w:val="00757572"/>
    <w:rsid w:val="00760078"/>
    <w:rsid w:val="007604D6"/>
    <w:rsid w:val="00761190"/>
    <w:rsid w:val="0076142F"/>
    <w:rsid w:val="00761D62"/>
    <w:rsid w:val="0076203F"/>
    <w:rsid w:val="007622A6"/>
    <w:rsid w:val="007632A6"/>
    <w:rsid w:val="007633A3"/>
    <w:rsid w:val="00763C34"/>
    <w:rsid w:val="007657DE"/>
    <w:rsid w:val="00765807"/>
    <w:rsid w:val="00765AE3"/>
    <w:rsid w:val="00766116"/>
    <w:rsid w:val="007679E5"/>
    <w:rsid w:val="007706BA"/>
    <w:rsid w:val="00771F76"/>
    <w:rsid w:val="00773D7D"/>
    <w:rsid w:val="007747CF"/>
    <w:rsid w:val="007747FA"/>
    <w:rsid w:val="00774DD7"/>
    <w:rsid w:val="00775B2D"/>
    <w:rsid w:val="007775C8"/>
    <w:rsid w:val="00780310"/>
    <w:rsid w:val="00780382"/>
    <w:rsid w:val="007804CC"/>
    <w:rsid w:val="00780559"/>
    <w:rsid w:val="007848A9"/>
    <w:rsid w:val="00784AB1"/>
    <w:rsid w:val="007858AC"/>
    <w:rsid w:val="00790174"/>
    <w:rsid w:val="00791644"/>
    <w:rsid w:val="0079183E"/>
    <w:rsid w:val="0079369B"/>
    <w:rsid w:val="00793C3E"/>
    <w:rsid w:val="007952AF"/>
    <w:rsid w:val="00796B9A"/>
    <w:rsid w:val="007976F3"/>
    <w:rsid w:val="007A030E"/>
    <w:rsid w:val="007A1D7E"/>
    <w:rsid w:val="007A2905"/>
    <w:rsid w:val="007A33C9"/>
    <w:rsid w:val="007A5D6A"/>
    <w:rsid w:val="007A62DD"/>
    <w:rsid w:val="007A6551"/>
    <w:rsid w:val="007A66DE"/>
    <w:rsid w:val="007B0F9A"/>
    <w:rsid w:val="007B30F6"/>
    <w:rsid w:val="007B3926"/>
    <w:rsid w:val="007B3970"/>
    <w:rsid w:val="007B3CB9"/>
    <w:rsid w:val="007B426C"/>
    <w:rsid w:val="007B4D9A"/>
    <w:rsid w:val="007B5101"/>
    <w:rsid w:val="007B53DC"/>
    <w:rsid w:val="007B55A5"/>
    <w:rsid w:val="007B5B71"/>
    <w:rsid w:val="007B7E31"/>
    <w:rsid w:val="007C0F15"/>
    <w:rsid w:val="007C1F03"/>
    <w:rsid w:val="007C1F23"/>
    <w:rsid w:val="007C2372"/>
    <w:rsid w:val="007C27F2"/>
    <w:rsid w:val="007C2F1A"/>
    <w:rsid w:val="007C4C8F"/>
    <w:rsid w:val="007C5152"/>
    <w:rsid w:val="007C5540"/>
    <w:rsid w:val="007C5D29"/>
    <w:rsid w:val="007C6612"/>
    <w:rsid w:val="007C6F38"/>
    <w:rsid w:val="007C7489"/>
    <w:rsid w:val="007D00F4"/>
    <w:rsid w:val="007D0885"/>
    <w:rsid w:val="007D1A78"/>
    <w:rsid w:val="007D23B6"/>
    <w:rsid w:val="007D3047"/>
    <w:rsid w:val="007D3526"/>
    <w:rsid w:val="007D376C"/>
    <w:rsid w:val="007D4341"/>
    <w:rsid w:val="007D4748"/>
    <w:rsid w:val="007D5483"/>
    <w:rsid w:val="007D61DB"/>
    <w:rsid w:val="007E033D"/>
    <w:rsid w:val="007E190A"/>
    <w:rsid w:val="007E1CA7"/>
    <w:rsid w:val="007E2B98"/>
    <w:rsid w:val="007E2C94"/>
    <w:rsid w:val="007E2F1C"/>
    <w:rsid w:val="007E4F80"/>
    <w:rsid w:val="007E55A1"/>
    <w:rsid w:val="007E5CE5"/>
    <w:rsid w:val="007E5FC2"/>
    <w:rsid w:val="007E6E63"/>
    <w:rsid w:val="007E73F6"/>
    <w:rsid w:val="007F0A3E"/>
    <w:rsid w:val="007F1C33"/>
    <w:rsid w:val="007F1EC0"/>
    <w:rsid w:val="007F2FD5"/>
    <w:rsid w:val="007F396C"/>
    <w:rsid w:val="007F44F8"/>
    <w:rsid w:val="007F4880"/>
    <w:rsid w:val="007F4BD5"/>
    <w:rsid w:val="007F7BBD"/>
    <w:rsid w:val="00801ACE"/>
    <w:rsid w:val="00801ECA"/>
    <w:rsid w:val="008049FE"/>
    <w:rsid w:val="00805211"/>
    <w:rsid w:val="00807605"/>
    <w:rsid w:val="0081026B"/>
    <w:rsid w:val="008118BD"/>
    <w:rsid w:val="00811DCE"/>
    <w:rsid w:val="00812162"/>
    <w:rsid w:val="008133AE"/>
    <w:rsid w:val="00813478"/>
    <w:rsid w:val="00814383"/>
    <w:rsid w:val="008151F7"/>
    <w:rsid w:val="00815F2F"/>
    <w:rsid w:val="00816290"/>
    <w:rsid w:val="00817E2D"/>
    <w:rsid w:val="008215A7"/>
    <w:rsid w:val="00822EA2"/>
    <w:rsid w:val="00823EF7"/>
    <w:rsid w:val="00824E36"/>
    <w:rsid w:val="00826D4E"/>
    <w:rsid w:val="00827747"/>
    <w:rsid w:val="00830060"/>
    <w:rsid w:val="008304F8"/>
    <w:rsid w:val="00830538"/>
    <w:rsid w:val="008309BB"/>
    <w:rsid w:val="00830FE3"/>
    <w:rsid w:val="0083220E"/>
    <w:rsid w:val="0083258D"/>
    <w:rsid w:val="00832C81"/>
    <w:rsid w:val="00832F35"/>
    <w:rsid w:val="00832F86"/>
    <w:rsid w:val="00835C59"/>
    <w:rsid w:val="00835E9A"/>
    <w:rsid w:val="008360F1"/>
    <w:rsid w:val="008369BD"/>
    <w:rsid w:val="008377A2"/>
    <w:rsid w:val="0083798F"/>
    <w:rsid w:val="00840271"/>
    <w:rsid w:val="00840452"/>
    <w:rsid w:val="008420FC"/>
    <w:rsid w:val="008421AF"/>
    <w:rsid w:val="0084273A"/>
    <w:rsid w:val="0084346C"/>
    <w:rsid w:val="00843E2A"/>
    <w:rsid w:val="008443C0"/>
    <w:rsid w:val="00844D1D"/>
    <w:rsid w:val="008452D1"/>
    <w:rsid w:val="0084538A"/>
    <w:rsid w:val="008457DD"/>
    <w:rsid w:val="008460CE"/>
    <w:rsid w:val="008477C0"/>
    <w:rsid w:val="00850ED7"/>
    <w:rsid w:val="0085247C"/>
    <w:rsid w:val="008534BA"/>
    <w:rsid w:val="00853DC1"/>
    <w:rsid w:val="0085407A"/>
    <w:rsid w:val="008541BB"/>
    <w:rsid w:val="00854452"/>
    <w:rsid w:val="00855A33"/>
    <w:rsid w:val="00856284"/>
    <w:rsid w:val="0085644D"/>
    <w:rsid w:val="0085714B"/>
    <w:rsid w:val="00860C08"/>
    <w:rsid w:val="008627C1"/>
    <w:rsid w:val="00862852"/>
    <w:rsid w:val="0086286A"/>
    <w:rsid w:val="008628B2"/>
    <w:rsid w:val="0086440C"/>
    <w:rsid w:val="00864D8E"/>
    <w:rsid w:val="0086576E"/>
    <w:rsid w:val="00865F5E"/>
    <w:rsid w:val="0086621B"/>
    <w:rsid w:val="008670F9"/>
    <w:rsid w:val="0086741A"/>
    <w:rsid w:val="008707F5"/>
    <w:rsid w:val="00870B35"/>
    <w:rsid w:val="00870DD8"/>
    <w:rsid w:val="00872C8C"/>
    <w:rsid w:val="00873B7C"/>
    <w:rsid w:val="00874EC2"/>
    <w:rsid w:val="00874ECC"/>
    <w:rsid w:val="00875038"/>
    <w:rsid w:val="00875F88"/>
    <w:rsid w:val="00876469"/>
    <w:rsid w:val="00876C7E"/>
    <w:rsid w:val="008778F8"/>
    <w:rsid w:val="0087791F"/>
    <w:rsid w:val="008800F8"/>
    <w:rsid w:val="008816D1"/>
    <w:rsid w:val="00881E10"/>
    <w:rsid w:val="0088275A"/>
    <w:rsid w:val="00882F2D"/>
    <w:rsid w:val="00883804"/>
    <w:rsid w:val="008847E9"/>
    <w:rsid w:val="00884A70"/>
    <w:rsid w:val="0088599E"/>
    <w:rsid w:val="008860BC"/>
    <w:rsid w:val="00891AD2"/>
    <w:rsid w:val="00891F18"/>
    <w:rsid w:val="00892320"/>
    <w:rsid w:val="00893D43"/>
    <w:rsid w:val="0089464E"/>
    <w:rsid w:val="00895185"/>
    <w:rsid w:val="00896AD9"/>
    <w:rsid w:val="008974DA"/>
    <w:rsid w:val="008978CB"/>
    <w:rsid w:val="008A0BF6"/>
    <w:rsid w:val="008A3EBB"/>
    <w:rsid w:val="008A5315"/>
    <w:rsid w:val="008A5620"/>
    <w:rsid w:val="008A769C"/>
    <w:rsid w:val="008B10C6"/>
    <w:rsid w:val="008B1992"/>
    <w:rsid w:val="008B19B1"/>
    <w:rsid w:val="008B4288"/>
    <w:rsid w:val="008B4798"/>
    <w:rsid w:val="008B492F"/>
    <w:rsid w:val="008B4F24"/>
    <w:rsid w:val="008B7A8A"/>
    <w:rsid w:val="008C0462"/>
    <w:rsid w:val="008C0972"/>
    <w:rsid w:val="008C0C77"/>
    <w:rsid w:val="008C2E56"/>
    <w:rsid w:val="008C412D"/>
    <w:rsid w:val="008C5B94"/>
    <w:rsid w:val="008C71D8"/>
    <w:rsid w:val="008C7B77"/>
    <w:rsid w:val="008C7EDD"/>
    <w:rsid w:val="008D0207"/>
    <w:rsid w:val="008D05EC"/>
    <w:rsid w:val="008D2024"/>
    <w:rsid w:val="008D27FE"/>
    <w:rsid w:val="008D3C61"/>
    <w:rsid w:val="008D48DF"/>
    <w:rsid w:val="008D5306"/>
    <w:rsid w:val="008D577C"/>
    <w:rsid w:val="008D593B"/>
    <w:rsid w:val="008D5D07"/>
    <w:rsid w:val="008E0DCC"/>
    <w:rsid w:val="008E3B84"/>
    <w:rsid w:val="008F4A5A"/>
    <w:rsid w:val="008F5ACE"/>
    <w:rsid w:val="008F71F3"/>
    <w:rsid w:val="00901331"/>
    <w:rsid w:val="00902090"/>
    <w:rsid w:val="00902DCF"/>
    <w:rsid w:val="00903437"/>
    <w:rsid w:val="009035AF"/>
    <w:rsid w:val="00903B7C"/>
    <w:rsid w:val="00904459"/>
    <w:rsid w:val="00905B8A"/>
    <w:rsid w:val="0090709A"/>
    <w:rsid w:val="00910616"/>
    <w:rsid w:val="00910C7E"/>
    <w:rsid w:val="009167C6"/>
    <w:rsid w:val="0091769E"/>
    <w:rsid w:val="009212F5"/>
    <w:rsid w:val="009236F5"/>
    <w:rsid w:val="00923D6B"/>
    <w:rsid w:val="00924FCA"/>
    <w:rsid w:val="00931021"/>
    <w:rsid w:val="00931531"/>
    <w:rsid w:val="009319A9"/>
    <w:rsid w:val="00932589"/>
    <w:rsid w:val="0093283D"/>
    <w:rsid w:val="00932AE2"/>
    <w:rsid w:val="00932C0B"/>
    <w:rsid w:val="00932FC2"/>
    <w:rsid w:val="00933544"/>
    <w:rsid w:val="00934E0D"/>
    <w:rsid w:val="00935513"/>
    <w:rsid w:val="0093673A"/>
    <w:rsid w:val="009401EF"/>
    <w:rsid w:val="0094050D"/>
    <w:rsid w:val="00940F0D"/>
    <w:rsid w:val="00941541"/>
    <w:rsid w:val="009422BD"/>
    <w:rsid w:val="00942526"/>
    <w:rsid w:val="00942EC9"/>
    <w:rsid w:val="0094304D"/>
    <w:rsid w:val="009432DA"/>
    <w:rsid w:val="0094461E"/>
    <w:rsid w:val="00944A9A"/>
    <w:rsid w:val="00945099"/>
    <w:rsid w:val="00945B47"/>
    <w:rsid w:val="00945C73"/>
    <w:rsid w:val="0095275C"/>
    <w:rsid w:val="00954576"/>
    <w:rsid w:val="00955C4A"/>
    <w:rsid w:val="00955D0A"/>
    <w:rsid w:val="00956E17"/>
    <w:rsid w:val="00956E81"/>
    <w:rsid w:val="00956FF7"/>
    <w:rsid w:val="009574AB"/>
    <w:rsid w:val="0096004D"/>
    <w:rsid w:val="00960845"/>
    <w:rsid w:val="00960C5E"/>
    <w:rsid w:val="00962D0E"/>
    <w:rsid w:val="009639B1"/>
    <w:rsid w:val="00964C14"/>
    <w:rsid w:val="00964D38"/>
    <w:rsid w:val="0096712F"/>
    <w:rsid w:val="00970CAF"/>
    <w:rsid w:val="00972FE2"/>
    <w:rsid w:val="00973CA8"/>
    <w:rsid w:val="00975FEF"/>
    <w:rsid w:val="009760F9"/>
    <w:rsid w:val="009763E6"/>
    <w:rsid w:val="0098023B"/>
    <w:rsid w:val="00980886"/>
    <w:rsid w:val="00981700"/>
    <w:rsid w:val="00983303"/>
    <w:rsid w:val="0098477D"/>
    <w:rsid w:val="00985D84"/>
    <w:rsid w:val="00986DB2"/>
    <w:rsid w:val="009870C9"/>
    <w:rsid w:val="009872B3"/>
    <w:rsid w:val="00990C60"/>
    <w:rsid w:val="009919DE"/>
    <w:rsid w:val="0099270D"/>
    <w:rsid w:val="00995D6C"/>
    <w:rsid w:val="009975E5"/>
    <w:rsid w:val="00997AE8"/>
    <w:rsid w:val="009A018E"/>
    <w:rsid w:val="009A057D"/>
    <w:rsid w:val="009A0AD0"/>
    <w:rsid w:val="009A2196"/>
    <w:rsid w:val="009A3674"/>
    <w:rsid w:val="009A52AD"/>
    <w:rsid w:val="009A71BE"/>
    <w:rsid w:val="009A75B7"/>
    <w:rsid w:val="009A7E4F"/>
    <w:rsid w:val="009B2A77"/>
    <w:rsid w:val="009B4731"/>
    <w:rsid w:val="009C08CD"/>
    <w:rsid w:val="009C0BDA"/>
    <w:rsid w:val="009C190A"/>
    <w:rsid w:val="009C23BC"/>
    <w:rsid w:val="009C2877"/>
    <w:rsid w:val="009C379C"/>
    <w:rsid w:val="009C39BA"/>
    <w:rsid w:val="009C5330"/>
    <w:rsid w:val="009C54BB"/>
    <w:rsid w:val="009C7996"/>
    <w:rsid w:val="009D0096"/>
    <w:rsid w:val="009D06C4"/>
    <w:rsid w:val="009D1466"/>
    <w:rsid w:val="009D1555"/>
    <w:rsid w:val="009D18AE"/>
    <w:rsid w:val="009D2FBA"/>
    <w:rsid w:val="009D638D"/>
    <w:rsid w:val="009D69CD"/>
    <w:rsid w:val="009D726B"/>
    <w:rsid w:val="009E0B32"/>
    <w:rsid w:val="009E0D24"/>
    <w:rsid w:val="009E1146"/>
    <w:rsid w:val="009E1B9C"/>
    <w:rsid w:val="009E1BD1"/>
    <w:rsid w:val="009E28AE"/>
    <w:rsid w:val="009E2910"/>
    <w:rsid w:val="009E2C19"/>
    <w:rsid w:val="009E4894"/>
    <w:rsid w:val="009E5BEC"/>
    <w:rsid w:val="009E5CC5"/>
    <w:rsid w:val="009E5E40"/>
    <w:rsid w:val="009E607F"/>
    <w:rsid w:val="009E7303"/>
    <w:rsid w:val="009F040B"/>
    <w:rsid w:val="009F2244"/>
    <w:rsid w:val="009F426B"/>
    <w:rsid w:val="009F57F3"/>
    <w:rsid w:val="009F5E91"/>
    <w:rsid w:val="009F63A5"/>
    <w:rsid w:val="009F6FE7"/>
    <w:rsid w:val="009F79DB"/>
    <w:rsid w:val="009F7F52"/>
    <w:rsid w:val="00A00766"/>
    <w:rsid w:val="00A01E6A"/>
    <w:rsid w:val="00A02283"/>
    <w:rsid w:val="00A039B2"/>
    <w:rsid w:val="00A04098"/>
    <w:rsid w:val="00A05E72"/>
    <w:rsid w:val="00A066A7"/>
    <w:rsid w:val="00A077C8"/>
    <w:rsid w:val="00A079D8"/>
    <w:rsid w:val="00A1084E"/>
    <w:rsid w:val="00A10F79"/>
    <w:rsid w:val="00A111F3"/>
    <w:rsid w:val="00A1140D"/>
    <w:rsid w:val="00A11E5F"/>
    <w:rsid w:val="00A122A8"/>
    <w:rsid w:val="00A123CA"/>
    <w:rsid w:val="00A12DF0"/>
    <w:rsid w:val="00A13554"/>
    <w:rsid w:val="00A14426"/>
    <w:rsid w:val="00A152D8"/>
    <w:rsid w:val="00A17083"/>
    <w:rsid w:val="00A173AE"/>
    <w:rsid w:val="00A17A21"/>
    <w:rsid w:val="00A17CA5"/>
    <w:rsid w:val="00A17F26"/>
    <w:rsid w:val="00A2098F"/>
    <w:rsid w:val="00A21B91"/>
    <w:rsid w:val="00A227FC"/>
    <w:rsid w:val="00A22ECF"/>
    <w:rsid w:val="00A232BD"/>
    <w:rsid w:val="00A23B7C"/>
    <w:rsid w:val="00A24EBE"/>
    <w:rsid w:val="00A251D9"/>
    <w:rsid w:val="00A276AF"/>
    <w:rsid w:val="00A3205E"/>
    <w:rsid w:val="00A324BF"/>
    <w:rsid w:val="00A33510"/>
    <w:rsid w:val="00A33711"/>
    <w:rsid w:val="00A343B7"/>
    <w:rsid w:val="00A360FF"/>
    <w:rsid w:val="00A3679D"/>
    <w:rsid w:val="00A37A89"/>
    <w:rsid w:val="00A37B54"/>
    <w:rsid w:val="00A37E38"/>
    <w:rsid w:val="00A4214E"/>
    <w:rsid w:val="00A42EB1"/>
    <w:rsid w:val="00A43D63"/>
    <w:rsid w:val="00A449CB"/>
    <w:rsid w:val="00A46AA5"/>
    <w:rsid w:val="00A47E37"/>
    <w:rsid w:val="00A47E4A"/>
    <w:rsid w:val="00A50806"/>
    <w:rsid w:val="00A50895"/>
    <w:rsid w:val="00A50C58"/>
    <w:rsid w:val="00A50D03"/>
    <w:rsid w:val="00A553BD"/>
    <w:rsid w:val="00A55871"/>
    <w:rsid w:val="00A56549"/>
    <w:rsid w:val="00A571A7"/>
    <w:rsid w:val="00A57BB8"/>
    <w:rsid w:val="00A61276"/>
    <w:rsid w:val="00A612D8"/>
    <w:rsid w:val="00A61974"/>
    <w:rsid w:val="00A62D5E"/>
    <w:rsid w:val="00A6518F"/>
    <w:rsid w:val="00A657ED"/>
    <w:rsid w:val="00A65B07"/>
    <w:rsid w:val="00A65B3F"/>
    <w:rsid w:val="00A67E64"/>
    <w:rsid w:val="00A71F2C"/>
    <w:rsid w:val="00A72150"/>
    <w:rsid w:val="00A7307D"/>
    <w:rsid w:val="00A73860"/>
    <w:rsid w:val="00A74203"/>
    <w:rsid w:val="00A74525"/>
    <w:rsid w:val="00A758AE"/>
    <w:rsid w:val="00A7656F"/>
    <w:rsid w:val="00A80247"/>
    <w:rsid w:val="00A81110"/>
    <w:rsid w:val="00A814B3"/>
    <w:rsid w:val="00A81B57"/>
    <w:rsid w:val="00A82D18"/>
    <w:rsid w:val="00A84222"/>
    <w:rsid w:val="00A84E44"/>
    <w:rsid w:val="00A85789"/>
    <w:rsid w:val="00A87442"/>
    <w:rsid w:val="00A9116F"/>
    <w:rsid w:val="00A93732"/>
    <w:rsid w:val="00A941B3"/>
    <w:rsid w:val="00A95B44"/>
    <w:rsid w:val="00A97BFA"/>
    <w:rsid w:val="00AA02BC"/>
    <w:rsid w:val="00AA100F"/>
    <w:rsid w:val="00AA1A40"/>
    <w:rsid w:val="00AA24B8"/>
    <w:rsid w:val="00AA24C0"/>
    <w:rsid w:val="00AA3755"/>
    <w:rsid w:val="00AA5E13"/>
    <w:rsid w:val="00AA66A7"/>
    <w:rsid w:val="00AA68A8"/>
    <w:rsid w:val="00AA6A46"/>
    <w:rsid w:val="00AA73CA"/>
    <w:rsid w:val="00AA78E5"/>
    <w:rsid w:val="00AB033E"/>
    <w:rsid w:val="00AB0983"/>
    <w:rsid w:val="00AB1560"/>
    <w:rsid w:val="00AB1FB4"/>
    <w:rsid w:val="00AB4027"/>
    <w:rsid w:val="00AC024D"/>
    <w:rsid w:val="00AC0CD4"/>
    <w:rsid w:val="00AC2CC1"/>
    <w:rsid w:val="00AC414F"/>
    <w:rsid w:val="00AC6342"/>
    <w:rsid w:val="00AC6B6C"/>
    <w:rsid w:val="00AC7D1C"/>
    <w:rsid w:val="00AD135F"/>
    <w:rsid w:val="00AD153D"/>
    <w:rsid w:val="00AD1D21"/>
    <w:rsid w:val="00AD2650"/>
    <w:rsid w:val="00AD2955"/>
    <w:rsid w:val="00AD4250"/>
    <w:rsid w:val="00AD46A6"/>
    <w:rsid w:val="00AD5B1D"/>
    <w:rsid w:val="00AE0067"/>
    <w:rsid w:val="00AE0932"/>
    <w:rsid w:val="00AE0E1B"/>
    <w:rsid w:val="00AE47FF"/>
    <w:rsid w:val="00AE48B7"/>
    <w:rsid w:val="00AE5F9A"/>
    <w:rsid w:val="00AE62EB"/>
    <w:rsid w:val="00AF0E9E"/>
    <w:rsid w:val="00AF151E"/>
    <w:rsid w:val="00AF1680"/>
    <w:rsid w:val="00AF17BA"/>
    <w:rsid w:val="00AF2291"/>
    <w:rsid w:val="00AF304E"/>
    <w:rsid w:val="00AF4896"/>
    <w:rsid w:val="00AF4FA0"/>
    <w:rsid w:val="00AF5046"/>
    <w:rsid w:val="00AF54C9"/>
    <w:rsid w:val="00AF5783"/>
    <w:rsid w:val="00AF61A5"/>
    <w:rsid w:val="00AF637E"/>
    <w:rsid w:val="00AF753B"/>
    <w:rsid w:val="00B005BA"/>
    <w:rsid w:val="00B00EEE"/>
    <w:rsid w:val="00B0180D"/>
    <w:rsid w:val="00B01CAA"/>
    <w:rsid w:val="00B02AAC"/>
    <w:rsid w:val="00B03585"/>
    <w:rsid w:val="00B03D2E"/>
    <w:rsid w:val="00B052EC"/>
    <w:rsid w:val="00B067A7"/>
    <w:rsid w:val="00B074F4"/>
    <w:rsid w:val="00B07B42"/>
    <w:rsid w:val="00B12C99"/>
    <w:rsid w:val="00B130CC"/>
    <w:rsid w:val="00B13723"/>
    <w:rsid w:val="00B1441B"/>
    <w:rsid w:val="00B14E1E"/>
    <w:rsid w:val="00B153DF"/>
    <w:rsid w:val="00B167B5"/>
    <w:rsid w:val="00B16D6D"/>
    <w:rsid w:val="00B1717D"/>
    <w:rsid w:val="00B17CC1"/>
    <w:rsid w:val="00B200B7"/>
    <w:rsid w:val="00B204C7"/>
    <w:rsid w:val="00B21B41"/>
    <w:rsid w:val="00B22989"/>
    <w:rsid w:val="00B22D11"/>
    <w:rsid w:val="00B23BEF"/>
    <w:rsid w:val="00B24C2B"/>
    <w:rsid w:val="00B26257"/>
    <w:rsid w:val="00B269A0"/>
    <w:rsid w:val="00B26E8A"/>
    <w:rsid w:val="00B277D3"/>
    <w:rsid w:val="00B279B5"/>
    <w:rsid w:val="00B30D53"/>
    <w:rsid w:val="00B31D41"/>
    <w:rsid w:val="00B32E53"/>
    <w:rsid w:val="00B338B3"/>
    <w:rsid w:val="00B3589E"/>
    <w:rsid w:val="00B36AEC"/>
    <w:rsid w:val="00B375A6"/>
    <w:rsid w:val="00B4000A"/>
    <w:rsid w:val="00B4112B"/>
    <w:rsid w:val="00B41768"/>
    <w:rsid w:val="00B42775"/>
    <w:rsid w:val="00B43AF0"/>
    <w:rsid w:val="00B43C9C"/>
    <w:rsid w:val="00B44D31"/>
    <w:rsid w:val="00B456D7"/>
    <w:rsid w:val="00B46D93"/>
    <w:rsid w:val="00B5114E"/>
    <w:rsid w:val="00B51A9F"/>
    <w:rsid w:val="00B51F30"/>
    <w:rsid w:val="00B51F49"/>
    <w:rsid w:val="00B5216D"/>
    <w:rsid w:val="00B53721"/>
    <w:rsid w:val="00B54EA5"/>
    <w:rsid w:val="00B55AF2"/>
    <w:rsid w:val="00B55DEA"/>
    <w:rsid w:val="00B5645D"/>
    <w:rsid w:val="00B57AB3"/>
    <w:rsid w:val="00B57F86"/>
    <w:rsid w:val="00B61A16"/>
    <w:rsid w:val="00B62650"/>
    <w:rsid w:val="00B63035"/>
    <w:rsid w:val="00B6586F"/>
    <w:rsid w:val="00B67573"/>
    <w:rsid w:val="00B725E1"/>
    <w:rsid w:val="00B7473E"/>
    <w:rsid w:val="00B74896"/>
    <w:rsid w:val="00B75249"/>
    <w:rsid w:val="00B76EAA"/>
    <w:rsid w:val="00B778C3"/>
    <w:rsid w:val="00B81848"/>
    <w:rsid w:val="00B81D7F"/>
    <w:rsid w:val="00B821B9"/>
    <w:rsid w:val="00B83EEE"/>
    <w:rsid w:val="00B84F48"/>
    <w:rsid w:val="00B85074"/>
    <w:rsid w:val="00B86047"/>
    <w:rsid w:val="00B86D36"/>
    <w:rsid w:val="00B87847"/>
    <w:rsid w:val="00B87AA2"/>
    <w:rsid w:val="00B87B36"/>
    <w:rsid w:val="00B90414"/>
    <w:rsid w:val="00B90812"/>
    <w:rsid w:val="00B90EC4"/>
    <w:rsid w:val="00B91862"/>
    <w:rsid w:val="00B91BC9"/>
    <w:rsid w:val="00B91DEF"/>
    <w:rsid w:val="00B92280"/>
    <w:rsid w:val="00B92383"/>
    <w:rsid w:val="00B931F9"/>
    <w:rsid w:val="00B9542B"/>
    <w:rsid w:val="00B957B5"/>
    <w:rsid w:val="00B96B87"/>
    <w:rsid w:val="00B96E66"/>
    <w:rsid w:val="00B974FE"/>
    <w:rsid w:val="00B9795B"/>
    <w:rsid w:val="00BA098D"/>
    <w:rsid w:val="00BA0C2F"/>
    <w:rsid w:val="00BA0E91"/>
    <w:rsid w:val="00BA1FE1"/>
    <w:rsid w:val="00BA2902"/>
    <w:rsid w:val="00BA4814"/>
    <w:rsid w:val="00BA6BC2"/>
    <w:rsid w:val="00BB093D"/>
    <w:rsid w:val="00BB19BB"/>
    <w:rsid w:val="00BB4094"/>
    <w:rsid w:val="00BB4C8D"/>
    <w:rsid w:val="00BB567C"/>
    <w:rsid w:val="00BB708F"/>
    <w:rsid w:val="00BC161C"/>
    <w:rsid w:val="00BC21B1"/>
    <w:rsid w:val="00BC3AE6"/>
    <w:rsid w:val="00BC6DC0"/>
    <w:rsid w:val="00BC6E15"/>
    <w:rsid w:val="00BC6FE6"/>
    <w:rsid w:val="00BD24C2"/>
    <w:rsid w:val="00BD538C"/>
    <w:rsid w:val="00BD5DF1"/>
    <w:rsid w:val="00BD61BF"/>
    <w:rsid w:val="00BD7D96"/>
    <w:rsid w:val="00BE0C50"/>
    <w:rsid w:val="00BE23F2"/>
    <w:rsid w:val="00BE722E"/>
    <w:rsid w:val="00BE7354"/>
    <w:rsid w:val="00BE7822"/>
    <w:rsid w:val="00BF138A"/>
    <w:rsid w:val="00BF1DD7"/>
    <w:rsid w:val="00BF3776"/>
    <w:rsid w:val="00BF3B2D"/>
    <w:rsid w:val="00BF4BBA"/>
    <w:rsid w:val="00BF4CDC"/>
    <w:rsid w:val="00BF5B82"/>
    <w:rsid w:val="00BF6060"/>
    <w:rsid w:val="00BF669A"/>
    <w:rsid w:val="00BF67F1"/>
    <w:rsid w:val="00BF6D60"/>
    <w:rsid w:val="00BF749F"/>
    <w:rsid w:val="00C0096E"/>
    <w:rsid w:val="00C00BB4"/>
    <w:rsid w:val="00C01A7D"/>
    <w:rsid w:val="00C01B50"/>
    <w:rsid w:val="00C01C12"/>
    <w:rsid w:val="00C02146"/>
    <w:rsid w:val="00C03B3A"/>
    <w:rsid w:val="00C03CC7"/>
    <w:rsid w:val="00C04E8F"/>
    <w:rsid w:val="00C07AFE"/>
    <w:rsid w:val="00C07B3A"/>
    <w:rsid w:val="00C10346"/>
    <w:rsid w:val="00C1184C"/>
    <w:rsid w:val="00C13701"/>
    <w:rsid w:val="00C13DE7"/>
    <w:rsid w:val="00C15A28"/>
    <w:rsid w:val="00C168AD"/>
    <w:rsid w:val="00C200CB"/>
    <w:rsid w:val="00C203E0"/>
    <w:rsid w:val="00C21915"/>
    <w:rsid w:val="00C21969"/>
    <w:rsid w:val="00C23C8E"/>
    <w:rsid w:val="00C24149"/>
    <w:rsid w:val="00C247EC"/>
    <w:rsid w:val="00C27A66"/>
    <w:rsid w:val="00C30D79"/>
    <w:rsid w:val="00C31120"/>
    <w:rsid w:val="00C3124A"/>
    <w:rsid w:val="00C31349"/>
    <w:rsid w:val="00C32D62"/>
    <w:rsid w:val="00C34064"/>
    <w:rsid w:val="00C342BC"/>
    <w:rsid w:val="00C3571A"/>
    <w:rsid w:val="00C35EEC"/>
    <w:rsid w:val="00C36F52"/>
    <w:rsid w:val="00C371A5"/>
    <w:rsid w:val="00C40067"/>
    <w:rsid w:val="00C40305"/>
    <w:rsid w:val="00C41679"/>
    <w:rsid w:val="00C42905"/>
    <w:rsid w:val="00C42D3C"/>
    <w:rsid w:val="00C43062"/>
    <w:rsid w:val="00C430A8"/>
    <w:rsid w:val="00C43CBF"/>
    <w:rsid w:val="00C4420E"/>
    <w:rsid w:val="00C445A9"/>
    <w:rsid w:val="00C4792C"/>
    <w:rsid w:val="00C51D9B"/>
    <w:rsid w:val="00C53947"/>
    <w:rsid w:val="00C56C17"/>
    <w:rsid w:val="00C61847"/>
    <w:rsid w:val="00C61FA7"/>
    <w:rsid w:val="00C6257C"/>
    <w:rsid w:val="00C628F4"/>
    <w:rsid w:val="00C632FC"/>
    <w:rsid w:val="00C636D7"/>
    <w:rsid w:val="00C643BC"/>
    <w:rsid w:val="00C64E92"/>
    <w:rsid w:val="00C66521"/>
    <w:rsid w:val="00C67C8B"/>
    <w:rsid w:val="00C67D02"/>
    <w:rsid w:val="00C67ECE"/>
    <w:rsid w:val="00C7047F"/>
    <w:rsid w:val="00C7254F"/>
    <w:rsid w:val="00C734EC"/>
    <w:rsid w:val="00C73657"/>
    <w:rsid w:val="00C738B2"/>
    <w:rsid w:val="00C739CE"/>
    <w:rsid w:val="00C76FE6"/>
    <w:rsid w:val="00C77070"/>
    <w:rsid w:val="00C80F24"/>
    <w:rsid w:val="00C813F3"/>
    <w:rsid w:val="00C81738"/>
    <w:rsid w:val="00C821FD"/>
    <w:rsid w:val="00C833F1"/>
    <w:rsid w:val="00C83B5A"/>
    <w:rsid w:val="00C84239"/>
    <w:rsid w:val="00C84D1C"/>
    <w:rsid w:val="00C86CAA"/>
    <w:rsid w:val="00C87344"/>
    <w:rsid w:val="00C87A70"/>
    <w:rsid w:val="00C87FDA"/>
    <w:rsid w:val="00C90ACA"/>
    <w:rsid w:val="00C90B8A"/>
    <w:rsid w:val="00C914CD"/>
    <w:rsid w:val="00C92CA7"/>
    <w:rsid w:val="00C92D39"/>
    <w:rsid w:val="00C95014"/>
    <w:rsid w:val="00C95C8F"/>
    <w:rsid w:val="00C96645"/>
    <w:rsid w:val="00C976E7"/>
    <w:rsid w:val="00CA233D"/>
    <w:rsid w:val="00CA2381"/>
    <w:rsid w:val="00CA2B80"/>
    <w:rsid w:val="00CA3F93"/>
    <w:rsid w:val="00CA409D"/>
    <w:rsid w:val="00CA462A"/>
    <w:rsid w:val="00CA494E"/>
    <w:rsid w:val="00CA4D99"/>
    <w:rsid w:val="00CA5A9D"/>
    <w:rsid w:val="00CA68AB"/>
    <w:rsid w:val="00CA6EF3"/>
    <w:rsid w:val="00CB0097"/>
    <w:rsid w:val="00CB047D"/>
    <w:rsid w:val="00CB3D01"/>
    <w:rsid w:val="00CB3F95"/>
    <w:rsid w:val="00CB6101"/>
    <w:rsid w:val="00CB679D"/>
    <w:rsid w:val="00CB761C"/>
    <w:rsid w:val="00CB7761"/>
    <w:rsid w:val="00CC0096"/>
    <w:rsid w:val="00CC185B"/>
    <w:rsid w:val="00CC45FD"/>
    <w:rsid w:val="00CC4EBF"/>
    <w:rsid w:val="00CC532C"/>
    <w:rsid w:val="00CC5885"/>
    <w:rsid w:val="00CC5BA5"/>
    <w:rsid w:val="00CC5BB9"/>
    <w:rsid w:val="00CC65A3"/>
    <w:rsid w:val="00CD04E7"/>
    <w:rsid w:val="00CD08B6"/>
    <w:rsid w:val="00CD2386"/>
    <w:rsid w:val="00CD5745"/>
    <w:rsid w:val="00CD6515"/>
    <w:rsid w:val="00CD7824"/>
    <w:rsid w:val="00CE033A"/>
    <w:rsid w:val="00CE04A8"/>
    <w:rsid w:val="00CE1DD3"/>
    <w:rsid w:val="00CE2451"/>
    <w:rsid w:val="00CE2C96"/>
    <w:rsid w:val="00CE423C"/>
    <w:rsid w:val="00CE46B3"/>
    <w:rsid w:val="00CE544F"/>
    <w:rsid w:val="00CE59ED"/>
    <w:rsid w:val="00CE5B43"/>
    <w:rsid w:val="00CE66F3"/>
    <w:rsid w:val="00CE70B7"/>
    <w:rsid w:val="00CE7673"/>
    <w:rsid w:val="00CF0A25"/>
    <w:rsid w:val="00CF1A4D"/>
    <w:rsid w:val="00CF2FB0"/>
    <w:rsid w:val="00CF3657"/>
    <w:rsid w:val="00CF3BB9"/>
    <w:rsid w:val="00CF3C41"/>
    <w:rsid w:val="00CF497B"/>
    <w:rsid w:val="00CF4ED8"/>
    <w:rsid w:val="00CF7364"/>
    <w:rsid w:val="00CF7728"/>
    <w:rsid w:val="00CF7A31"/>
    <w:rsid w:val="00CF7B2B"/>
    <w:rsid w:val="00D00747"/>
    <w:rsid w:val="00D0075E"/>
    <w:rsid w:val="00D01231"/>
    <w:rsid w:val="00D03413"/>
    <w:rsid w:val="00D07E65"/>
    <w:rsid w:val="00D12A12"/>
    <w:rsid w:val="00D14FE5"/>
    <w:rsid w:val="00D162D9"/>
    <w:rsid w:val="00D163F2"/>
    <w:rsid w:val="00D16E1C"/>
    <w:rsid w:val="00D17C7E"/>
    <w:rsid w:val="00D20E8E"/>
    <w:rsid w:val="00D22A24"/>
    <w:rsid w:val="00D22D1D"/>
    <w:rsid w:val="00D23574"/>
    <w:rsid w:val="00D23D79"/>
    <w:rsid w:val="00D24C2F"/>
    <w:rsid w:val="00D24F63"/>
    <w:rsid w:val="00D252D4"/>
    <w:rsid w:val="00D25591"/>
    <w:rsid w:val="00D26338"/>
    <w:rsid w:val="00D305CC"/>
    <w:rsid w:val="00D30A96"/>
    <w:rsid w:val="00D31746"/>
    <w:rsid w:val="00D31A53"/>
    <w:rsid w:val="00D3369E"/>
    <w:rsid w:val="00D33B74"/>
    <w:rsid w:val="00D33D1C"/>
    <w:rsid w:val="00D354E8"/>
    <w:rsid w:val="00D361B2"/>
    <w:rsid w:val="00D366C4"/>
    <w:rsid w:val="00D36CCC"/>
    <w:rsid w:val="00D41057"/>
    <w:rsid w:val="00D42458"/>
    <w:rsid w:val="00D43590"/>
    <w:rsid w:val="00D448B3"/>
    <w:rsid w:val="00D449E7"/>
    <w:rsid w:val="00D454A2"/>
    <w:rsid w:val="00D45A40"/>
    <w:rsid w:val="00D45F07"/>
    <w:rsid w:val="00D46BEE"/>
    <w:rsid w:val="00D46DE1"/>
    <w:rsid w:val="00D500D3"/>
    <w:rsid w:val="00D50945"/>
    <w:rsid w:val="00D520EE"/>
    <w:rsid w:val="00D532F3"/>
    <w:rsid w:val="00D53E2B"/>
    <w:rsid w:val="00D53E45"/>
    <w:rsid w:val="00D53EA2"/>
    <w:rsid w:val="00D54CCB"/>
    <w:rsid w:val="00D55F94"/>
    <w:rsid w:val="00D57306"/>
    <w:rsid w:val="00D57F26"/>
    <w:rsid w:val="00D624D2"/>
    <w:rsid w:val="00D62584"/>
    <w:rsid w:val="00D63791"/>
    <w:rsid w:val="00D63C56"/>
    <w:rsid w:val="00D63E3D"/>
    <w:rsid w:val="00D65B00"/>
    <w:rsid w:val="00D66B6A"/>
    <w:rsid w:val="00D67408"/>
    <w:rsid w:val="00D6778D"/>
    <w:rsid w:val="00D701A6"/>
    <w:rsid w:val="00D70536"/>
    <w:rsid w:val="00D715FE"/>
    <w:rsid w:val="00D71B31"/>
    <w:rsid w:val="00D7276F"/>
    <w:rsid w:val="00D73201"/>
    <w:rsid w:val="00D74EE6"/>
    <w:rsid w:val="00D759DD"/>
    <w:rsid w:val="00D75E59"/>
    <w:rsid w:val="00D77E0A"/>
    <w:rsid w:val="00D80526"/>
    <w:rsid w:val="00D82A2F"/>
    <w:rsid w:val="00D8320A"/>
    <w:rsid w:val="00D837AF"/>
    <w:rsid w:val="00D85ED5"/>
    <w:rsid w:val="00D86AFA"/>
    <w:rsid w:val="00D86E38"/>
    <w:rsid w:val="00D87532"/>
    <w:rsid w:val="00D91B87"/>
    <w:rsid w:val="00D9257C"/>
    <w:rsid w:val="00D926D2"/>
    <w:rsid w:val="00D92ED3"/>
    <w:rsid w:val="00D92F33"/>
    <w:rsid w:val="00D9321F"/>
    <w:rsid w:val="00D93B91"/>
    <w:rsid w:val="00D95B65"/>
    <w:rsid w:val="00D95FEF"/>
    <w:rsid w:val="00D96354"/>
    <w:rsid w:val="00D96748"/>
    <w:rsid w:val="00D967DC"/>
    <w:rsid w:val="00D96810"/>
    <w:rsid w:val="00D970DD"/>
    <w:rsid w:val="00DA02A7"/>
    <w:rsid w:val="00DA02B4"/>
    <w:rsid w:val="00DA1297"/>
    <w:rsid w:val="00DA525A"/>
    <w:rsid w:val="00DA5938"/>
    <w:rsid w:val="00DA5B55"/>
    <w:rsid w:val="00DA6F18"/>
    <w:rsid w:val="00DB0095"/>
    <w:rsid w:val="00DB4CE9"/>
    <w:rsid w:val="00DB632D"/>
    <w:rsid w:val="00DB711C"/>
    <w:rsid w:val="00DB7360"/>
    <w:rsid w:val="00DB74E3"/>
    <w:rsid w:val="00DB754C"/>
    <w:rsid w:val="00DC0B65"/>
    <w:rsid w:val="00DC2929"/>
    <w:rsid w:val="00DC2EB0"/>
    <w:rsid w:val="00DC5191"/>
    <w:rsid w:val="00DC6137"/>
    <w:rsid w:val="00DC6314"/>
    <w:rsid w:val="00DC6E33"/>
    <w:rsid w:val="00DC79AB"/>
    <w:rsid w:val="00DD0FFC"/>
    <w:rsid w:val="00DD1175"/>
    <w:rsid w:val="00DD2270"/>
    <w:rsid w:val="00DD3993"/>
    <w:rsid w:val="00DD4330"/>
    <w:rsid w:val="00DD68A6"/>
    <w:rsid w:val="00DD71AC"/>
    <w:rsid w:val="00DD79FD"/>
    <w:rsid w:val="00DE002A"/>
    <w:rsid w:val="00DE1AB4"/>
    <w:rsid w:val="00DE35D2"/>
    <w:rsid w:val="00DE52D3"/>
    <w:rsid w:val="00DE5369"/>
    <w:rsid w:val="00DE5BC4"/>
    <w:rsid w:val="00DE64FA"/>
    <w:rsid w:val="00DE6D7B"/>
    <w:rsid w:val="00DF1492"/>
    <w:rsid w:val="00DF320F"/>
    <w:rsid w:val="00DF55E7"/>
    <w:rsid w:val="00DF5BFB"/>
    <w:rsid w:val="00DF5D96"/>
    <w:rsid w:val="00DF682C"/>
    <w:rsid w:val="00DF7872"/>
    <w:rsid w:val="00DF7EAC"/>
    <w:rsid w:val="00E00EA6"/>
    <w:rsid w:val="00E00EB1"/>
    <w:rsid w:val="00E01C43"/>
    <w:rsid w:val="00E02140"/>
    <w:rsid w:val="00E035E9"/>
    <w:rsid w:val="00E03FC3"/>
    <w:rsid w:val="00E0521C"/>
    <w:rsid w:val="00E07167"/>
    <w:rsid w:val="00E10935"/>
    <w:rsid w:val="00E11907"/>
    <w:rsid w:val="00E11D00"/>
    <w:rsid w:val="00E11EF4"/>
    <w:rsid w:val="00E12877"/>
    <w:rsid w:val="00E14253"/>
    <w:rsid w:val="00E14A3D"/>
    <w:rsid w:val="00E16060"/>
    <w:rsid w:val="00E164E0"/>
    <w:rsid w:val="00E21441"/>
    <w:rsid w:val="00E22318"/>
    <w:rsid w:val="00E23F13"/>
    <w:rsid w:val="00E24533"/>
    <w:rsid w:val="00E259B8"/>
    <w:rsid w:val="00E266D9"/>
    <w:rsid w:val="00E2680E"/>
    <w:rsid w:val="00E26EB9"/>
    <w:rsid w:val="00E30EF0"/>
    <w:rsid w:val="00E312F2"/>
    <w:rsid w:val="00E317B5"/>
    <w:rsid w:val="00E321BE"/>
    <w:rsid w:val="00E32833"/>
    <w:rsid w:val="00E329E2"/>
    <w:rsid w:val="00E34EB1"/>
    <w:rsid w:val="00E35BA6"/>
    <w:rsid w:val="00E408B4"/>
    <w:rsid w:val="00E40F98"/>
    <w:rsid w:val="00E414E5"/>
    <w:rsid w:val="00E43F1B"/>
    <w:rsid w:val="00E46121"/>
    <w:rsid w:val="00E468F4"/>
    <w:rsid w:val="00E46B3D"/>
    <w:rsid w:val="00E46D45"/>
    <w:rsid w:val="00E470C7"/>
    <w:rsid w:val="00E47D06"/>
    <w:rsid w:val="00E47EDB"/>
    <w:rsid w:val="00E51EAF"/>
    <w:rsid w:val="00E52F25"/>
    <w:rsid w:val="00E536CF"/>
    <w:rsid w:val="00E5465E"/>
    <w:rsid w:val="00E54C35"/>
    <w:rsid w:val="00E54FEE"/>
    <w:rsid w:val="00E553F6"/>
    <w:rsid w:val="00E5641F"/>
    <w:rsid w:val="00E56CA1"/>
    <w:rsid w:val="00E608C4"/>
    <w:rsid w:val="00E6172E"/>
    <w:rsid w:val="00E61B9F"/>
    <w:rsid w:val="00E62015"/>
    <w:rsid w:val="00E6206B"/>
    <w:rsid w:val="00E628BE"/>
    <w:rsid w:val="00E641DE"/>
    <w:rsid w:val="00E64D0B"/>
    <w:rsid w:val="00E64FE2"/>
    <w:rsid w:val="00E65FBD"/>
    <w:rsid w:val="00E67B53"/>
    <w:rsid w:val="00E70519"/>
    <w:rsid w:val="00E73C54"/>
    <w:rsid w:val="00E75A3C"/>
    <w:rsid w:val="00E773FC"/>
    <w:rsid w:val="00E77E96"/>
    <w:rsid w:val="00E8059B"/>
    <w:rsid w:val="00E807B6"/>
    <w:rsid w:val="00E841C3"/>
    <w:rsid w:val="00E851DD"/>
    <w:rsid w:val="00E85534"/>
    <w:rsid w:val="00E85E18"/>
    <w:rsid w:val="00E8667A"/>
    <w:rsid w:val="00E86DB8"/>
    <w:rsid w:val="00E90B9B"/>
    <w:rsid w:val="00E917C5"/>
    <w:rsid w:val="00E91939"/>
    <w:rsid w:val="00E91E1F"/>
    <w:rsid w:val="00E940D9"/>
    <w:rsid w:val="00E94314"/>
    <w:rsid w:val="00E94D63"/>
    <w:rsid w:val="00E96DA0"/>
    <w:rsid w:val="00EA0C5F"/>
    <w:rsid w:val="00EA0CF1"/>
    <w:rsid w:val="00EA1217"/>
    <w:rsid w:val="00EA366B"/>
    <w:rsid w:val="00EA3AD3"/>
    <w:rsid w:val="00EA5C04"/>
    <w:rsid w:val="00EB1470"/>
    <w:rsid w:val="00EB15D1"/>
    <w:rsid w:val="00EB1D2A"/>
    <w:rsid w:val="00EB4140"/>
    <w:rsid w:val="00EB48F4"/>
    <w:rsid w:val="00EB4FA6"/>
    <w:rsid w:val="00EB5F6C"/>
    <w:rsid w:val="00EB7C8C"/>
    <w:rsid w:val="00EC0614"/>
    <w:rsid w:val="00EC0974"/>
    <w:rsid w:val="00EC224F"/>
    <w:rsid w:val="00EC26FE"/>
    <w:rsid w:val="00EC3064"/>
    <w:rsid w:val="00EC4379"/>
    <w:rsid w:val="00EC5AF8"/>
    <w:rsid w:val="00EC6ADE"/>
    <w:rsid w:val="00EC6B46"/>
    <w:rsid w:val="00EC7A07"/>
    <w:rsid w:val="00EC7C2D"/>
    <w:rsid w:val="00ED0497"/>
    <w:rsid w:val="00ED0677"/>
    <w:rsid w:val="00ED0F3A"/>
    <w:rsid w:val="00ED126D"/>
    <w:rsid w:val="00ED18DA"/>
    <w:rsid w:val="00ED1F8F"/>
    <w:rsid w:val="00ED2A4C"/>
    <w:rsid w:val="00ED4E43"/>
    <w:rsid w:val="00ED5E4D"/>
    <w:rsid w:val="00ED5F40"/>
    <w:rsid w:val="00ED758A"/>
    <w:rsid w:val="00EE16B8"/>
    <w:rsid w:val="00EE35CF"/>
    <w:rsid w:val="00EE5038"/>
    <w:rsid w:val="00EE54C6"/>
    <w:rsid w:val="00EE63AD"/>
    <w:rsid w:val="00EE6523"/>
    <w:rsid w:val="00EF16AB"/>
    <w:rsid w:val="00EF2BEC"/>
    <w:rsid w:val="00EF3386"/>
    <w:rsid w:val="00EF5015"/>
    <w:rsid w:val="00EF509A"/>
    <w:rsid w:val="00EF560C"/>
    <w:rsid w:val="00EF596D"/>
    <w:rsid w:val="00EF6206"/>
    <w:rsid w:val="00EF716D"/>
    <w:rsid w:val="00F017D7"/>
    <w:rsid w:val="00F02223"/>
    <w:rsid w:val="00F02271"/>
    <w:rsid w:val="00F02916"/>
    <w:rsid w:val="00F0325D"/>
    <w:rsid w:val="00F03765"/>
    <w:rsid w:val="00F04852"/>
    <w:rsid w:val="00F04C4C"/>
    <w:rsid w:val="00F051A1"/>
    <w:rsid w:val="00F06800"/>
    <w:rsid w:val="00F075A6"/>
    <w:rsid w:val="00F078F5"/>
    <w:rsid w:val="00F11BFD"/>
    <w:rsid w:val="00F11C62"/>
    <w:rsid w:val="00F12067"/>
    <w:rsid w:val="00F12897"/>
    <w:rsid w:val="00F12F31"/>
    <w:rsid w:val="00F131AA"/>
    <w:rsid w:val="00F136A9"/>
    <w:rsid w:val="00F150FA"/>
    <w:rsid w:val="00F16522"/>
    <w:rsid w:val="00F16603"/>
    <w:rsid w:val="00F216DB"/>
    <w:rsid w:val="00F21922"/>
    <w:rsid w:val="00F2278F"/>
    <w:rsid w:val="00F22A42"/>
    <w:rsid w:val="00F23436"/>
    <w:rsid w:val="00F256A5"/>
    <w:rsid w:val="00F26279"/>
    <w:rsid w:val="00F27960"/>
    <w:rsid w:val="00F31578"/>
    <w:rsid w:val="00F31F19"/>
    <w:rsid w:val="00F3419B"/>
    <w:rsid w:val="00F3693D"/>
    <w:rsid w:val="00F36B50"/>
    <w:rsid w:val="00F36E6C"/>
    <w:rsid w:val="00F4017E"/>
    <w:rsid w:val="00F40254"/>
    <w:rsid w:val="00F40B51"/>
    <w:rsid w:val="00F40B7E"/>
    <w:rsid w:val="00F4185E"/>
    <w:rsid w:val="00F429F9"/>
    <w:rsid w:val="00F42AE8"/>
    <w:rsid w:val="00F432DD"/>
    <w:rsid w:val="00F436A5"/>
    <w:rsid w:val="00F43A82"/>
    <w:rsid w:val="00F43C05"/>
    <w:rsid w:val="00F444FF"/>
    <w:rsid w:val="00F45757"/>
    <w:rsid w:val="00F4586D"/>
    <w:rsid w:val="00F459C4"/>
    <w:rsid w:val="00F46DB3"/>
    <w:rsid w:val="00F47404"/>
    <w:rsid w:val="00F47B5E"/>
    <w:rsid w:val="00F51ACA"/>
    <w:rsid w:val="00F51CD0"/>
    <w:rsid w:val="00F51E98"/>
    <w:rsid w:val="00F52448"/>
    <w:rsid w:val="00F54822"/>
    <w:rsid w:val="00F548D7"/>
    <w:rsid w:val="00F55E26"/>
    <w:rsid w:val="00F57EDE"/>
    <w:rsid w:val="00F60723"/>
    <w:rsid w:val="00F61432"/>
    <w:rsid w:val="00F61951"/>
    <w:rsid w:val="00F61AAE"/>
    <w:rsid w:val="00F61BA0"/>
    <w:rsid w:val="00F63656"/>
    <w:rsid w:val="00F63A3C"/>
    <w:rsid w:val="00F64598"/>
    <w:rsid w:val="00F65D82"/>
    <w:rsid w:val="00F65DDF"/>
    <w:rsid w:val="00F66AB1"/>
    <w:rsid w:val="00F671EF"/>
    <w:rsid w:val="00F67EC6"/>
    <w:rsid w:val="00F70818"/>
    <w:rsid w:val="00F71DA8"/>
    <w:rsid w:val="00F72CC7"/>
    <w:rsid w:val="00F73E94"/>
    <w:rsid w:val="00F74EB2"/>
    <w:rsid w:val="00F7537B"/>
    <w:rsid w:val="00F75684"/>
    <w:rsid w:val="00F76A6F"/>
    <w:rsid w:val="00F77802"/>
    <w:rsid w:val="00F7788F"/>
    <w:rsid w:val="00F806C0"/>
    <w:rsid w:val="00F80915"/>
    <w:rsid w:val="00F81023"/>
    <w:rsid w:val="00F818BD"/>
    <w:rsid w:val="00F82D6A"/>
    <w:rsid w:val="00F82D9B"/>
    <w:rsid w:val="00F83875"/>
    <w:rsid w:val="00F8569E"/>
    <w:rsid w:val="00F85A39"/>
    <w:rsid w:val="00F86BFA"/>
    <w:rsid w:val="00F86F1F"/>
    <w:rsid w:val="00F87123"/>
    <w:rsid w:val="00F90469"/>
    <w:rsid w:val="00F93445"/>
    <w:rsid w:val="00F9396F"/>
    <w:rsid w:val="00F93A14"/>
    <w:rsid w:val="00F942E3"/>
    <w:rsid w:val="00F94A30"/>
    <w:rsid w:val="00F969B0"/>
    <w:rsid w:val="00FA3BD1"/>
    <w:rsid w:val="00FA4585"/>
    <w:rsid w:val="00FA4F21"/>
    <w:rsid w:val="00FA7C11"/>
    <w:rsid w:val="00FB28E9"/>
    <w:rsid w:val="00FB2EE5"/>
    <w:rsid w:val="00FB415F"/>
    <w:rsid w:val="00FB4251"/>
    <w:rsid w:val="00FB43AE"/>
    <w:rsid w:val="00FB58B3"/>
    <w:rsid w:val="00FB6A67"/>
    <w:rsid w:val="00FC0929"/>
    <w:rsid w:val="00FC20FA"/>
    <w:rsid w:val="00FC34C8"/>
    <w:rsid w:val="00FC3506"/>
    <w:rsid w:val="00FC35E4"/>
    <w:rsid w:val="00FC4A93"/>
    <w:rsid w:val="00FC4FB2"/>
    <w:rsid w:val="00FC5C0F"/>
    <w:rsid w:val="00FC5C97"/>
    <w:rsid w:val="00FD0F84"/>
    <w:rsid w:val="00FD17B2"/>
    <w:rsid w:val="00FD1829"/>
    <w:rsid w:val="00FD1979"/>
    <w:rsid w:val="00FD1F71"/>
    <w:rsid w:val="00FD2DF5"/>
    <w:rsid w:val="00FD5491"/>
    <w:rsid w:val="00FD5852"/>
    <w:rsid w:val="00FD59DB"/>
    <w:rsid w:val="00FD64FA"/>
    <w:rsid w:val="00FD6689"/>
    <w:rsid w:val="00FD6C2B"/>
    <w:rsid w:val="00FE0446"/>
    <w:rsid w:val="00FE101B"/>
    <w:rsid w:val="00FE2992"/>
    <w:rsid w:val="00FE34DD"/>
    <w:rsid w:val="00FE352E"/>
    <w:rsid w:val="00FE700A"/>
    <w:rsid w:val="00FF018F"/>
    <w:rsid w:val="00FF1C01"/>
    <w:rsid w:val="00FF2290"/>
    <w:rsid w:val="00FF29F4"/>
    <w:rsid w:val="00FF2D5D"/>
    <w:rsid w:val="00FF429A"/>
    <w:rsid w:val="00FF537C"/>
    <w:rsid w:val="00FF56D0"/>
    <w:rsid w:val="00FF58D9"/>
    <w:rsid w:val="00FF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197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022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rsid w:val="0058467D"/>
    <w:rPr>
      <w:rFonts w:cs="Times New Roman"/>
    </w:rPr>
  </w:style>
  <w:style w:type="paragraph" w:styleId="Rozvrendokumentu">
    <w:name w:val="Document Map"/>
    <w:basedOn w:val="Normln"/>
    <w:link w:val="RozvrendokumentuChar"/>
    <w:rsid w:val="00007195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rsid w:val="001014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rsid w:val="000C048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0C048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7EEE"/>
    <w:rPr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Vývoj průměrných stavů dojnic a průměrné roční užitkovosti </a:t>
            </a:r>
            <a:r>
              <a:rPr lang="en-US" sz="800"/>
              <a:t>(Pramen: ČSÚ)</a:t>
            </a:r>
          </a:p>
        </c:rich>
      </c:tx>
    </c:title>
    <c:plotArea>
      <c:layout>
        <c:manualLayout>
          <c:layoutTarget val="inner"/>
          <c:xMode val="edge"/>
          <c:yMode val="edge"/>
          <c:x val="0.11749368747931277"/>
          <c:y val="8.9764722697798574E-2"/>
          <c:w val="0.77493212876280049"/>
          <c:h val="0.84429631724113663"/>
        </c:manualLayout>
      </c:layout>
      <c:barChart>
        <c:barDir val="col"/>
        <c:grouping val="clustered"/>
        <c:ser>
          <c:idx val="0"/>
          <c:order val="0"/>
          <c:tx>
            <c:strRef>
              <c:f>List1!$B$487</c:f>
              <c:strCache>
                <c:ptCount val="1"/>
                <c:pt idx="0">
                  <c:v>průměrné stavy dojnic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dLbls>
            <c:dLbl>
              <c:idx val="2"/>
              <c:layout>
                <c:manualLayout>
                  <c:x val="-1.8759135357385364E-2"/>
                  <c:y val="-3.3337942348982241E-2"/>
                </c:manualLayout>
              </c:layout>
              <c:showVal val="1"/>
            </c:dLbl>
            <c:txPr>
              <a:bodyPr/>
              <a:lstStyle/>
              <a:p>
                <a:pPr>
                  <a:defRPr sz="800" b="0" i="1" baseline="0"/>
                </a:pPr>
                <a:endParaRPr lang="cs-CZ"/>
              </a:p>
            </c:txPr>
            <c:showVal val="1"/>
          </c:dLbls>
          <c:cat>
            <c:numRef>
              <c:f>List1!$A$488:$A$497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List1!$B$488:$B$497</c:f>
              <c:numCache>
                <c:formatCode>#,##0</c:formatCode>
                <c:ptCount val="10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  <c:pt idx="9">
                  <c:v>372748</c:v>
                </c:pt>
              </c:numCache>
            </c:numRef>
          </c:val>
        </c:ser>
        <c:axId val="96532352"/>
        <c:axId val="96533888"/>
      </c:barChart>
      <c:lineChart>
        <c:grouping val="standard"/>
        <c:ser>
          <c:idx val="1"/>
          <c:order val="1"/>
          <c:tx>
            <c:strRef>
              <c:f>List1!$C$487</c:f>
              <c:strCache>
                <c:ptCount val="1"/>
                <c:pt idx="0">
                  <c:v>roční užitkovost dojnic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marker>
          <c:dLbls>
            <c:dLbl>
              <c:idx val="0"/>
              <c:layout>
                <c:manualLayout>
                  <c:x val="-4.1332667287054911E-2"/>
                  <c:y val="-4.3415632745347994E-2"/>
                </c:manualLayout>
              </c:layout>
              <c:showVal val="1"/>
            </c:dLbl>
            <c:dLbl>
              <c:idx val="1"/>
              <c:layout>
                <c:manualLayout>
                  <c:x val="-4.3240090859447029E-2"/>
                  <c:y val="-4.0127177759894106E-2"/>
                </c:manualLayout>
              </c:layout>
              <c:showVal val="1"/>
            </c:dLbl>
            <c:dLbl>
              <c:idx val="2"/>
              <c:layout>
                <c:manualLayout>
                  <c:x val="-2.5255339434285453E-2"/>
                  <c:y val="-3.7079789828886801E-2"/>
                </c:manualLayout>
              </c:layout>
              <c:showVal val="1"/>
            </c:dLbl>
            <c:dLbl>
              <c:idx val="3"/>
              <c:layout>
                <c:manualLayout>
                  <c:x val="-3.3487599343726152E-2"/>
                  <c:y val="-4.2480106142005494E-2"/>
                </c:manualLayout>
              </c:layout>
              <c:showVal val="1"/>
            </c:dLbl>
            <c:dLbl>
              <c:idx val="4"/>
              <c:layout>
                <c:manualLayout>
                  <c:x val="-3.9740644462854878E-2"/>
                  <c:y val="-4.1544838472126776E-2"/>
                </c:manualLayout>
              </c:layout>
              <c:showVal val="1"/>
            </c:dLbl>
            <c:dLbl>
              <c:idx val="5"/>
              <c:layout>
                <c:manualLayout>
                  <c:x val="-4.2250483464289716E-2"/>
                  <c:y val="-4.1544838472126776E-2"/>
                </c:manualLayout>
              </c:layout>
              <c:showVal val="1"/>
            </c:dLbl>
            <c:dLbl>
              <c:idx val="6"/>
              <c:layout>
                <c:manualLayout>
                  <c:x val="-4.8575319801339577E-2"/>
                  <c:y val="-5.0233609770698892E-2"/>
                </c:manualLayout>
              </c:layout>
              <c:showVal val="1"/>
            </c:dLbl>
            <c:dLbl>
              <c:idx val="7"/>
              <c:layout>
                <c:manualLayout>
                  <c:x val="-5.3064373593087376E-2"/>
                  <c:y val="-4.8121748443033067E-2"/>
                </c:manualLayout>
              </c:layout>
              <c:showVal val="1"/>
            </c:dLbl>
            <c:dLbl>
              <c:idx val="8"/>
              <c:layout>
                <c:manualLayout>
                  <c:x val="-5.1759515640572865E-2"/>
                  <c:y val="-3.8497450541119242E-2"/>
                </c:manualLayout>
              </c:layout>
              <c:showVal val="1"/>
            </c:dLbl>
            <c:dLbl>
              <c:idx val="9"/>
              <c:layout>
                <c:manualLayout>
                  <c:x val="-4.9249526448305214E-2"/>
                  <c:y val="-5.5874993138263891E-2"/>
                </c:manualLayout>
              </c:layout>
              <c:showVal val="1"/>
            </c:dLbl>
            <c:spPr>
              <a:solidFill>
                <a:srgbClr val="FFF6D9"/>
              </a:solidFill>
              <a:ln>
                <a:solidFill>
                  <a:schemeClr val="tx1"/>
                </a:solidFill>
              </a:ln>
            </c:spPr>
            <c:txPr>
              <a:bodyPr/>
              <a:lstStyle/>
              <a:p>
                <a:pPr>
                  <a:defRPr sz="800" b="1"/>
                </a:pPr>
                <a:endParaRPr lang="cs-CZ"/>
              </a:p>
            </c:txPr>
            <c:showVal val="1"/>
          </c:dLbls>
          <c:cat>
            <c:numRef>
              <c:f>List1!$A$488:$A$497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List1!$C$488:$C$497</c:f>
              <c:numCache>
                <c:formatCode>#,##0.00</c:formatCode>
                <c:ptCount val="10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  <c:pt idx="9">
                  <c:v>7443.4</c:v>
                </c:pt>
              </c:numCache>
            </c:numRef>
          </c:val>
        </c:ser>
        <c:marker val="1"/>
        <c:axId val="86859136"/>
        <c:axId val="86857216"/>
      </c:lineChart>
      <c:catAx>
        <c:axId val="96532352"/>
        <c:scaling>
          <c:orientation val="minMax"/>
        </c:scaling>
        <c:axPos val="b"/>
        <c:numFmt formatCode="General" sourceLinked="1"/>
        <c:tickLblPos val="nextTo"/>
        <c:crossAx val="96533888"/>
        <c:crosses val="autoZero"/>
        <c:auto val="1"/>
        <c:lblAlgn val="ctr"/>
        <c:lblOffset val="100"/>
      </c:catAx>
      <c:valAx>
        <c:axId val="96533888"/>
        <c:scaling>
          <c:orientation val="minMax"/>
          <c:max val="460000"/>
          <c:min val="3200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průměrné stavy dojnic v ks (propočet z krmných dnů)</a:t>
                </a:r>
              </a:p>
            </c:rich>
          </c:tx>
        </c:title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96532352"/>
        <c:crosses val="autoZero"/>
        <c:crossBetween val="between"/>
      </c:valAx>
      <c:valAx>
        <c:axId val="86857216"/>
        <c:scaling>
          <c:orientation val="minMax"/>
          <c:max val="9000"/>
          <c:min val="0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roční užitkovost dojnic v l/ks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86859136"/>
        <c:crosses val="max"/>
        <c:crossBetween val="between"/>
      </c:valAx>
      <c:catAx>
        <c:axId val="86859136"/>
        <c:scaling>
          <c:orientation val="minMax"/>
        </c:scaling>
        <c:delete val="1"/>
        <c:axPos val="b"/>
        <c:numFmt formatCode="General" sourceLinked="1"/>
        <c:tickLblPos val="none"/>
        <c:crossAx val="86857216"/>
        <c:crosses val="autoZero"/>
        <c:auto val="1"/>
        <c:lblAlgn val="ctr"/>
        <c:lblOffset val="100"/>
      </c:catAx>
    </c:plotArea>
    <c:legend>
      <c:legendPos val="r"/>
      <c:layout>
        <c:manualLayout>
          <c:xMode val="edge"/>
          <c:yMode val="edge"/>
          <c:x val="0.16577314860754239"/>
          <c:y val="0.80183501006840474"/>
          <c:w val="0.26240230655864538"/>
          <c:h val="7.6380760016050903E-2"/>
        </c:manualLayout>
      </c:layout>
      <c:spPr>
        <a:solidFill>
          <a:srgbClr val="FFF6D9"/>
        </a:solidFill>
      </c:spPr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</c:chart>
  <c:spPr>
    <a:noFill/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000"/>
              <a:t>Nakoupené množství mléka do mlékáren na území ČR a průměrná nákupní cena (CZV) mléka v </a:t>
            </a:r>
            <a:r>
              <a:rPr lang="cs-CZ" sz="1000"/>
              <a:t>období let </a:t>
            </a:r>
            <a:r>
              <a:rPr lang="en-US" sz="1000"/>
              <a:t> 2014 a 2013 </a:t>
            </a:r>
            <a:r>
              <a:rPr lang="cs-CZ" sz="1000"/>
              <a:t> </a:t>
            </a:r>
            <a:r>
              <a:rPr lang="en-US" sz="800"/>
              <a:t>(Pramen: rezortní statistika Mlék (MZe 6-12)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List1!$L$463</c:f>
              <c:strCache>
                <c:ptCount val="1"/>
                <c:pt idx="0">
                  <c:v>nákup mléka do mlékáren 2013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</c:spPr>
          <c:cat>
            <c:strRef>
              <c:f>List1!$K$464:$K$475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List1!$L$464:$L$475</c:f>
              <c:numCache>
                <c:formatCode>General</c:formatCode>
                <c:ptCount val="12"/>
                <c:pt idx="0">
                  <c:v>197072</c:v>
                </c:pt>
                <c:pt idx="1">
                  <c:v>181167</c:v>
                </c:pt>
                <c:pt idx="2">
                  <c:v>202939</c:v>
                </c:pt>
                <c:pt idx="3">
                  <c:v>196074</c:v>
                </c:pt>
                <c:pt idx="4">
                  <c:v>205994</c:v>
                </c:pt>
                <c:pt idx="5">
                  <c:v>194632</c:v>
                </c:pt>
                <c:pt idx="6">
                  <c:v>201853</c:v>
                </c:pt>
                <c:pt idx="7">
                  <c:v>195449</c:v>
                </c:pt>
                <c:pt idx="8">
                  <c:v>186717</c:v>
                </c:pt>
                <c:pt idx="9">
                  <c:v>187304</c:v>
                </c:pt>
                <c:pt idx="10">
                  <c:v>180559</c:v>
                </c:pt>
                <c:pt idx="11">
                  <c:v>189742</c:v>
                </c:pt>
              </c:numCache>
            </c:numRef>
          </c:val>
        </c:ser>
        <c:ser>
          <c:idx val="1"/>
          <c:order val="1"/>
          <c:tx>
            <c:strRef>
              <c:f>List1!$M$463</c:f>
              <c:strCache>
                <c:ptCount val="1"/>
                <c:pt idx="0">
                  <c:v>nákup mléka do mlékáren 2014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List1!$K$464:$K$475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List1!$M$464:$M$475</c:f>
              <c:numCache>
                <c:formatCode>General</c:formatCode>
                <c:ptCount val="12"/>
                <c:pt idx="0">
                  <c:v>195018</c:v>
                </c:pt>
                <c:pt idx="1">
                  <c:v>180596</c:v>
                </c:pt>
                <c:pt idx="2">
                  <c:v>203811</c:v>
                </c:pt>
                <c:pt idx="3">
                  <c:v>197773</c:v>
                </c:pt>
                <c:pt idx="4">
                  <c:v>204200</c:v>
                </c:pt>
                <c:pt idx="5">
                  <c:v>197756</c:v>
                </c:pt>
              </c:numCache>
            </c:numRef>
          </c:val>
        </c:ser>
        <c:axId val="82696448"/>
        <c:axId val="86876544"/>
      </c:barChart>
      <c:lineChart>
        <c:grouping val="standard"/>
        <c:ser>
          <c:idx val="2"/>
          <c:order val="2"/>
          <c:tx>
            <c:strRef>
              <c:f>List1!$N$463</c:f>
              <c:strCache>
                <c:ptCount val="1"/>
                <c:pt idx="0">
                  <c:v>CZV 2013</c:v>
                </c:pt>
              </c:strCache>
            </c:strRef>
          </c:tx>
          <c:spPr>
            <a:ln>
              <a:solidFill>
                <a:schemeClr val="accent1">
                  <a:lumMod val="50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1">
                  <a:lumMod val="50000"/>
                </a:schemeClr>
              </a:solidFill>
              <a:ln>
                <a:solidFill>
                  <a:schemeClr val="accent1">
                    <a:lumMod val="50000"/>
                  </a:schemeClr>
                </a:solidFill>
              </a:ln>
            </c:spPr>
          </c:marker>
          <c:cat>
            <c:strRef>
              <c:f>List1!$K$464:$K$475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List1!$N$464:$N$475</c:f>
              <c:numCache>
                <c:formatCode>#,##0.00</c:formatCode>
                <c:ptCount val="12"/>
                <c:pt idx="0">
                  <c:v>7.9300000000000024</c:v>
                </c:pt>
                <c:pt idx="1">
                  <c:v>8.0500000000000007</c:v>
                </c:pt>
                <c:pt idx="2">
                  <c:v>8.120000000000001</c:v>
                </c:pt>
                <c:pt idx="3">
                  <c:v>8.2000000000000011</c:v>
                </c:pt>
                <c:pt idx="4">
                  <c:v>8.2399999999999984</c:v>
                </c:pt>
                <c:pt idx="5">
                  <c:v>8.2900000000000009</c:v>
                </c:pt>
                <c:pt idx="6">
                  <c:v>8.3600000000000048</c:v>
                </c:pt>
                <c:pt idx="7">
                  <c:v>8.5</c:v>
                </c:pt>
                <c:pt idx="8">
                  <c:v>8.7200000000000006</c:v>
                </c:pt>
                <c:pt idx="9">
                  <c:v>8.99</c:v>
                </c:pt>
                <c:pt idx="10">
                  <c:v>9.2800000000000011</c:v>
                </c:pt>
                <c:pt idx="11">
                  <c:v>9.49</c:v>
                </c:pt>
              </c:numCache>
            </c:numRef>
          </c:val>
        </c:ser>
        <c:ser>
          <c:idx val="3"/>
          <c:order val="3"/>
          <c:tx>
            <c:strRef>
              <c:f>List1!$O$463</c:f>
              <c:strCache>
                <c:ptCount val="1"/>
                <c:pt idx="0">
                  <c:v>CZV 2014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circle"/>
            <c:size val="7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cat>
            <c:strRef>
              <c:f>List1!$K$464:$K$475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List1!$O$464:$O$475</c:f>
              <c:numCache>
                <c:formatCode>General</c:formatCode>
                <c:ptCount val="12"/>
                <c:pt idx="0">
                  <c:v>9.66</c:v>
                </c:pt>
                <c:pt idx="1">
                  <c:v>9.7200000000000006</c:v>
                </c:pt>
                <c:pt idx="2">
                  <c:v>9.75</c:v>
                </c:pt>
                <c:pt idx="3">
                  <c:v>9.7200000000000006</c:v>
                </c:pt>
                <c:pt idx="4">
                  <c:v>9.61</c:v>
                </c:pt>
                <c:pt idx="5">
                  <c:v>9.51</c:v>
                </c:pt>
              </c:numCache>
            </c:numRef>
          </c:val>
        </c:ser>
        <c:marker val="1"/>
        <c:axId val="86880640"/>
        <c:axId val="86878464"/>
      </c:lineChart>
      <c:catAx>
        <c:axId val="82696448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86876544"/>
        <c:crosses val="autoZero"/>
        <c:auto val="1"/>
        <c:lblAlgn val="ctr"/>
        <c:lblOffset val="100"/>
      </c:catAx>
      <c:valAx>
        <c:axId val="86876544"/>
        <c:scaling>
          <c:orientation val="minMax"/>
          <c:min val="1650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tis. l mléka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82696448"/>
        <c:crosses val="autoZero"/>
        <c:crossBetween val="between"/>
      </c:valAx>
      <c:valAx>
        <c:axId val="86878464"/>
        <c:scaling>
          <c:orientation val="minMax"/>
          <c:min val="7"/>
        </c:scaling>
        <c:axPos val="r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Kč/l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86880640"/>
        <c:crosses val="max"/>
        <c:crossBetween val="between"/>
      </c:valAx>
      <c:catAx>
        <c:axId val="86880640"/>
        <c:scaling>
          <c:orientation val="minMax"/>
        </c:scaling>
        <c:delete val="1"/>
        <c:axPos val="b"/>
        <c:tickLblPos val="none"/>
        <c:crossAx val="86878464"/>
        <c:crosses val="autoZero"/>
        <c:auto val="1"/>
        <c:lblAlgn val="ctr"/>
        <c:lblOffset val="100"/>
      </c:catAx>
    </c:plotArea>
    <c:legend>
      <c:legendPos val="b"/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</c:chart>
  <c:spPr>
    <a:noFill/>
  </c:sp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000"/>
              <a:t>Ceny mléka v EU-2</a:t>
            </a:r>
            <a:r>
              <a:rPr lang="cs-CZ" sz="1000"/>
              <a:t>8</a:t>
            </a:r>
            <a:r>
              <a:rPr lang="cs-CZ" sz="1000" baseline="0"/>
              <a:t> v květnu </a:t>
            </a:r>
            <a:r>
              <a:rPr lang="en-US" sz="1000"/>
              <a:t>201</a:t>
            </a:r>
            <a:r>
              <a:rPr lang="cs-CZ" sz="1000"/>
              <a:t>3</a:t>
            </a:r>
            <a:r>
              <a:rPr lang="en-US" sz="1000"/>
              <a:t> a 201</a:t>
            </a:r>
            <a:r>
              <a:rPr lang="cs-CZ" sz="1000"/>
              <a:t>4</a:t>
            </a:r>
            <a:r>
              <a:rPr lang="en-US" sz="800"/>
              <a:t> (Pramen: Evropská komise</a:t>
            </a:r>
            <a:r>
              <a:rPr lang="cs-CZ" sz="800" baseline="0"/>
              <a:t>  - Regulation EC No 479/2010)</a:t>
            </a:r>
            <a:r>
              <a:rPr lang="cs-CZ" sz="800"/>
              <a:t> </a:t>
            </a:r>
            <a:endParaRPr lang="en-US" sz="800"/>
          </a:p>
        </c:rich>
      </c:tx>
    </c:title>
    <c:plotArea>
      <c:layout>
        <c:manualLayout>
          <c:layoutTarget val="inner"/>
          <c:xMode val="edge"/>
          <c:yMode val="edge"/>
          <c:x val="7.2787370481310884E-2"/>
          <c:y val="9.9592130337811724E-2"/>
          <c:w val="0.91220235441053887"/>
          <c:h val="0.74124431234585908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accent5">
                <a:lumMod val="60000"/>
                <a:lumOff val="40000"/>
              </a:schemeClr>
            </a:solidFill>
          </c:spPr>
          <c:cat>
            <c:strRef>
              <c:f>List1!$O$3:$O$31</c:f>
              <c:strCache>
                <c:ptCount val="29"/>
                <c:pt idx="0">
                  <c:v>Kypr</c:v>
                </c:pt>
                <c:pt idx="1">
                  <c:v>Finsko</c:v>
                </c:pt>
                <c:pt idx="2">
                  <c:v>Malta</c:v>
                </c:pt>
                <c:pt idx="3">
                  <c:v>Dánsko</c:v>
                </c:pt>
                <c:pt idx="4">
                  <c:v>Řecko</c:v>
                </c:pt>
                <c:pt idx="5">
                  <c:v>Nizozemsko</c:v>
                </c:pt>
                <c:pt idx="6">
                  <c:v>Itálie</c:v>
                </c:pt>
                <c:pt idx="7">
                  <c:v>Švédsko</c:v>
                </c:pt>
                <c:pt idx="8">
                  <c:v>Estonsko</c:v>
                </c:pt>
                <c:pt idx="9">
                  <c:v>Rakousko</c:v>
                </c:pt>
                <c:pt idx="10">
                  <c:v>Německo</c:v>
                </c:pt>
                <c:pt idx="11">
                  <c:v>Lucembursko</c:v>
                </c:pt>
                <c:pt idx="12">
                  <c:v>Spojené království</c:v>
                </c:pt>
                <c:pt idx="13">
                  <c:v>Belgie</c:v>
                </c:pt>
                <c:pt idx="14">
                  <c:v>Vážený průměr EU-27</c:v>
                </c:pt>
                <c:pt idx="15">
                  <c:v>Irsko</c:v>
                </c:pt>
                <c:pt idx="16">
                  <c:v>Chorvatsko</c:v>
                </c:pt>
                <c:pt idx="17">
                  <c:v>Slovinsko</c:v>
                </c:pt>
                <c:pt idx="18">
                  <c:v>Španělsko</c:v>
                </c:pt>
                <c:pt idx="19">
                  <c:v>Portugalsko</c:v>
                </c:pt>
                <c:pt idx="20">
                  <c:v>Bulharsko</c:v>
                </c:pt>
                <c:pt idx="21">
                  <c:v>Slovensko</c:v>
                </c:pt>
                <c:pt idx="22">
                  <c:v>Maďarsko</c:v>
                </c:pt>
                <c:pt idx="23">
                  <c:v>Francie</c:v>
                </c:pt>
                <c:pt idx="24">
                  <c:v>Česká republika</c:v>
                </c:pt>
                <c:pt idx="25">
                  <c:v>Polsko</c:v>
                </c:pt>
                <c:pt idx="26">
                  <c:v>Lotyšsko</c:v>
                </c:pt>
                <c:pt idx="27">
                  <c:v>Rumunsko</c:v>
                </c:pt>
                <c:pt idx="28">
                  <c:v>Litva</c:v>
                </c:pt>
              </c:strCache>
            </c:strRef>
          </c:cat>
          <c:val>
            <c:numRef>
              <c:f>List1!$P$3:$P$31</c:f>
              <c:numCache>
                <c:formatCode>0.00</c:formatCode>
                <c:ptCount val="29"/>
                <c:pt idx="0">
                  <c:v>56.8</c:v>
                </c:pt>
                <c:pt idx="1">
                  <c:v>42.91</c:v>
                </c:pt>
                <c:pt idx="2" formatCode="General">
                  <c:v>52.720000000000013</c:v>
                </c:pt>
                <c:pt idx="3">
                  <c:v>36.5</c:v>
                </c:pt>
                <c:pt idx="4" formatCode="General">
                  <c:v>43.59</c:v>
                </c:pt>
                <c:pt idx="5">
                  <c:v>39.5</c:v>
                </c:pt>
                <c:pt idx="6">
                  <c:v>38.160000000000011</c:v>
                </c:pt>
                <c:pt idx="7">
                  <c:v>38.630000000000003</c:v>
                </c:pt>
                <c:pt idx="8">
                  <c:v>32.65</c:v>
                </c:pt>
                <c:pt idx="9">
                  <c:v>35.93</c:v>
                </c:pt>
                <c:pt idx="10">
                  <c:v>32.99</c:v>
                </c:pt>
                <c:pt idx="11">
                  <c:v>34.4</c:v>
                </c:pt>
                <c:pt idx="12">
                  <c:v>34.15</c:v>
                </c:pt>
                <c:pt idx="13">
                  <c:v>35.71</c:v>
                </c:pt>
                <c:pt idx="14">
                  <c:v>34.25</c:v>
                </c:pt>
                <c:pt idx="15">
                  <c:v>36.220000000000013</c:v>
                </c:pt>
                <c:pt idx="16">
                  <c:v>0</c:v>
                </c:pt>
                <c:pt idx="17">
                  <c:v>31.12</c:v>
                </c:pt>
                <c:pt idx="18">
                  <c:v>32.620000000000012</c:v>
                </c:pt>
                <c:pt idx="19">
                  <c:v>31.6</c:v>
                </c:pt>
                <c:pt idx="20">
                  <c:v>33.04</c:v>
                </c:pt>
                <c:pt idx="21">
                  <c:v>31.54</c:v>
                </c:pt>
                <c:pt idx="22">
                  <c:v>31.38</c:v>
                </c:pt>
                <c:pt idx="23">
                  <c:v>31.979999999999986</c:v>
                </c:pt>
                <c:pt idx="24" formatCode="#,##0.00">
                  <c:v>32.03</c:v>
                </c:pt>
                <c:pt idx="25">
                  <c:v>30.03</c:v>
                </c:pt>
                <c:pt idx="26">
                  <c:v>29.67</c:v>
                </c:pt>
                <c:pt idx="27">
                  <c:v>28.87</c:v>
                </c:pt>
                <c:pt idx="28">
                  <c:v>28.82</c:v>
                </c:pt>
              </c:numCache>
            </c:numRef>
          </c:val>
        </c:ser>
        <c:ser>
          <c:idx val="1"/>
          <c:order val="1"/>
          <c:spPr>
            <a:solidFill>
              <a:schemeClr val="accent5">
                <a:lumMod val="50000"/>
              </a:schemeClr>
            </a:solidFill>
          </c:spPr>
          <c:dPt>
            <c:idx val="14"/>
            <c:spPr>
              <a:solidFill>
                <a:srgbClr val="00B050"/>
              </a:solidFill>
            </c:spPr>
          </c:dPt>
          <c:dLbls>
            <c:dLbl>
              <c:idx val="14"/>
              <c:spPr>
                <a:solidFill>
                  <a:schemeClr val="accent3">
                    <a:lumMod val="40000"/>
                    <a:lumOff val="60000"/>
                  </a:schemeClr>
                </a:solidFill>
              </c:spPr>
              <c:txPr>
                <a:bodyPr rot="-5400000" vert="horz"/>
                <a:lstStyle/>
                <a:p>
                  <a:pPr>
                    <a:defRPr sz="800" b="1"/>
                  </a:pPr>
                  <a:endParaRPr lang="cs-CZ"/>
                </a:p>
              </c:txPr>
            </c:dLbl>
            <c:dLbl>
              <c:idx val="24"/>
              <c:spPr>
                <a:solidFill>
                  <a:srgbClr val="4BACC6">
                    <a:lumMod val="20000"/>
                    <a:lumOff val="80000"/>
                  </a:srgbClr>
                </a:solidFill>
              </c:spPr>
              <c:txPr>
                <a:bodyPr rot="-5400000" vert="horz"/>
                <a:lstStyle/>
                <a:p>
                  <a:pPr>
                    <a:defRPr sz="800" b="1"/>
                  </a:pPr>
                  <a:endParaRPr lang="cs-CZ"/>
                </a:p>
              </c:txPr>
            </c:dLbl>
            <c:spPr>
              <a:noFill/>
            </c:spPr>
            <c:txPr>
              <a:bodyPr rot="-5400000" vert="horz"/>
              <a:lstStyle/>
              <a:p>
                <a:pPr>
                  <a:defRPr sz="800" b="1"/>
                </a:pPr>
                <a:endParaRPr lang="cs-CZ"/>
              </a:p>
            </c:txPr>
            <c:showVal val="1"/>
          </c:dLbls>
          <c:cat>
            <c:strRef>
              <c:f>List1!$O$3:$O$31</c:f>
              <c:strCache>
                <c:ptCount val="29"/>
                <c:pt idx="0">
                  <c:v>Kypr</c:v>
                </c:pt>
                <c:pt idx="1">
                  <c:v>Finsko</c:v>
                </c:pt>
                <c:pt idx="2">
                  <c:v>Malta</c:v>
                </c:pt>
                <c:pt idx="3">
                  <c:v>Dánsko</c:v>
                </c:pt>
                <c:pt idx="4">
                  <c:v>Řecko</c:v>
                </c:pt>
                <c:pt idx="5">
                  <c:v>Nizozemsko</c:v>
                </c:pt>
                <c:pt idx="6">
                  <c:v>Itálie</c:v>
                </c:pt>
                <c:pt idx="7">
                  <c:v>Švédsko</c:v>
                </c:pt>
                <c:pt idx="8">
                  <c:v>Estonsko</c:v>
                </c:pt>
                <c:pt idx="9">
                  <c:v>Rakousko</c:v>
                </c:pt>
                <c:pt idx="10">
                  <c:v>Německo</c:v>
                </c:pt>
                <c:pt idx="11">
                  <c:v>Lucembursko</c:v>
                </c:pt>
                <c:pt idx="12">
                  <c:v>Spojené království</c:v>
                </c:pt>
                <c:pt idx="13">
                  <c:v>Belgie</c:v>
                </c:pt>
                <c:pt idx="14">
                  <c:v>Vážený průměr EU-27</c:v>
                </c:pt>
                <c:pt idx="15">
                  <c:v>Irsko</c:v>
                </c:pt>
                <c:pt idx="16">
                  <c:v>Chorvatsko</c:v>
                </c:pt>
                <c:pt idx="17">
                  <c:v>Slovinsko</c:v>
                </c:pt>
                <c:pt idx="18">
                  <c:v>Španělsko</c:v>
                </c:pt>
                <c:pt idx="19">
                  <c:v>Portugalsko</c:v>
                </c:pt>
                <c:pt idx="20">
                  <c:v>Bulharsko</c:v>
                </c:pt>
                <c:pt idx="21">
                  <c:v>Slovensko</c:v>
                </c:pt>
                <c:pt idx="22">
                  <c:v>Maďarsko</c:v>
                </c:pt>
                <c:pt idx="23">
                  <c:v>Francie</c:v>
                </c:pt>
                <c:pt idx="24">
                  <c:v>Česká republika</c:v>
                </c:pt>
                <c:pt idx="25">
                  <c:v>Polsko</c:v>
                </c:pt>
                <c:pt idx="26">
                  <c:v>Lotyšsko</c:v>
                </c:pt>
                <c:pt idx="27">
                  <c:v>Rumunsko</c:v>
                </c:pt>
                <c:pt idx="28">
                  <c:v>Litva</c:v>
                </c:pt>
              </c:strCache>
            </c:strRef>
          </c:cat>
          <c:val>
            <c:numRef>
              <c:f>List1!$Q$3:$Q$31</c:f>
              <c:numCache>
                <c:formatCode>0.00</c:formatCode>
                <c:ptCount val="29"/>
                <c:pt idx="0">
                  <c:v>55.86</c:v>
                </c:pt>
                <c:pt idx="1">
                  <c:v>46.05</c:v>
                </c:pt>
                <c:pt idx="2" formatCode="#,##0.00">
                  <c:v>45.68</c:v>
                </c:pt>
                <c:pt idx="3">
                  <c:v>43</c:v>
                </c:pt>
                <c:pt idx="4">
                  <c:v>42.730000000000011</c:v>
                </c:pt>
                <c:pt idx="5">
                  <c:v>42</c:v>
                </c:pt>
                <c:pt idx="6">
                  <c:v>41.61</c:v>
                </c:pt>
                <c:pt idx="7">
                  <c:v>40.849999999999994</c:v>
                </c:pt>
                <c:pt idx="8">
                  <c:v>39.630000000000003</c:v>
                </c:pt>
                <c:pt idx="9">
                  <c:v>39.56</c:v>
                </c:pt>
                <c:pt idx="10">
                  <c:v>38.870000000000005</c:v>
                </c:pt>
                <c:pt idx="11">
                  <c:v>38.75</c:v>
                </c:pt>
                <c:pt idx="12">
                  <c:v>38.74</c:v>
                </c:pt>
                <c:pt idx="13">
                  <c:v>38.01</c:v>
                </c:pt>
                <c:pt idx="14" formatCode="#,##0.00">
                  <c:v>37.809999999999995</c:v>
                </c:pt>
                <c:pt idx="15">
                  <c:v>37.1</c:v>
                </c:pt>
                <c:pt idx="16" formatCode="General">
                  <c:v>36.309999999999995</c:v>
                </c:pt>
                <c:pt idx="17">
                  <c:v>35.61</c:v>
                </c:pt>
                <c:pt idx="18">
                  <c:v>35.44</c:v>
                </c:pt>
                <c:pt idx="19">
                  <c:v>35.43</c:v>
                </c:pt>
                <c:pt idx="20">
                  <c:v>34.89</c:v>
                </c:pt>
                <c:pt idx="21">
                  <c:v>34.47</c:v>
                </c:pt>
                <c:pt idx="22">
                  <c:v>34.43</c:v>
                </c:pt>
                <c:pt idx="23">
                  <c:v>34.230000000000011</c:v>
                </c:pt>
                <c:pt idx="24" formatCode="#,##0.00">
                  <c:v>34.11</c:v>
                </c:pt>
                <c:pt idx="25">
                  <c:v>32.94</c:v>
                </c:pt>
                <c:pt idx="26">
                  <c:v>31.759999999999987</c:v>
                </c:pt>
                <c:pt idx="27" formatCode="General">
                  <c:v>29.87</c:v>
                </c:pt>
                <c:pt idx="28">
                  <c:v>27.74</c:v>
                </c:pt>
              </c:numCache>
            </c:numRef>
          </c:val>
        </c:ser>
        <c:axId val="91934080"/>
        <c:axId val="91939968"/>
      </c:barChart>
      <c:catAx>
        <c:axId val="91934080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>
                <a:latin typeface="Times New Roman" pitchFamily="18" charset="0"/>
                <a:cs typeface="Times New Roman" pitchFamily="18" charset="0"/>
              </a:defRPr>
            </a:pPr>
            <a:endParaRPr lang="cs-CZ"/>
          </a:p>
        </c:txPr>
        <c:crossAx val="91939968"/>
        <c:crosses val="autoZero"/>
        <c:auto val="1"/>
        <c:lblAlgn val="ctr"/>
        <c:lblOffset val="100"/>
      </c:catAx>
      <c:valAx>
        <c:axId val="91939968"/>
        <c:scaling>
          <c:orientation val="minMax"/>
          <c:min val="2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EUR/100 kg</a:t>
                </a:r>
              </a:p>
            </c:rich>
          </c:tx>
        </c:title>
        <c:numFmt formatCode="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91934080"/>
        <c:crosses val="autoZero"/>
        <c:crossBetween val="between"/>
      </c:valAx>
      <c:spPr>
        <a:noFill/>
        <a:ln w="25400">
          <a:noFill/>
        </a:ln>
      </c:spPr>
    </c:plotArea>
    <c:plotVisOnly val="1"/>
  </c:chart>
  <c:spPr>
    <a:noFill/>
    <a:ln>
      <a:solidFill>
        <a:schemeClr val="tx1"/>
      </a:solidFill>
    </a:ln>
  </c:sp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000"/>
              <a:t>Meziroční změny cen za syrové kravské mléko </a:t>
            </a:r>
            <a:r>
              <a:rPr lang="cs-CZ" sz="1000"/>
              <a:t>v % </a:t>
            </a:r>
            <a:r>
              <a:rPr lang="en-US" sz="1000"/>
              <a:t>(porovnání </a:t>
            </a:r>
            <a:r>
              <a:rPr lang="cs-CZ" sz="1000"/>
              <a:t>cen za květen</a:t>
            </a:r>
            <a:r>
              <a:rPr lang="en-US" sz="1000"/>
              <a:t> 2014/</a:t>
            </a:r>
            <a:r>
              <a:rPr lang="cs-CZ" sz="1000"/>
              <a:t>květen </a:t>
            </a:r>
            <a:r>
              <a:rPr lang="en-US" sz="1000"/>
              <a:t>2013) </a:t>
            </a:r>
            <a:r>
              <a:rPr lang="en-US" sz="800"/>
              <a:t>Pramen: </a:t>
            </a:r>
            <a:r>
              <a:rPr lang="cs-CZ" sz="800"/>
              <a:t>Evropská</a:t>
            </a:r>
            <a:r>
              <a:rPr lang="cs-CZ" sz="800" baseline="0"/>
              <a:t> komise</a:t>
            </a:r>
            <a:endParaRPr lang="en-US" sz="800"/>
          </a:p>
        </c:rich>
      </c:tx>
      <c:layout>
        <c:manualLayout>
          <c:xMode val="edge"/>
          <c:yMode val="edge"/>
          <c:x val="0.14183111523527386"/>
          <c:y val="6.1215056204579746E-2"/>
        </c:manualLayout>
      </c:layout>
    </c:title>
    <c:plotArea>
      <c:layout>
        <c:manualLayout>
          <c:layoutTarget val="inner"/>
          <c:xMode val="edge"/>
          <c:yMode val="edge"/>
          <c:x val="2.235166420650014E-2"/>
          <c:y val="0.19106291899313207"/>
          <c:w val="0.87816502449028178"/>
          <c:h val="0.74604550355810673"/>
        </c:manualLayout>
      </c:layout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10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20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10"/>
              <c:numFmt formatCode="#,##0.0" sourceLinked="0"/>
              <c:spPr/>
              <c:txPr>
                <a:bodyPr/>
                <a:lstStyle/>
                <a:p>
                  <a:pPr>
                    <a:defRPr sz="800" b="1">
                      <a:solidFill>
                        <a:srgbClr val="00B050"/>
                      </a:solidFill>
                    </a:defRPr>
                  </a:pPr>
                  <a:endParaRPr lang="cs-CZ"/>
                </a:p>
              </c:txPr>
            </c:dLbl>
            <c:dLbl>
              <c:idx val="20"/>
              <c:numFmt formatCode="#,##0.0" sourceLinked="0"/>
              <c:spPr/>
              <c:txPr>
                <a:bodyPr/>
                <a:lstStyle/>
                <a:p>
                  <a:pPr>
                    <a:defRPr sz="800" b="1">
                      <a:solidFill>
                        <a:srgbClr val="00B050"/>
                      </a:solidFill>
                    </a:defRPr>
                  </a:pPr>
                  <a:endParaRPr lang="cs-CZ"/>
                </a:p>
              </c:txPr>
            </c:dLbl>
            <c:numFmt formatCode="#,##0.0" sourceLinked="0"/>
            <c:txPr>
              <a:bodyPr/>
              <a:lstStyle/>
              <a:p>
                <a:pPr>
                  <a:defRPr sz="800"/>
                </a:pPr>
                <a:endParaRPr lang="cs-CZ"/>
              </a:p>
            </c:txPr>
            <c:showVal val="1"/>
          </c:dLbls>
          <c:cat>
            <c:strRef>
              <c:f>List1!$U$3:$U$30</c:f>
              <c:strCache>
                <c:ptCount val="28"/>
                <c:pt idx="0">
                  <c:v>Malta</c:v>
                </c:pt>
                <c:pt idx="1">
                  <c:v>Litva</c:v>
                </c:pt>
                <c:pt idx="2">
                  <c:v>Řecko</c:v>
                </c:pt>
                <c:pt idx="3">
                  <c:v>Kypr</c:v>
                </c:pt>
                <c:pt idx="4">
                  <c:v>Irsko</c:v>
                </c:pt>
                <c:pt idx="5">
                  <c:v>Rumunsko</c:v>
                </c:pt>
                <c:pt idx="6">
                  <c:v>Bulharsko</c:v>
                </c:pt>
                <c:pt idx="7">
                  <c:v>Švédsko</c:v>
                </c:pt>
                <c:pt idx="8">
                  <c:v>Nizozemsko</c:v>
                </c:pt>
                <c:pt idx="9">
                  <c:v>Belgie</c:v>
                </c:pt>
                <c:pt idx="10">
                  <c:v>Česká republika</c:v>
                </c:pt>
                <c:pt idx="11">
                  <c:v>Francie</c:v>
                </c:pt>
                <c:pt idx="12">
                  <c:v>Lotyšsko</c:v>
                </c:pt>
                <c:pt idx="13">
                  <c:v>Finsko</c:v>
                </c:pt>
                <c:pt idx="14">
                  <c:v>Španělsko</c:v>
                </c:pt>
                <c:pt idx="15">
                  <c:v>Itálie</c:v>
                </c:pt>
                <c:pt idx="16">
                  <c:v>Slovensko</c:v>
                </c:pt>
                <c:pt idx="17">
                  <c:v>Polsko</c:v>
                </c:pt>
                <c:pt idx="18">
                  <c:v>Maďarsko</c:v>
                </c:pt>
                <c:pt idx="19">
                  <c:v>Rakousko</c:v>
                </c:pt>
                <c:pt idx="20">
                  <c:v>Vážený průměr EU-27</c:v>
                </c:pt>
                <c:pt idx="21">
                  <c:v>Portugalsko</c:v>
                </c:pt>
                <c:pt idx="22">
                  <c:v>Lucembursko</c:v>
                </c:pt>
                <c:pt idx="23">
                  <c:v>Spojené království</c:v>
                </c:pt>
                <c:pt idx="24">
                  <c:v>Slovinsko</c:v>
                </c:pt>
                <c:pt idx="25">
                  <c:v>Dánsko</c:v>
                </c:pt>
                <c:pt idx="26">
                  <c:v>Německo</c:v>
                </c:pt>
                <c:pt idx="27">
                  <c:v>Estonsko</c:v>
                </c:pt>
              </c:strCache>
            </c:strRef>
          </c:cat>
          <c:val>
            <c:numRef>
              <c:f>List1!$V$3:$V$30</c:f>
              <c:numCache>
                <c:formatCode>0.0</c:formatCode>
                <c:ptCount val="28"/>
                <c:pt idx="0">
                  <c:v>-13.353566009104753</c:v>
                </c:pt>
                <c:pt idx="1">
                  <c:v>-3.7473976405274301</c:v>
                </c:pt>
                <c:pt idx="2">
                  <c:v>-1.9729295710025383</c:v>
                </c:pt>
                <c:pt idx="3">
                  <c:v>-1.6549295774647839</c:v>
                </c:pt>
                <c:pt idx="4">
                  <c:v>2.4295969077857649</c:v>
                </c:pt>
                <c:pt idx="5">
                  <c:v>3.4638032559750656</c:v>
                </c:pt>
                <c:pt idx="6">
                  <c:v>5.5992736077481924</c:v>
                </c:pt>
                <c:pt idx="7">
                  <c:v>5.7468288894641564</c:v>
                </c:pt>
                <c:pt idx="8">
                  <c:v>6.3291139240506169</c:v>
                </c:pt>
                <c:pt idx="9">
                  <c:v>6.4407728927471393</c:v>
                </c:pt>
                <c:pt idx="10">
                  <c:v>6.4939119575398045</c:v>
                </c:pt>
                <c:pt idx="11">
                  <c:v>7.0356472795497069</c:v>
                </c:pt>
                <c:pt idx="12">
                  <c:v>7.0441523424334349</c:v>
                </c:pt>
                <c:pt idx="13">
                  <c:v>7.3176415753903399</c:v>
                </c:pt>
                <c:pt idx="14">
                  <c:v>8.6450030656039161</c:v>
                </c:pt>
                <c:pt idx="15">
                  <c:v>9.0408805031446668</c:v>
                </c:pt>
                <c:pt idx="16">
                  <c:v>9.2897907419150219</c:v>
                </c:pt>
                <c:pt idx="17">
                  <c:v>9.6903096903096895</c:v>
                </c:pt>
                <c:pt idx="18">
                  <c:v>9.7195666029318009</c:v>
                </c:pt>
                <c:pt idx="19">
                  <c:v>10.102978012802694</c:v>
                </c:pt>
                <c:pt idx="20">
                  <c:v>10.394160583941598</c:v>
                </c:pt>
                <c:pt idx="21">
                  <c:v>12.120253164556948</c:v>
                </c:pt>
                <c:pt idx="22">
                  <c:v>12.645348837209324</c:v>
                </c:pt>
                <c:pt idx="23">
                  <c:v>13.440702781844818</c:v>
                </c:pt>
                <c:pt idx="24">
                  <c:v>14.428020565552698</c:v>
                </c:pt>
                <c:pt idx="25">
                  <c:v>17.808219178082187</c:v>
                </c:pt>
                <c:pt idx="26">
                  <c:v>17.823582903910211</c:v>
                </c:pt>
                <c:pt idx="27">
                  <c:v>21.378254211332319</c:v>
                </c:pt>
              </c:numCache>
            </c:numRef>
          </c:val>
        </c:ser>
        <c:dLbls>
          <c:showVal val="1"/>
        </c:dLbls>
        <c:axId val="91986560"/>
        <c:axId val="91988352"/>
      </c:barChart>
      <c:catAx>
        <c:axId val="91986560"/>
        <c:scaling>
          <c:orientation val="minMax"/>
        </c:scaling>
        <c:axPos val="l"/>
        <c:majorGridlines/>
        <c:min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inorGridlines>
        <c:tickLblPos val="high"/>
        <c:txPr>
          <a:bodyPr rot="0" anchor="ctr" anchorCtr="0"/>
          <a:lstStyle/>
          <a:p>
            <a:pPr>
              <a:defRPr sz="800"/>
            </a:pPr>
            <a:endParaRPr lang="cs-CZ"/>
          </a:p>
        </c:txPr>
        <c:crossAx val="91988352"/>
        <c:crossesAt val="0"/>
        <c:auto val="1"/>
        <c:lblAlgn val="ctr"/>
        <c:lblOffset val="1"/>
        <c:tickLblSkip val="1"/>
        <c:tickMarkSkip val="1"/>
      </c:catAx>
      <c:valAx>
        <c:axId val="91988352"/>
        <c:scaling>
          <c:orientation val="minMax"/>
          <c:max val="30"/>
        </c:scaling>
        <c:axPos val="b"/>
        <c:majorGridlines/>
        <c:numFmt formatCode="0.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91986560"/>
        <c:crossesAt val="1"/>
        <c:crossBetween val="between"/>
        <c:majorUnit val="10"/>
        <c:minorUnit val="1"/>
      </c:valAx>
    </c:plotArea>
    <c:plotVisOnly val="1"/>
  </c:chart>
  <c:spPr>
    <a:ln>
      <a:solidFill>
        <a:sysClr val="windowText" lastClr="000000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 b="1" i="0" baseline="0"/>
              <a:t>Vývoz mléčné suroviny z ČR (položka KN 0401 20 99) </a:t>
            </a:r>
            <a:r>
              <a:rPr lang="cs-CZ" sz="1800" b="1" i="0" baseline="0"/>
              <a:t>                                                                                                                      </a:t>
            </a:r>
            <a:r>
              <a:rPr lang="en-US" sz="800" b="1" i="0" baseline="0"/>
              <a:t>(Pramen: ČSÚ, databáze zahraničního obchodu)</a:t>
            </a:r>
            <a:endParaRPr lang="cs-CZ" sz="800"/>
          </a:p>
        </c:rich>
      </c:tx>
    </c:title>
    <c:plotArea>
      <c:layout>
        <c:manualLayout>
          <c:layoutTarget val="inner"/>
          <c:xMode val="edge"/>
          <c:yMode val="edge"/>
          <c:x val="9.4298830868552744E-2"/>
          <c:y val="0.14898254552145143"/>
          <c:w val="0.7808981032378397"/>
          <c:h val="0.80333489250160994"/>
        </c:manualLayout>
      </c:layout>
      <c:barChart>
        <c:barDir val="col"/>
        <c:grouping val="clustered"/>
        <c:ser>
          <c:idx val="0"/>
          <c:order val="0"/>
          <c:tx>
            <c:strRef>
              <c:f>'[ceny a zahr obch 2012a.xlsx]List1'!$L$42</c:f>
              <c:strCache>
                <c:ptCount val="1"/>
                <c:pt idx="0">
                  <c:v>tuny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</c:spPr>
          <c:cat>
            <c:numRef>
              <c:f>'[ceny a zahr obch 2012a.xlsx]List1'!$K$43:$K$96</c:f>
              <c:numCache>
                <c:formatCode>mmm/yy</c:formatCode>
                <c:ptCount val="54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  <c:pt idx="48">
                  <c:v>41640</c:v>
                </c:pt>
                <c:pt idx="49">
                  <c:v>41671</c:v>
                </c:pt>
                <c:pt idx="50">
                  <c:v>41699</c:v>
                </c:pt>
                <c:pt idx="51">
                  <c:v>41730</c:v>
                </c:pt>
                <c:pt idx="52">
                  <c:v>41760</c:v>
                </c:pt>
                <c:pt idx="53">
                  <c:v>41791</c:v>
                </c:pt>
              </c:numCache>
            </c:numRef>
          </c:cat>
          <c:val>
            <c:numRef>
              <c:f>'[ceny a zahr obch 2012a.xlsx]List1'!$L$43:$L$96</c:f>
              <c:numCache>
                <c:formatCode>#,##0.00</c:formatCode>
                <c:ptCount val="54"/>
                <c:pt idx="0">
                  <c:v>33864</c:v>
                </c:pt>
                <c:pt idx="1">
                  <c:v>29874</c:v>
                </c:pt>
                <c:pt idx="2">
                  <c:v>32761</c:v>
                </c:pt>
                <c:pt idx="3">
                  <c:v>33206</c:v>
                </c:pt>
                <c:pt idx="4">
                  <c:v>34972</c:v>
                </c:pt>
                <c:pt idx="5">
                  <c:v>38558</c:v>
                </c:pt>
                <c:pt idx="6">
                  <c:v>36506</c:v>
                </c:pt>
                <c:pt idx="7">
                  <c:v>36740</c:v>
                </c:pt>
                <c:pt idx="8">
                  <c:v>31266</c:v>
                </c:pt>
                <c:pt idx="9">
                  <c:v>30661</c:v>
                </c:pt>
                <c:pt idx="10">
                  <c:v>29311</c:v>
                </c:pt>
                <c:pt idx="11">
                  <c:v>30627</c:v>
                </c:pt>
                <c:pt idx="12">
                  <c:v>32007</c:v>
                </c:pt>
                <c:pt idx="13">
                  <c:v>29323</c:v>
                </c:pt>
                <c:pt idx="14">
                  <c:v>25553</c:v>
                </c:pt>
                <c:pt idx="15">
                  <c:v>37655</c:v>
                </c:pt>
                <c:pt idx="16">
                  <c:v>38492</c:v>
                </c:pt>
                <c:pt idx="17">
                  <c:v>41102</c:v>
                </c:pt>
                <c:pt idx="18">
                  <c:v>41615</c:v>
                </c:pt>
                <c:pt idx="19" formatCode="#,##0">
                  <c:v>41290</c:v>
                </c:pt>
                <c:pt idx="20" formatCode="#,##0">
                  <c:v>39326</c:v>
                </c:pt>
                <c:pt idx="21">
                  <c:v>38763</c:v>
                </c:pt>
                <c:pt idx="22">
                  <c:v>36783</c:v>
                </c:pt>
                <c:pt idx="23">
                  <c:v>37812</c:v>
                </c:pt>
                <c:pt idx="24">
                  <c:v>42708</c:v>
                </c:pt>
                <c:pt idx="25">
                  <c:v>38234</c:v>
                </c:pt>
                <c:pt idx="26">
                  <c:v>42136</c:v>
                </c:pt>
                <c:pt idx="27">
                  <c:v>39887</c:v>
                </c:pt>
                <c:pt idx="28">
                  <c:v>43763</c:v>
                </c:pt>
                <c:pt idx="29">
                  <c:v>48897</c:v>
                </c:pt>
                <c:pt idx="30">
                  <c:v>52095</c:v>
                </c:pt>
                <c:pt idx="31">
                  <c:v>54361</c:v>
                </c:pt>
                <c:pt idx="32">
                  <c:v>48544</c:v>
                </c:pt>
                <c:pt idx="33">
                  <c:v>46427</c:v>
                </c:pt>
                <c:pt idx="34">
                  <c:v>39729</c:v>
                </c:pt>
                <c:pt idx="35">
                  <c:v>37742</c:v>
                </c:pt>
                <c:pt idx="36">
                  <c:v>44678</c:v>
                </c:pt>
                <c:pt idx="37">
                  <c:v>38779</c:v>
                </c:pt>
                <c:pt idx="38">
                  <c:v>42741</c:v>
                </c:pt>
                <c:pt idx="39">
                  <c:v>43326</c:v>
                </c:pt>
                <c:pt idx="40">
                  <c:v>47653</c:v>
                </c:pt>
                <c:pt idx="41">
                  <c:v>48312</c:v>
                </c:pt>
                <c:pt idx="42">
                  <c:v>43274</c:v>
                </c:pt>
                <c:pt idx="43">
                  <c:v>41472</c:v>
                </c:pt>
                <c:pt idx="44">
                  <c:v>40195</c:v>
                </c:pt>
                <c:pt idx="45">
                  <c:v>40061</c:v>
                </c:pt>
                <c:pt idx="46">
                  <c:v>37530</c:v>
                </c:pt>
                <c:pt idx="47">
                  <c:v>40445</c:v>
                </c:pt>
                <c:pt idx="48">
                  <c:v>45554</c:v>
                </c:pt>
                <c:pt idx="49">
                  <c:v>40622</c:v>
                </c:pt>
                <c:pt idx="50">
                  <c:v>46515</c:v>
                </c:pt>
                <c:pt idx="51">
                  <c:v>50693</c:v>
                </c:pt>
                <c:pt idx="52">
                  <c:v>48583</c:v>
                </c:pt>
                <c:pt idx="53">
                  <c:v>47853</c:v>
                </c:pt>
              </c:numCache>
            </c:numRef>
          </c:val>
        </c:ser>
        <c:axId val="96549120"/>
        <c:axId val="96547200"/>
      </c:barChart>
      <c:lineChart>
        <c:grouping val="standard"/>
        <c:ser>
          <c:idx val="1"/>
          <c:order val="1"/>
          <c:tx>
            <c:strRef>
              <c:f>'[ceny a zahr obch 2012a.xlsx]List1'!$M$42</c:f>
              <c:strCache>
                <c:ptCount val="1"/>
                <c:pt idx="0">
                  <c:v>Kč/kg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ymbol val="square"/>
            <c:size val="5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marker>
          <c:cat>
            <c:numRef>
              <c:f>'[ceny a zahr obch 2012a.xlsx]List1'!$K$43:$K$96</c:f>
              <c:numCache>
                <c:formatCode>mmm/yy</c:formatCode>
                <c:ptCount val="54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  <c:pt idx="48">
                  <c:v>41640</c:v>
                </c:pt>
                <c:pt idx="49">
                  <c:v>41671</c:v>
                </c:pt>
                <c:pt idx="50">
                  <c:v>41699</c:v>
                </c:pt>
                <c:pt idx="51">
                  <c:v>41730</c:v>
                </c:pt>
                <c:pt idx="52">
                  <c:v>41760</c:v>
                </c:pt>
                <c:pt idx="53">
                  <c:v>41791</c:v>
                </c:pt>
              </c:numCache>
            </c:numRef>
          </c:cat>
          <c:val>
            <c:numRef>
              <c:f>'[ceny a zahr obch 2012a.xlsx]List1'!$M$43:$M$96</c:f>
              <c:numCache>
                <c:formatCode>#,##0.00</c:formatCode>
                <c:ptCount val="54"/>
                <c:pt idx="0">
                  <c:v>7.4</c:v>
                </c:pt>
                <c:pt idx="1">
                  <c:v>7.52</c:v>
                </c:pt>
                <c:pt idx="2">
                  <c:v>7.46</c:v>
                </c:pt>
                <c:pt idx="3">
                  <c:v>7.53</c:v>
                </c:pt>
                <c:pt idx="4">
                  <c:v>7.53</c:v>
                </c:pt>
                <c:pt idx="5">
                  <c:v>7.8199999999999985</c:v>
                </c:pt>
                <c:pt idx="6">
                  <c:v>7.8199999999999985</c:v>
                </c:pt>
                <c:pt idx="7">
                  <c:v>7.91</c:v>
                </c:pt>
                <c:pt idx="8">
                  <c:v>8.3800000000000008</c:v>
                </c:pt>
                <c:pt idx="9">
                  <c:v>8.4700000000000006</c:v>
                </c:pt>
                <c:pt idx="10">
                  <c:v>8.5500000000000007</c:v>
                </c:pt>
                <c:pt idx="11">
                  <c:v>8.61</c:v>
                </c:pt>
                <c:pt idx="12">
                  <c:v>8.61</c:v>
                </c:pt>
                <c:pt idx="13">
                  <c:v>8.4600000000000026</c:v>
                </c:pt>
                <c:pt idx="14">
                  <c:v>8.58</c:v>
                </c:pt>
                <c:pt idx="15">
                  <c:v>8.52</c:v>
                </c:pt>
                <c:pt idx="16">
                  <c:v>8.49</c:v>
                </c:pt>
                <c:pt idx="17">
                  <c:v>8.629999999999999</c:v>
                </c:pt>
                <c:pt idx="18">
                  <c:v>7.63</c:v>
                </c:pt>
                <c:pt idx="19">
                  <c:v>8.69</c:v>
                </c:pt>
                <c:pt idx="20">
                  <c:v>8.7399999999999984</c:v>
                </c:pt>
                <c:pt idx="21">
                  <c:v>9.0500000000000007</c:v>
                </c:pt>
                <c:pt idx="22">
                  <c:v>9.1399999999999988</c:v>
                </c:pt>
                <c:pt idx="23">
                  <c:v>9.0400000000000009</c:v>
                </c:pt>
                <c:pt idx="24">
                  <c:v>8.8000000000000007</c:v>
                </c:pt>
                <c:pt idx="25">
                  <c:v>8.7399999999999984</c:v>
                </c:pt>
                <c:pt idx="26">
                  <c:v>8.75</c:v>
                </c:pt>
                <c:pt idx="27">
                  <c:v>8.4700000000000006</c:v>
                </c:pt>
                <c:pt idx="28">
                  <c:v>8.2299999999999986</c:v>
                </c:pt>
                <c:pt idx="29">
                  <c:v>7.8199999999999985</c:v>
                </c:pt>
                <c:pt idx="30">
                  <c:v>7.75</c:v>
                </c:pt>
                <c:pt idx="31">
                  <c:v>7.72</c:v>
                </c:pt>
                <c:pt idx="32">
                  <c:v>7.9700000000000024</c:v>
                </c:pt>
                <c:pt idx="33">
                  <c:v>8.15</c:v>
                </c:pt>
                <c:pt idx="34">
                  <c:v>8.4700000000000006</c:v>
                </c:pt>
                <c:pt idx="35">
                  <c:v>8.629999999999999</c:v>
                </c:pt>
                <c:pt idx="36">
                  <c:v>8.56</c:v>
                </c:pt>
                <c:pt idx="37">
                  <c:v>8.69</c:v>
                </c:pt>
                <c:pt idx="38">
                  <c:v>8.7100000000000009</c:v>
                </c:pt>
                <c:pt idx="39">
                  <c:v>8.69</c:v>
                </c:pt>
                <c:pt idx="40">
                  <c:v>8.7399999999999984</c:v>
                </c:pt>
                <c:pt idx="41">
                  <c:v>9.42</c:v>
                </c:pt>
                <c:pt idx="42">
                  <c:v>9</c:v>
                </c:pt>
                <c:pt idx="43">
                  <c:v>9.1399999999999988</c:v>
                </c:pt>
                <c:pt idx="44">
                  <c:v>9.51</c:v>
                </c:pt>
                <c:pt idx="45">
                  <c:v>10.040000000000001</c:v>
                </c:pt>
                <c:pt idx="46">
                  <c:v>10.53</c:v>
                </c:pt>
                <c:pt idx="47">
                  <c:v>10.7</c:v>
                </c:pt>
                <c:pt idx="48">
                  <c:v>10.81</c:v>
                </c:pt>
                <c:pt idx="49">
                  <c:v>10.75</c:v>
                </c:pt>
                <c:pt idx="50">
                  <c:v>10.68</c:v>
                </c:pt>
                <c:pt idx="51">
                  <c:v>10.229999999999999</c:v>
                </c:pt>
                <c:pt idx="52">
                  <c:v>10.1</c:v>
                </c:pt>
                <c:pt idx="53">
                  <c:v>9.92</c:v>
                </c:pt>
              </c:numCache>
            </c:numRef>
          </c:val>
        </c:ser>
        <c:marker val="1"/>
        <c:axId val="96534912"/>
        <c:axId val="96536832"/>
      </c:lineChart>
      <c:dateAx>
        <c:axId val="96534912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sz="700" baseline="0"/>
            </a:pPr>
            <a:endParaRPr lang="cs-CZ"/>
          </a:p>
        </c:txPr>
        <c:crossAx val="96536832"/>
        <c:crosses val="autoZero"/>
        <c:auto val="1"/>
        <c:lblOffset val="100"/>
      </c:dateAx>
      <c:valAx>
        <c:axId val="96536832"/>
        <c:scaling>
          <c:orientation val="minMax"/>
          <c:min val="7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Kč/kg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96534912"/>
        <c:crosses val="autoZero"/>
        <c:crossBetween val="between"/>
      </c:valAx>
      <c:valAx>
        <c:axId val="96547200"/>
        <c:scaling>
          <c:orientation val="minMax"/>
          <c:min val="10000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tuny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96549120"/>
        <c:crosses val="max"/>
        <c:crossBetween val="between"/>
      </c:valAx>
      <c:dateAx>
        <c:axId val="96549120"/>
        <c:scaling>
          <c:orientation val="minMax"/>
        </c:scaling>
        <c:delete val="1"/>
        <c:axPos val="b"/>
        <c:numFmt formatCode="mmm/yy" sourceLinked="1"/>
        <c:tickLblPos val="none"/>
        <c:crossAx val="96547200"/>
        <c:crosses val="autoZero"/>
        <c:auto val="1"/>
        <c:lblOffset val="100"/>
      </c:dateAx>
    </c:plotArea>
    <c:legend>
      <c:legendPos val="r"/>
      <c:layout>
        <c:manualLayout>
          <c:xMode val="edge"/>
          <c:yMode val="edge"/>
          <c:x val="0.11639281062620042"/>
          <c:y val="0.16864076374195203"/>
          <c:w val="0.19713953733669748"/>
          <c:h val="9.9418356809397493E-2"/>
        </c:manualLayout>
      </c:layout>
    </c:legend>
    <c:plotVisOnly val="1"/>
    <c:dispBlanksAs val="gap"/>
  </c:chart>
  <c:spPr>
    <a:noFill/>
  </c:spPr>
  <c:externalData r:id="rId1"/>
</c:chartSpace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0.48427</cdr:x>
      <cdr:y>0.21662</cdr:y>
    </cdr:from>
    <cdr:to>
      <cdr:x>0.60489</cdr:x>
      <cdr:y>0.28093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3228323" y="706351"/>
          <a:ext cx="804104" cy="209692"/>
        </a:xfrm>
        <a:prstGeom xmlns:a="http://schemas.openxmlformats.org/drawingml/2006/main" prst="rect">
          <a:avLst/>
        </a:prstGeom>
        <a:solidFill xmlns:a="http://schemas.openxmlformats.org/drawingml/2006/main">
          <a:srgbClr val="FFE697"/>
        </a:solidFill>
        <a:ln xmlns:a="http://schemas.openxmlformats.org/drawingml/2006/main">
          <a:solidFill>
            <a:srgbClr val="C00000"/>
          </a:solidFill>
        </a:ln>
      </cdr:spPr>
      <cdr:style>
        <a:lnRef xmlns:a="http://schemas.openxmlformats.org/drawingml/2006/main" idx="2">
          <a:schemeClr val="dk1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1000" b="1"/>
            <a:t>9,51 Kč/l</a:t>
          </a:r>
        </a:p>
      </cdr:txBody>
    </cdr:sp>
  </cdr:relSizeAnchor>
  <cdr:relSizeAnchor xmlns:cdr="http://schemas.openxmlformats.org/drawingml/2006/chartDrawing">
    <cdr:from>
      <cdr:x>0.08631</cdr:x>
      <cdr:y>0.54962</cdr:y>
    </cdr:from>
    <cdr:to>
      <cdr:x>0.17139</cdr:x>
      <cdr:y>0.6145</cdr:y>
    </cdr:to>
    <cdr:sp macro="" textlink="">
      <cdr:nvSpPr>
        <cdr:cNvPr id="3" name="TextovéPole 2"/>
        <cdr:cNvSpPr txBox="1"/>
      </cdr:nvSpPr>
      <cdr:spPr>
        <a:xfrm xmlns:a="http://schemas.openxmlformats.org/drawingml/2006/main">
          <a:off x="803313" y="3305061"/>
          <a:ext cx="791838" cy="3901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0.47215</cdr:x>
      <cdr:y>0.43601</cdr:y>
    </cdr:from>
    <cdr:to>
      <cdr:x>0.58587</cdr:x>
      <cdr:y>0.5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3147579" y="1421732"/>
          <a:ext cx="758067" cy="208659"/>
        </a:xfrm>
        <a:prstGeom xmlns:a="http://schemas.openxmlformats.org/drawingml/2006/main" prst="rect">
          <a:avLst/>
        </a:prstGeom>
        <a:solidFill xmlns:a="http://schemas.openxmlformats.org/drawingml/2006/main">
          <a:srgbClr val="FFE697"/>
        </a:solidFill>
        <a:ln xmlns:a="http://schemas.openxmlformats.org/drawingml/2006/main">
          <a:solidFill>
            <a:schemeClr val="accent1">
              <a:lumMod val="50000"/>
            </a:schemeClr>
          </a:solidFill>
        </a:ln>
      </cdr:spPr>
      <cdr:style>
        <a:lnRef xmlns:a="http://schemas.openxmlformats.org/drawingml/2006/main" idx="2">
          <a:schemeClr val="accent2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1000" b="1"/>
            <a:t>8,29 Kč/l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0.83107</cdr:x>
      <cdr:y>0.31489</cdr:y>
    </cdr:from>
    <cdr:to>
      <cdr:x>0.87097</cdr:x>
      <cdr:y>0.37666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7734775" y="1893573"/>
          <a:ext cx="371347" cy="37144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0.83851</cdr:x>
      <cdr:y>0.39591</cdr:y>
    </cdr:from>
    <cdr:to>
      <cdr:x>0.86194</cdr:x>
      <cdr:y>0.47034</cdr:y>
    </cdr:to>
    <cdr:sp macro="" textlink="">
      <cdr:nvSpPr>
        <cdr:cNvPr id="3" name="Šipka dolů 2"/>
        <cdr:cNvSpPr/>
      </cdr:nvSpPr>
      <cdr:spPr>
        <a:xfrm xmlns:a="http://schemas.openxmlformats.org/drawingml/2006/main">
          <a:off x="5647734" y="1526770"/>
          <a:ext cx="157811" cy="287030"/>
        </a:xfrm>
        <a:prstGeom xmlns:a="http://schemas.openxmlformats.org/drawingml/2006/main" prst="down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cs-CZ"/>
        </a:p>
      </cdr:txBody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01278-675D-4F5D-B7E6-5D8D81DCC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2791</Words>
  <Characters>16472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</vt:lpstr>
    </vt:vector>
  </TitlesOfParts>
  <Company>Hewlett-Packard Company</Company>
  <LinksUpToDate>false</LinksUpToDate>
  <CharactersWithSpaces>19225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creator>MZe</dc:creator>
  <cp:lastModifiedBy>10000178</cp:lastModifiedBy>
  <cp:revision>2</cp:revision>
  <cp:lastPrinted>2014-08-15T12:08:00Z</cp:lastPrinted>
  <dcterms:created xsi:type="dcterms:W3CDTF">2014-08-18T08:58:00Z</dcterms:created>
  <dcterms:modified xsi:type="dcterms:W3CDTF">2014-08-18T08:58:00Z</dcterms:modified>
</cp:coreProperties>
</file>