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B" w:rsidRDefault="0011795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FC3506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 xml:space="preserve">dostupná data k 11. </w:t>
            </w:r>
            <w:r w:rsidR="00FC3506">
              <w:rPr>
                <w:b/>
              </w:rPr>
              <w:t>červenci</w:t>
            </w:r>
            <w:r w:rsidR="00FC3506" w:rsidRPr="00FC3506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CE46B3" w:rsidRPr="00FC3506">
              <w:rPr>
                <w:b/>
              </w:rPr>
              <w:t>2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MLÉKO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134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134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134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4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D448B3" w:rsidRPr="00043863" w:rsidRDefault="00D448B3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448B3" w:rsidRPr="002C020B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FC35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93673A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B5114E" w:rsidP="000B309D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9052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309D" w:rsidRPr="00B85074" w:rsidRDefault="00704398" w:rsidP="006E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795"/>
      </w:tblGrid>
      <w:tr w:rsidR="000B309D" w:rsidRPr="005A0163" w:rsidTr="00881E10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0B309D" w:rsidRPr="005A0163" w:rsidRDefault="000B309D" w:rsidP="00537D45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537D45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537D45"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881E10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795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81E10" w:rsidRPr="00881E10" w:rsidTr="00881E10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81E10" w:rsidRPr="00881E10" w:rsidRDefault="00881E10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</w:tr>
      <w:tr w:rsidR="00881E10" w:rsidRPr="00881E10" w:rsidTr="00881E10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81E10" w:rsidRPr="00881E10" w:rsidRDefault="00881E10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</w:tr>
      <w:tr w:rsidR="00881E10" w:rsidRPr="00881E10" w:rsidTr="00881E10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881E10" w:rsidRPr="00881E10" w:rsidRDefault="00881E10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81E10" w:rsidRPr="00881E10" w:rsidTr="00881E10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81E10" w:rsidRPr="00881E10" w:rsidRDefault="00881E10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 w:rsidP="009919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220 891 8</w:t>
            </w:r>
            <w:r w:rsidR="009919DE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230 151 982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230 812 731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81E10" w:rsidRPr="00B85074" w:rsidTr="00881E10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81E10" w:rsidRPr="00881E10" w:rsidRDefault="00881E10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 w:rsidP="009919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 xml:space="preserve">230 221 </w:t>
            </w:r>
            <w:r w:rsidR="009919DE">
              <w:rPr>
                <w:rFonts w:ascii="Calibri" w:hAnsi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242 319 163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243 000 413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5,6</w:t>
            </w:r>
          </w:p>
        </w:tc>
      </w:tr>
      <w:tr w:rsidR="00881E10" w:rsidRPr="00881E10" w:rsidTr="00881E10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881E10" w:rsidRPr="00881E10" w:rsidRDefault="00881E10" w:rsidP="00FD17B2">
            <w:pPr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MEZISOUČET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1 082 430 279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2 988 187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881E10" w:rsidRPr="00881E10" w:rsidRDefault="00881E10" w:rsidP="009919D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1 085 418 </w:t>
            </w:r>
            <w:r w:rsidR="009919D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1 142 288 170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3 110 037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1 145 398 207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95" w:type="dxa"/>
            <w:shd w:val="clear" w:color="auto" w:fill="FDE9D9" w:themeFill="accent6" w:themeFillTint="33"/>
            <w:vAlign w:val="bottom"/>
          </w:tcPr>
          <w:p w:rsidR="00881E10" w:rsidRPr="00881E10" w:rsidRDefault="00881E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81E10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</w:t>
      </w:r>
      <w:r w:rsidR="00FD17B2">
        <w:rPr>
          <w:i/>
          <w:sz w:val="16"/>
          <w:szCs w:val="16"/>
        </w:rPr>
        <w:t>12</w:t>
      </w:r>
      <w:r w:rsidR="009E7303" w:rsidRPr="009574AB">
        <w:rPr>
          <w:i/>
          <w:sz w:val="16"/>
          <w:szCs w:val="16"/>
        </w:rPr>
        <w:t>– předběžný údaj</w:t>
      </w:r>
    </w:p>
    <w:p w:rsidR="006E55A3" w:rsidRDefault="00881E10" w:rsidP="000B309D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881E10" w:rsidRPr="00881E10" w:rsidRDefault="00881E10" w:rsidP="000B309D">
      <w:pPr>
        <w:rPr>
          <w:sz w:val="16"/>
          <w:szCs w:val="16"/>
        </w:rPr>
      </w:pP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6E55A3" w:rsidRDefault="006E55A3" w:rsidP="009574AB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4606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759"/>
        <w:gridCol w:w="95"/>
        <w:gridCol w:w="1316"/>
        <w:gridCol w:w="1396"/>
        <w:gridCol w:w="1705"/>
        <w:gridCol w:w="2130"/>
      </w:tblGrid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759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b/>
                <w:sz w:val="20"/>
              </w:rPr>
            </w:pPr>
          </w:p>
        </w:tc>
        <w:tc>
          <w:tcPr>
            <w:tcW w:w="759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6E55A3" w:rsidRPr="00F017D7" w:rsidRDefault="006E55A3" w:rsidP="00A37A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A37A89">
              <w:rPr>
                <w:b/>
                <w:sz w:val="20"/>
              </w:rPr>
              <w:t>květen</w:t>
            </w:r>
          </w:p>
        </w:tc>
        <w:tc>
          <w:tcPr>
            <w:tcW w:w="1396" w:type="dxa"/>
            <w:shd w:val="clear" w:color="auto" w:fill="auto"/>
          </w:tcPr>
          <w:p w:rsidR="006E55A3" w:rsidRPr="00F017D7" w:rsidRDefault="006E55A3" w:rsidP="00A37A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A37A89">
              <w:rPr>
                <w:b/>
                <w:sz w:val="20"/>
              </w:rPr>
              <w:t>květen</w:t>
            </w:r>
          </w:p>
        </w:tc>
        <w:tc>
          <w:tcPr>
            <w:tcW w:w="1705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6C5047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945 663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1 015 148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69 485,0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107,3</w:t>
            </w:r>
          </w:p>
        </w:tc>
      </w:tr>
      <w:tr w:rsidR="006C5047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922 404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993 783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71 379,0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107,7</w:t>
            </w:r>
          </w:p>
        </w:tc>
      </w:tr>
      <w:tr w:rsidR="006C5047" w:rsidRPr="00F017D7" w:rsidTr="006E55A3">
        <w:trPr>
          <w:trHeight w:val="212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51 996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100 993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48 997,0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194,2</w:t>
            </w:r>
          </w:p>
        </w:tc>
      </w:tr>
      <w:tr w:rsidR="006C5047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3,95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-0,1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98,7</w:t>
            </w:r>
          </w:p>
        </w:tc>
      </w:tr>
      <w:tr w:rsidR="006C5047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6C5047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8,19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8,02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-0,2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97,9</w:t>
            </w:r>
          </w:p>
        </w:tc>
      </w:tr>
      <w:tr w:rsidR="006C5047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759" w:type="dxa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8,21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8,04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-0,2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97,9</w:t>
            </w:r>
          </w:p>
        </w:tc>
      </w:tr>
      <w:tr w:rsidR="006C5047" w:rsidRPr="00F017D7" w:rsidTr="006E55A3">
        <w:trPr>
          <w:trHeight w:val="256"/>
        </w:trPr>
        <w:tc>
          <w:tcPr>
            <w:tcW w:w="10578" w:type="dxa"/>
            <w:gridSpan w:val="7"/>
            <w:shd w:val="clear" w:color="auto" w:fill="auto"/>
          </w:tcPr>
          <w:p w:rsidR="006C5047" w:rsidRPr="00F017D7" w:rsidRDefault="006C5047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6C5047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F017D7" w:rsidRDefault="006C5047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F017D7" w:rsidRDefault="006C5047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267 450,3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275 262,5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7 812,2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102,9</w:t>
            </w:r>
          </w:p>
        </w:tc>
      </w:tr>
      <w:tr w:rsidR="006C5047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42 350,5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39 096,0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-3 254,5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92,3</w:t>
            </w:r>
          </w:p>
        </w:tc>
      </w:tr>
      <w:tr w:rsidR="006C5047" w:rsidRPr="00F017D7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C5047" w:rsidRPr="00F017D7" w:rsidRDefault="006C5047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F017D7" w:rsidRDefault="006C5047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224 296,8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235 412,5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11 115,7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C5047" w:rsidRPr="006822A0" w:rsidRDefault="006C5047" w:rsidP="006E55A3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6822A0" w:rsidRDefault="006C5047" w:rsidP="006E55A3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803,0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754,0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-49,0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93,9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19 908,4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19 225,1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-683,3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58 387,0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58 216,2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-170,8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99,7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23 328,3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19 229,0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-4 099,3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82,4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C5047" w:rsidRPr="00CF7A31" w:rsidRDefault="006C5047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10 156,8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7 920,1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-2 236,7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78,0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C5047" w:rsidRPr="00CF7A31" w:rsidRDefault="006C5047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13 171,5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11 308,9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-1 862,6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85,9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15 948,5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16 295,7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347,2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102,2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12 823,5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12 965,0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141,5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101,1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39 328,1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39 460,8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132,7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C5047" w:rsidRPr="00CF7A31" w:rsidRDefault="006C5047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33 127,6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33 336,3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208,7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100,6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C5047" w:rsidRPr="00CF7A31" w:rsidRDefault="006C5047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6 200,5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6 124,5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-76,0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5 595,4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5 211,5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-383,9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93,1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1 754,9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1 767,0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12,1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100,7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4 724,9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4 315,9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-409,0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91,3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CF7A31" w:rsidRDefault="006C5047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CF7A31" w:rsidRDefault="006C5047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11 886,9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12 704,2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817,3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106,9</w:t>
            </w:r>
          </w:p>
        </w:tc>
      </w:tr>
      <w:tr w:rsidR="006C5047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C5047" w:rsidRPr="00CF7A31" w:rsidRDefault="006C5047" w:rsidP="006C5047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5 398,0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7 133,4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1 735,4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132,1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C5047" w:rsidRPr="00CF7A31" w:rsidRDefault="006C5047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5047" w:rsidRPr="00CF7A31" w:rsidRDefault="006C5047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6 488,9</w:t>
            </w:r>
          </w:p>
        </w:tc>
        <w:tc>
          <w:tcPr>
            <w:tcW w:w="1396" w:type="dxa"/>
            <w:shd w:val="clear" w:color="auto" w:fill="auto"/>
          </w:tcPr>
          <w:p w:rsidR="006C5047" w:rsidRDefault="006C504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5 570,8</w:t>
            </w:r>
          </w:p>
        </w:tc>
        <w:tc>
          <w:tcPr>
            <w:tcW w:w="1705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-918,1</w:t>
            </w:r>
          </w:p>
        </w:tc>
        <w:tc>
          <w:tcPr>
            <w:tcW w:w="2130" w:type="dxa"/>
            <w:shd w:val="clear" w:color="auto" w:fill="auto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85,9</w:t>
            </w:r>
          </w:p>
        </w:tc>
      </w:tr>
      <w:tr w:rsidR="006C5047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C5047" w:rsidRPr="003F4FB3" w:rsidRDefault="006C5047" w:rsidP="006E55A3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C5047" w:rsidRPr="003F4FB3" w:rsidRDefault="006C5047" w:rsidP="006E55A3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5 590,7</w:t>
            </w:r>
          </w:p>
        </w:tc>
        <w:tc>
          <w:tcPr>
            <w:tcW w:w="1396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6 493,1</w:t>
            </w:r>
          </w:p>
        </w:tc>
        <w:tc>
          <w:tcPr>
            <w:tcW w:w="1705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902,4</w:t>
            </w:r>
          </w:p>
        </w:tc>
        <w:tc>
          <w:tcPr>
            <w:tcW w:w="2130" w:type="dxa"/>
            <w:shd w:val="clear" w:color="auto" w:fill="FDE9D9"/>
          </w:tcPr>
          <w:p w:rsidR="006C5047" w:rsidRDefault="006C504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116,1</w:t>
            </w:r>
          </w:p>
        </w:tc>
      </w:tr>
    </w:tbl>
    <w:p w:rsidR="006E55A3" w:rsidRDefault="006E55A3" w:rsidP="009574AB">
      <w:pPr>
        <w:rPr>
          <w:i/>
          <w:sz w:val="18"/>
          <w:szCs w:val="18"/>
        </w:rPr>
      </w:pPr>
    </w:p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C5047" w:rsidRDefault="006C5047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lastRenderedPageBreak/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545BBD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545BBD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A37A8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545BBD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3 892</w:t>
            </w:r>
            <w:r w:rsidR="00D82A2F">
              <w:rPr>
                <w:sz w:val="20"/>
              </w:rPr>
              <w:t xml:space="preserve"> </w:t>
            </w:r>
          </w:p>
        </w:tc>
      </w:tr>
      <w:tr w:rsidR="00545BBD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A37A8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545BBD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545BBD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A37A8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>Ceny zemědělských výrobců  (CZV) mléka kravského I. tř. j.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545BB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 w:rsidR="00545BBD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B21B41" w:rsidP="009A018E">
            <w:pPr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C83B5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DD79FD" w:rsidP="009A018E">
            <w:pPr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F11C62" w:rsidP="009A018E">
            <w:pPr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A37A89" w:rsidP="009A018E">
            <w:pPr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86576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435AEB" w:rsidRDefault="00435AEB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1254"/>
        <w:gridCol w:w="969"/>
        <w:gridCol w:w="950"/>
        <w:gridCol w:w="969"/>
        <w:gridCol w:w="1154"/>
        <w:gridCol w:w="1435"/>
      </w:tblGrid>
      <w:tr w:rsidR="00CD7824" w:rsidRPr="009A018E" w:rsidTr="00EB48F4">
        <w:trPr>
          <w:trHeight w:val="250"/>
        </w:trPr>
        <w:tc>
          <w:tcPr>
            <w:tcW w:w="35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A37A89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Květen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50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Default="00A37A89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Květen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8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EB48F4">
        <w:trPr>
          <w:trHeight w:val="169"/>
        </w:trPr>
        <w:tc>
          <w:tcPr>
            <w:tcW w:w="35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50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4" w:type="dxa"/>
            <w:shd w:val="clear" w:color="auto" w:fill="B8CCE4"/>
          </w:tcPr>
          <w:p w:rsidR="00CD7824" w:rsidRPr="00374857" w:rsidRDefault="00A37A89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Květen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35" w:type="dxa"/>
            <w:shd w:val="clear" w:color="auto" w:fill="B8CCE4"/>
          </w:tcPr>
          <w:p w:rsidR="00CD7824" w:rsidRPr="00374857" w:rsidRDefault="00A37A89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Květen</w:t>
            </w:r>
            <w:r w:rsidR="00F11C62">
              <w:rPr>
                <w:b/>
                <w:sz w:val="20"/>
                <w:szCs w:val="18"/>
              </w:rPr>
              <w:t xml:space="preserve"> </w:t>
            </w:r>
            <w:r w:rsidR="00545BBD">
              <w:rPr>
                <w:b/>
                <w:sz w:val="20"/>
                <w:szCs w:val="18"/>
              </w:rPr>
              <w:t xml:space="preserve">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 w:rsidR="0093673A"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93673A"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54C35" w:rsidRPr="009A018E" w:rsidTr="00EB48F4">
        <w:trPr>
          <w:trHeight w:val="229"/>
        </w:trPr>
        <w:tc>
          <w:tcPr>
            <w:tcW w:w="3583" w:type="dxa"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8,30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7,55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90,96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90,31</w:t>
            </w:r>
          </w:p>
        </w:tc>
      </w:tr>
      <w:tr w:rsidR="00E54C35" w:rsidRPr="009A018E" w:rsidTr="00374857">
        <w:trPr>
          <w:trHeight w:val="247"/>
        </w:trPr>
        <w:tc>
          <w:tcPr>
            <w:tcW w:w="10314" w:type="dxa"/>
            <w:gridSpan w:val="7"/>
          </w:tcPr>
          <w:p w:rsidR="00E54C35" w:rsidRPr="00C03B3A" w:rsidRDefault="00E54C35" w:rsidP="009A018E">
            <w:pPr>
              <w:rPr>
                <w:b/>
                <w:sz w:val="20"/>
                <w:szCs w:val="22"/>
              </w:rPr>
            </w:pPr>
          </w:p>
        </w:tc>
      </w:tr>
      <w:tr w:rsidR="00E54C35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10,55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9,95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94,31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95,58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16,78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</w:t>
            </w:r>
          </w:p>
        </w:tc>
        <w:tc>
          <w:tcPr>
            <w:tcW w:w="969" w:type="dxa"/>
          </w:tcPr>
          <w:p w:rsidR="00E54C35" w:rsidRDefault="00E54C35" w:rsidP="009919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9919DE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,46</w:t>
            </w:r>
          </w:p>
        </w:tc>
        <w:tc>
          <w:tcPr>
            <w:tcW w:w="1154" w:type="dxa"/>
            <w:shd w:val="clear" w:color="auto" w:fill="FBD4B4"/>
          </w:tcPr>
          <w:p w:rsidR="00E54C35" w:rsidRDefault="009919D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98,10</w:t>
            </w:r>
          </w:p>
        </w:tc>
        <w:tc>
          <w:tcPr>
            <w:tcW w:w="1435" w:type="dxa"/>
            <w:shd w:val="clear" w:color="auto" w:fill="FBD4B4"/>
          </w:tcPr>
          <w:p w:rsidR="00E54C35" w:rsidRDefault="009919D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95,70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59,05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5,13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54C35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E54C35" w:rsidRPr="00374857" w:rsidRDefault="00E54C35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11,16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12,4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111,11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102,90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17,95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19,61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109,25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103,21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60,84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58,15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54C35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99,69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75,57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75,80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73,79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138,62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130,97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94,48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90,04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39,05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73,31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54C35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86,21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85,62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99,32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90,61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124,92</w:t>
            </w:r>
          </w:p>
        </w:tc>
        <w:tc>
          <w:tcPr>
            <w:tcW w:w="950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969" w:type="dxa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120,45</w:t>
            </w:r>
          </w:p>
        </w:tc>
        <w:tc>
          <w:tcPr>
            <w:tcW w:w="1154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96,42</w:t>
            </w:r>
          </w:p>
        </w:tc>
        <w:tc>
          <w:tcPr>
            <w:tcW w:w="1435" w:type="dxa"/>
            <w:shd w:val="clear" w:color="auto" w:fill="FBD4B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95,17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44,90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40,68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 w:val="restart"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42,02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48,76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116,04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98,86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63,1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70,34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111,47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99,25</w:t>
            </w:r>
          </w:p>
        </w:tc>
      </w:tr>
      <w:tr w:rsidR="00E54C35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E54C35" w:rsidRPr="00374857" w:rsidRDefault="00E54C35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E54C35" w:rsidRPr="00374857" w:rsidRDefault="00E54C35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50,17</w:t>
            </w:r>
          </w:p>
        </w:tc>
        <w:tc>
          <w:tcPr>
            <w:tcW w:w="950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969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44,26</w:t>
            </w:r>
          </w:p>
        </w:tc>
        <w:tc>
          <w:tcPr>
            <w:tcW w:w="1154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E54C35" w:rsidRDefault="00E54C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(MZe) 6-12, ČSÚ</w:t>
      </w:r>
      <w:r w:rsidR="002056B1">
        <w:rPr>
          <w:i/>
          <w:sz w:val="18"/>
          <w:szCs w:val="18"/>
        </w:rPr>
        <w:t xml:space="preserve"> </w:t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81E10" w:rsidP="009A018E">
      <w:pPr>
        <w:rPr>
          <w:i/>
          <w:sz w:val="18"/>
          <w:szCs w:val="18"/>
        </w:rPr>
      </w:pPr>
      <w:r w:rsidRPr="00881E10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5972810" cy="3830955"/>
            <wp:effectExtent l="19050" t="0" r="2794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81E10" w:rsidP="009A018E">
      <w:pPr>
        <w:rPr>
          <w:i/>
          <w:sz w:val="18"/>
          <w:szCs w:val="18"/>
        </w:rPr>
      </w:pPr>
      <w:r w:rsidRPr="00881E10">
        <w:rPr>
          <w:i/>
          <w:noProof/>
          <w:sz w:val="18"/>
          <w:szCs w:val="18"/>
        </w:rPr>
        <w:drawing>
          <wp:inline distT="0" distB="0" distL="0" distR="0">
            <wp:extent cx="5972810" cy="4010025"/>
            <wp:effectExtent l="19050" t="0" r="2794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CD7824" w:rsidRDefault="00CD7824" w:rsidP="009A018E"/>
    <w:p w:rsidR="004D0062" w:rsidRDefault="004D0062" w:rsidP="009A018E"/>
    <w:p w:rsidR="00BF749F" w:rsidRPr="007B426C" w:rsidRDefault="008457DD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lastRenderedPageBreak/>
        <w:t>Zah</w:t>
      </w:r>
      <w:r w:rsidR="00BF749F" w:rsidRPr="007B426C">
        <w:rPr>
          <w:b/>
        </w:rPr>
        <w:t xml:space="preserve">raniční obchod </w:t>
      </w:r>
      <w:r w:rsidR="00AC0CD4">
        <w:rPr>
          <w:b/>
        </w:rPr>
        <w:t xml:space="preserve">- </w:t>
      </w:r>
      <w:r w:rsidR="00BF749F">
        <w:rPr>
          <w:b/>
        </w:rPr>
        <w:t xml:space="preserve">leden </w:t>
      </w:r>
      <w:r w:rsidR="00741FA5">
        <w:rPr>
          <w:b/>
        </w:rPr>
        <w:t xml:space="preserve">až </w:t>
      </w:r>
      <w:r w:rsidR="00271160">
        <w:rPr>
          <w:b/>
        </w:rPr>
        <w:t>květen</w:t>
      </w:r>
      <w:r w:rsidR="00741FA5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 w:rsidR="00BF749F">
        <w:rPr>
          <w:b/>
        </w:rPr>
        <w:t xml:space="preserve"> a 201</w:t>
      </w:r>
      <w:r w:rsidR="00AC0CD4">
        <w:rPr>
          <w:b/>
        </w:rPr>
        <w:t>2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271160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</w:t>
            </w:r>
            <w:r w:rsidR="00271160">
              <w:rPr>
                <w:b/>
                <w:sz w:val="20"/>
              </w:rPr>
              <w:t>květen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6 106 211</w:t>
            </w:r>
          </w:p>
        </w:tc>
        <w:tc>
          <w:tcPr>
            <w:tcW w:w="1768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6 476 913</w:t>
            </w:r>
          </w:p>
        </w:tc>
        <w:tc>
          <w:tcPr>
            <w:tcW w:w="176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+ 370 702</w:t>
            </w:r>
          </w:p>
        </w:tc>
        <w:tc>
          <w:tcPr>
            <w:tcW w:w="1569" w:type="dxa"/>
            <w:vAlign w:val="center"/>
          </w:tcPr>
          <w:p w:rsidR="00BF749F" w:rsidRPr="007D3526" w:rsidRDefault="00043EE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106,07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4 057 418</w:t>
            </w:r>
          </w:p>
        </w:tc>
        <w:tc>
          <w:tcPr>
            <w:tcW w:w="1768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4 614 666</w:t>
            </w:r>
          </w:p>
        </w:tc>
        <w:tc>
          <w:tcPr>
            <w:tcW w:w="176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+ 557 248</w:t>
            </w:r>
          </w:p>
        </w:tc>
        <w:tc>
          <w:tcPr>
            <w:tcW w:w="1569" w:type="dxa"/>
            <w:vAlign w:val="center"/>
          </w:tcPr>
          <w:p w:rsidR="00BF749F" w:rsidRPr="007D3526" w:rsidRDefault="00043EE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113,73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2 048 793</w:t>
            </w:r>
          </w:p>
        </w:tc>
        <w:tc>
          <w:tcPr>
            <w:tcW w:w="1768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1 862 247</w:t>
            </w:r>
          </w:p>
        </w:tc>
        <w:tc>
          <w:tcPr>
            <w:tcW w:w="176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- 186 546</w:t>
            </w:r>
          </w:p>
        </w:tc>
        <w:tc>
          <w:tcPr>
            <w:tcW w:w="1569" w:type="dxa"/>
            <w:vAlign w:val="center"/>
          </w:tcPr>
          <w:p w:rsidR="00BF749F" w:rsidRPr="007D3526" w:rsidRDefault="00043EE3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90,89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10 163 629</w:t>
            </w:r>
          </w:p>
        </w:tc>
        <w:tc>
          <w:tcPr>
            <w:tcW w:w="1768" w:type="dxa"/>
            <w:vAlign w:val="center"/>
          </w:tcPr>
          <w:p w:rsidR="00BF749F" w:rsidRPr="007D3526" w:rsidRDefault="00043EE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11 091 579</w:t>
            </w:r>
          </w:p>
        </w:tc>
        <w:tc>
          <w:tcPr>
            <w:tcW w:w="1769" w:type="dxa"/>
            <w:vAlign w:val="center"/>
          </w:tcPr>
          <w:p w:rsidR="00BF749F" w:rsidRPr="007D3526" w:rsidRDefault="00043EE3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+ 927 950</w:t>
            </w:r>
          </w:p>
        </w:tc>
        <w:tc>
          <w:tcPr>
            <w:tcW w:w="1569" w:type="dxa"/>
            <w:vAlign w:val="center"/>
          </w:tcPr>
          <w:p w:rsidR="00BF749F" w:rsidRPr="007D3526" w:rsidRDefault="00043EE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109,13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</w:t>
      </w:r>
      <w:r w:rsidR="00043EE3">
        <w:rPr>
          <w:sz w:val="22"/>
          <w:szCs w:val="22"/>
        </w:rPr>
        <w:t xml:space="preserve"> s meziročně vyšší průměrnou vývozní cenou</w:t>
      </w:r>
    </w:p>
    <w:p w:rsidR="00B279B5" w:rsidRPr="00170C55" w:rsidRDefault="00B279B5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Výrazně </w:t>
      </w:r>
      <w:r w:rsidRPr="00B279B5">
        <w:rPr>
          <w:sz w:val="22"/>
          <w:szCs w:val="22"/>
          <w:u w:val="single"/>
        </w:rPr>
        <w:t>zrychlené tempo dovozu</w:t>
      </w:r>
      <w:r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B279B5" w:rsidRDefault="00B279B5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>Vývoj zahran.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4D2EA6">
        <w:rPr>
          <w:b/>
        </w:rPr>
        <w:t xml:space="preserve">až </w:t>
      </w:r>
      <w:r w:rsidR="00271160">
        <w:rPr>
          <w:b/>
        </w:rPr>
        <w:t>květen</w:t>
      </w:r>
      <w:r w:rsidR="004D2EA6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F778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271160">
              <w:rPr>
                <w:b/>
                <w:sz w:val="16"/>
                <w:szCs w:val="16"/>
              </w:rPr>
              <w:t>-</w:t>
            </w:r>
            <w:r w:rsidR="00F7788F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BF749F" w:rsidRPr="007B426C" w:rsidRDefault="00BF749F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30 131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42 037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250 639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281 010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220 508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238 973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1B2621" w:rsidRDefault="00043EE3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14,75</w:t>
            </w:r>
          </w:p>
          <w:p w:rsidR="00043EE3" w:rsidRPr="007B426C" w:rsidRDefault="00043EE3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14,70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10,01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1B2621" w:rsidRDefault="00043EE3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444 306</w:t>
            </w:r>
          </w:p>
          <w:p w:rsidR="00043EE3" w:rsidRPr="007B426C" w:rsidRDefault="00043EE3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618 027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B2621" w:rsidRDefault="00043EE3" w:rsidP="006745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2 547 251</w:t>
            </w:r>
          </w:p>
          <w:p w:rsidR="00043EE3" w:rsidRPr="007B426C" w:rsidRDefault="00043EE3" w:rsidP="006745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2 812 572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1B2621" w:rsidRDefault="00043EE3" w:rsidP="00003C6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2 102 945</w:t>
            </w:r>
          </w:p>
          <w:p w:rsidR="00043EE3" w:rsidRPr="007B426C" w:rsidRDefault="00043EE3" w:rsidP="00003C6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2 194 545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3 248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2 834</w:t>
            </w:r>
          </w:p>
        </w:tc>
        <w:tc>
          <w:tcPr>
            <w:tcW w:w="932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14 258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15 455</w:t>
            </w:r>
          </w:p>
        </w:tc>
        <w:tc>
          <w:tcPr>
            <w:tcW w:w="964" w:type="dxa"/>
            <w:vAlign w:val="center"/>
          </w:tcPr>
          <w:p w:rsidR="001B2621" w:rsidRDefault="00043E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11 010</w:t>
            </w:r>
          </w:p>
          <w:p w:rsidR="00043EE3" w:rsidRPr="007B426C" w:rsidRDefault="00043E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12 621</w:t>
            </w:r>
          </w:p>
        </w:tc>
        <w:tc>
          <w:tcPr>
            <w:tcW w:w="688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35,88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39,21</w:t>
            </w:r>
          </w:p>
        </w:tc>
        <w:tc>
          <w:tcPr>
            <w:tcW w:w="817" w:type="dxa"/>
            <w:vAlign w:val="center"/>
          </w:tcPr>
          <w:p w:rsidR="001B2621" w:rsidRDefault="00043E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59,74</w:t>
            </w:r>
          </w:p>
          <w:p w:rsidR="00043EE3" w:rsidRPr="007B426C" w:rsidRDefault="00043E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55,48</w:t>
            </w:r>
          </w:p>
        </w:tc>
        <w:tc>
          <w:tcPr>
            <w:tcW w:w="1110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116 536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111 110</w:t>
            </w:r>
          </w:p>
        </w:tc>
        <w:tc>
          <w:tcPr>
            <w:tcW w:w="1105" w:type="dxa"/>
            <w:vAlign w:val="center"/>
          </w:tcPr>
          <w:p w:rsidR="001B2621" w:rsidRDefault="00043EE3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851 806</w:t>
            </w:r>
          </w:p>
          <w:p w:rsidR="00043EE3" w:rsidRPr="007B426C" w:rsidRDefault="00043EE3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857 487</w:t>
            </w:r>
          </w:p>
        </w:tc>
        <w:tc>
          <w:tcPr>
            <w:tcW w:w="1161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735 270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746 377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17 954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19 720</w:t>
            </w:r>
          </w:p>
        </w:tc>
        <w:tc>
          <w:tcPr>
            <w:tcW w:w="932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28 950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26 721</w:t>
            </w:r>
          </w:p>
        </w:tc>
        <w:tc>
          <w:tcPr>
            <w:tcW w:w="964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10 996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7 001</w:t>
            </w:r>
          </w:p>
        </w:tc>
        <w:tc>
          <w:tcPr>
            <w:tcW w:w="688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25,66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27,77</w:t>
            </w:r>
          </w:p>
        </w:tc>
        <w:tc>
          <w:tcPr>
            <w:tcW w:w="817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27,84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29,39</w:t>
            </w:r>
          </w:p>
        </w:tc>
        <w:tc>
          <w:tcPr>
            <w:tcW w:w="1110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460 743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547 585</w:t>
            </w:r>
          </w:p>
        </w:tc>
        <w:tc>
          <w:tcPr>
            <w:tcW w:w="1105" w:type="dxa"/>
            <w:vAlign w:val="center"/>
          </w:tcPr>
          <w:p w:rsidR="001B2621" w:rsidRDefault="00043E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805 948</w:t>
            </w:r>
          </w:p>
          <w:p w:rsidR="00043EE3" w:rsidRPr="007B426C" w:rsidRDefault="00043EE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785 299</w:t>
            </w:r>
          </w:p>
        </w:tc>
        <w:tc>
          <w:tcPr>
            <w:tcW w:w="1161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345 205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237 714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10 159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14 674</w:t>
            </w:r>
          </w:p>
        </w:tc>
        <w:tc>
          <w:tcPr>
            <w:tcW w:w="932" w:type="dxa"/>
            <w:vAlign w:val="center"/>
          </w:tcPr>
          <w:p w:rsidR="001B2621" w:rsidRDefault="00043EE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21 711</w:t>
            </w:r>
          </w:p>
          <w:p w:rsidR="00043EE3" w:rsidRPr="007B426C" w:rsidRDefault="00043EE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20 040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11 552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5 366</w:t>
            </w:r>
          </w:p>
        </w:tc>
        <w:tc>
          <w:tcPr>
            <w:tcW w:w="688" w:type="dxa"/>
            <w:vAlign w:val="center"/>
          </w:tcPr>
          <w:p w:rsidR="001B2621" w:rsidRDefault="00043EE3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11,74</w:t>
            </w:r>
          </w:p>
          <w:p w:rsidR="00043EE3" w:rsidRPr="007B426C" w:rsidRDefault="00043EE3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11,61</w:t>
            </w:r>
          </w:p>
        </w:tc>
        <w:tc>
          <w:tcPr>
            <w:tcW w:w="817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22,53</w:t>
            </w:r>
          </w:p>
        </w:tc>
        <w:tc>
          <w:tcPr>
            <w:tcW w:w="1110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119 266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170 411</w:t>
            </w:r>
          </w:p>
        </w:tc>
        <w:tc>
          <w:tcPr>
            <w:tcW w:w="1105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346 595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451 599</w:t>
            </w:r>
          </w:p>
        </w:tc>
        <w:tc>
          <w:tcPr>
            <w:tcW w:w="1161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227 329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281 188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7 167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8 038</w:t>
            </w:r>
          </w:p>
        </w:tc>
        <w:tc>
          <w:tcPr>
            <w:tcW w:w="932" w:type="dxa"/>
            <w:vAlign w:val="center"/>
          </w:tcPr>
          <w:p w:rsidR="001B2621" w:rsidRDefault="00043EE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2 458</w:t>
            </w:r>
          </w:p>
          <w:p w:rsidR="00043EE3" w:rsidRPr="007B426C" w:rsidRDefault="00043EE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- 4 709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- 6 581</w:t>
            </w:r>
          </w:p>
        </w:tc>
        <w:tc>
          <w:tcPr>
            <w:tcW w:w="688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84,11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82,19</w:t>
            </w:r>
          </w:p>
        </w:tc>
        <w:tc>
          <w:tcPr>
            <w:tcW w:w="817" w:type="dxa"/>
            <w:vAlign w:val="center"/>
          </w:tcPr>
          <w:p w:rsidR="001B2621" w:rsidRDefault="00043EE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92,19</w:t>
            </w:r>
          </w:p>
          <w:p w:rsidR="00043EE3" w:rsidRPr="007B426C" w:rsidRDefault="00043EE3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81,22</w:t>
            </w:r>
          </w:p>
        </w:tc>
        <w:tc>
          <w:tcPr>
            <w:tcW w:w="1110" w:type="dxa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602 811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660 668</w:t>
            </w:r>
          </w:p>
        </w:tc>
        <w:tc>
          <w:tcPr>
            <w:tcW w:w="1105" w:type="dxa"/>
            <w:vAlign w:val="center"/>
          </w:tcPr>
          <w:p w:rsidR="001B2621" w:rsidRDefault="00043EE3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226 554</w:t>
            </w:r>
          </w:p>
          <w:p w:rsidR="00043EE3" w:rsidRPr="007B426C" w:rsidRDefault="00043EE3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118 352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- 376 257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- 542 316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1B2621" w:rsidRDefault="00043E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30 681</w:t>
            </w:r>
          </w:p>
          <w:p w:rsidR="00043EE3" w:rsidRPr="007B426C" w:rsidRDefault="00043EE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33 158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13 546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13 624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- 17 135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- 19 534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75,41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75,60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98,04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106,54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2 313 756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2 506 865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1 328 057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1 451 604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B2621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- 985 699</w:t>
            </w:r>
          </w:p>
          <w:p w:rsidR="00043EE3" w:rsidRPr="007B426C" w:rsidRDefault="00043EE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- 1 055 261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</w:t>
      </w:r>
      <w:r w:rsidR="00043EE3">
        <w:rPr>
          <w:sz w:val="22"/>
          <w:szCs w:val="22"/>
        </w:rPr>
        <w:t>květnu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D96354">
        <w:rPr>
          <w:sz w:val="22"/>
          <w:szCs w:val="22"/>
        </w:rPr>
        <w:t>5</w:t>
      </w:r>
      <w:r w:rsidR="00043EE3">
        <w:rPr>
          <w:sz w:val="22"/>
          <w:szCs w:val="22"/>
        </w:rPr>
        <w:t>7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</w:t>
      </w:r>
      <w:r w:rsidR="00043EE3">
        <w:rPr>
          <w:sz w:val="22"/>
          <w:szCs w:val="22"/>
        </w:rPr>
        <w:t>květen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</w:t>
      </w:r>
      <w:r w:rsidR="00043EE3">
        <w:rPr>
          <w:sz w:val="22"/>
          <w:szCs w:val="22"/>
        </w:rPr>
        <w:t>květen</w:t>
      </w:r>
      <w:r w:rsidR="00070F10">
        <w:rPr>
          <w:sz w:val="22"/>
          <w:szCs w:val="22"/>
        </w:rPr>
        <w:t xml:space="preserve"> 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043EE3">
        <w:rPr>
          <w:sz w:val="22"/>
          <w:szCs w:val="22"/>
        </w:rPr>
        <w:t>6</w:t>
      </w:r>
      <w:r w:rsidR="00265534">
        <w:rPr>
          <w:sz w:val="22"/>
          <w:szCs w:val="22"/>
        </w:rPr>
        <w:t>,1</w:t>
      </w:r>
      <w:r w:rsidR="00070F10">
        <w:rPr>
          <w:sz w:val="22"/>
          <w:szCs w:val="22"/>
        </w:rPr>
        <w:t xml:space="preserve"> %, tj. cca o </w:t>
      </w:r>
      <w:r w:rsidR="00043EE3">
        <w:rPr>
          <w:sz w:val="22"/>
          <w:szCs w:val="22"/>
        </w:rPr>
        <w:t>371</w:t>
      </w:r>
      <w:r w:rsidR="00070F10">
        <w:rPr>
          <w:sz w:val="22"/>
          <w:szCs w:val="22"/>
        </w:rPr>
        <w:t xml:space="preserve"> mil. Kč</w:t>
      </w:r>
      <w:r w:rsidR="00D96354">
        <w:rPr>
          <w:sz w:val="22"/>
          <w:szCs w:val="22"/>
        </w:rPr>
        <w:t xml:space="preserve">, oproti předchozím měsícům </w:t>
      </w:r>
      <w:r w:rsidR="00D96354" w:rsidRPr="00265534">
        <w:rPr>
          <w:sz w:val="22"/>
          <w:szCs w:val="22"/>
          <w:u w:val="single"/>
        </w:rPr>
        <w:t>do</w:t>
      </w:r>
      <w:r w:rsidR="00265534" w:rsidRPr="00265534">
        <w:rPr>
          <w:sz w:val="22"/>
          <w:szCs w:val="22"/>
          <w:u w:val="single"/>
        </w:rPr>
        <w:t>chází</w:t>
      </w:r>
      <w:r w:rsidR="00D96354" w:rsidRPr="00265534">
        <w:rPr>
          <w:sz w:val="22"/>
          <w:szCs w:val="22"/>
          <w:u w:val="single"/>
        </w:rPr>
        <w:t xml:space="preserve"> ke snížení tempa vývozu</w:t>
      </w:r>
      <w:r w:rsidR="00070F10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265534">
        <w:rPr>
          <w:b/>
          <w:sz w:val="22"/>
          <w:szCs w:val="22"/>
        </w:rPr>
        <w:t>6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</w:t>
      </w:r>
      <w:r w:rsidR="00D96354">
        <w:rPr>
          <w:sz w:val="22"/>
          <w:szCs w:val="22"/>
        </w:rPr>
        <w:t>0</w:t>
      </w:r>
      <w:r w:rsidR="00A50806">
        <w:rPr>
          <w:sz w:val="22"/>
          <w:szCs w:val="22"/>
        </w:rPr>
        <w:t>,</w:t>
      </w:r>
      <w:r w:rsidR="00043EE3">
        <w:rPr>
          <w:sz w:val="22"/>
          <w:szCs w:val="22"/>
        </w:rPr>
        <w:t>2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A50806">
        <w:rPr>
          <w:sz w:val="22"/>
          <w:szCs w:val="22"/>
        </w:rPr>
        <w:t>18,</w:t>
      </w:r>
      <w:r w:rsidR="00043EE3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%, do Itálie </w:t>
      </w:r>
      <w:r w:rsidR="00D96354">
        <w:rPr>
          <w:sz w:val="22"/>
          <w:szCs w:val="22"/>
        </w:rPr>
        <w:t>13,</w:t>
      </w:r>
      <w:r w:rsidR="00043EE3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Maďarska </w:t>
      </w:r>
      <w:r w:rsidR="00070F10">
        <w:rPr>
          <w:sz w:val="22"/>
          <w:szCs w:val="22"/>
        </w:rPr>
        <w:t>4,</w:t>
      </w:r>
      <w:r w:rsidR="00043EE3">
        <w:rPr>
          <w:sz w:val="22"/>
          <w:szCs w:val="22"/>
        </w:rPr>
        <w:t>0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8C5B94">
        <w:rPr>
          <w:sz w:val="22"/>
          <w:szCs w:val="22"/>
        </w:rPr>
        <w:t>4,4</w:t>
      </w:r>
      <w:r w:rsidR="00265534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Polska </w:t>
      </w:r>
      <w:r w:rsidR="008C5B94">
        <w:rPr>
          <w:sz w:val="22"/>
          <w:szCs w:val="22"/>
        </w:rPr>
        <w:t>4,0</w:t>
      </w:r>
      <w:r w:rsidR="00170C55">
        <w:rPr>
          <w:sz w:val="22"/>
          <w:szCs w:val="22"/>
        </w:rPr>
        <w:t xml:space="preserve"> %). Do zemí EU-27 se v daném období vyvezlo </w:t>
      </w:r>
      <w:r w:rsidR="00A50806">
        <w:rPr>
          <w:sz w:val="22"/>
          <w:szCs w:val="22"/>
        </w:rPr>
        <w:t>83,</w:t>
      </w:r>
      <w:r w:rsidR="008C5B94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A50806" w:rsidRPr="008C5B94">
        <w:rPr>
          <w:sz w:val="22"/>
          <w:szCs w:val="22"/>
        </w:rPr>
        <w:t>16,</w:t>
      </w:r>
      <w:r w:rsidR="008C5B94">
        <w:rPr>
          <w:sz w:val="22"/>
          <w:szCs w:val="22"/>
        </w:rPr>
        <w:t>3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070F10">
        <w:rPr>
          <w:sz w:val="22"/>
          <w:szCs w:val="22"/>
        </w:rPr>
        <w:t xml:space="preserve">Čína, </w:t>
      </w:r>
      <w:r w:rsidR="00A50806">
        <w:rPr>
          <w:sz w:val="22"/>
          <w:szCs w:val="22"/>
        </w:rPr>
        <w:t xml:space="preserve">Libanon, Bangladéš, </w:t>
      </w:r>
      <w:r w:rsidR="00070F10">
        <w:rPr>
          <w:sz w:val="22"/>
          <w:szCs w:val="22"/>
        </w:rPr>
        <w:t xml:space="preserve">Thajsko,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>, Malajsie</w:t>
      </w:r>
      <w:r w:rsidR="00A50806">
        <w:rPr>
          <w:sz w:val="22"/>
          <w:szCs w:val="22"/>
        </w:rPr>
        <w:t>,</w:t>
      </w:r>
      <w:r w:rsidR="00A50806" w:rsidRPr="00A50806">
        <w:rPr>
          <w:sz w:val="22"/>
          <w:szCs w:val="22"/>
        </w:rPr>
        <w:t xml:space="preserve">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65534">
        <w:rPr>
          <w:sz w:val="22"/>
          <w:szCs w:val="22"/>
          <w:u w:val="single"/>
        </w:rPr>
        <w:t>43,</w:t>
      </w:r>
      <w:r w:rsidR="008C5B94">
        <w:rPr>
          <w:sz w:val="22"/>
          <w:szCs w:val="22"/>
          <w:u w:val="single"/>
        </w:rPr>
        <w:t>4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A50806">
        <w:rPr>
          <w:sz w:val="22"/>
          <w:szCs w:val="22"/>
        </w:rPr>
        <w:t>27,</w:t>
      </w:r>
      <w:r w:rsidR="008C5B94">
        <w:rPr>
          <w:sz w:val="22"/>
          <w:szCs w:val="22"/>
        </w:rPr>
        <w:t>4</w:t>
      </w:r>
      <w:r>
        <w:rPr>
          <w:sz w:val="22"/>
          <w:szCs w:val="22"/>
        </w:rPr>
        <w:t xml:space="preserve"> %. </w:t>
      </w:r>
    </w:p>
    <w:p w:rsidR="006408F8" w:rsidRDefault="00593F4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</w:t>
      </w:r>
      <w:r w:rsidR="008C5B94">
        <w:rPr>
          <w:sz w:val="22"/>
          <w:szCs w:val="22"/>
        </w:rPr>
        <w:t>květnu</w:t>
      </w:r>
      <w:r w:rsidR="00A5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vývozu smetan v cisternách o 58,3 %. Ke zvýšení objemu vývozu v daném období došlo u vývozu mléka v cisternách (o 23,3 %) a vývozu konzumních smetan (o 22,1 %). Objem vývozu konzumního mléka zůstal přibližně na úrovni objemu vývozu loňského roku. 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2</w:t>
      </w:r>
      <w:r w:rsidR="008C5B94">
        <w:rPr>
          <w:sz w:val="22"/>
          <w:szCs w:val="22"/>
        </w:rPr>
        <w:t>2</w:t>
      </w:r>
      <w:r w:rsidR="00CF3C41">
        <w:rPr>
          <w:sz w:val="22"/>
          <w:szCs w:val="22"/>
        </w:rPr>
        <w:t>,</w:t>
      </w:r>
      <w:r w:rsidR="008C5B94">
        <w:rPr>
          <w:sz w:val="22"/>
          <w:szCs w:val="22"/>
        </w:rPr>
        <w:t>4</w:t>
      </w:r>
      <w:r w:rsidR="00B83EEE">
        <w:rPr>
          <w:sz w:val="22"/>
          <w:szCs w:val="22"/>
        </w:rPr>
        <w:t xml:space="preserve"> %). </w:t>
      </w:r>
      <w:r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>
        <w:rPr>
          <w:sz w:val="22"/>
          <w:szCs w:val="22"/>
        </w:rPr>
        <w:t>se meziročně</w:t>
      </w:r>
      <w:r w:rsidR="00C27A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zvýšil </w:t>
      </w:r>
      <w:r w:rsidR="00FC20FA">
        <w:rPr>
          <w:sz w:val="22"/>
          <w:szCs w:val="22"/>
        </w:rPr>
        <w:t xml:space="preserve">o </w:t>
      </w:r>
      <w:r w:rsidR="008C5B94">
        <w:rPr>
          <w:sz w:val="22"/>
          <w:szCs w:val="22"/>
        </w:rPr>
        <w:t>0,6</w:t>
      </w:r>
      <w:r w:rsidR="00FC20FA">
        <w:rPr>
          <w:sz w:val="22"/>
          <w:szCs w:val="22"/>
        </w:rPr>
        <w:t xml:space="preserve"> %</w:t>
      </w:r>
      <w:r w:rsidR="008C5B94">
        <w:rPr>
          <w:sz w:val="22"/>
          <w:szCs w:val="22"/>
        </w:rPr>
        <w:t xml:space="preserve">, avšak oproti začátku roku 2012 dochází k postupnému zpomalování tempa vývozu. </w:t>
      </w:r>
      <w:r w:rsidR="00B83EEE">
        <w:rPr>
          <w:sz w:val="22"/>
          <w:szCs w:val="22"/>
        </w:rPr>
        <w:t xml:space="preserve">Vývoz sušeného plnotučného mléka a smetany se </w:t>
      </w:r>
      <w:r w:rsidR="00B83EEE">
        <w:rPr>
          <w:sz w:val="22"/>
          <w:szCs w:val="22"/>
        </w:rPr>
        <w:lastRenderedPageBreak/>
        <w:t xml:space="preserve">v meziročním porovnání </w:t>
      </w:r>
      <w:r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8C5B94">
        <w:rPr>
          <w:sz w:val="22"/>
          <w:szCs w:val="22"/>
        </w:rPr>
        <w:t>květen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leden-</w:t>
      </w:r>
      <w:r w:rsidR="008C5B94">
        <w:rPr>
          <w:sz w:val="22"/>
          <w:szCs w:val="22"/>
        </w:rPr>
        <w:t>květen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A72150">
        <w:rPr>
          <w:sz w:val="22"/>
          <w:szCs w:val="22"/>
        </w:rPr>
        <w:t>15,9</w:t>
      </w:r>
      <w:r w:rsidR="00B83EEE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 xml:space="preserve"> a vývoz sušeného odtučněného mléka o </w:t>
      </w:r>
      <w:r w:rsidR="00A72150">
        <w:rPr>
          <w:sz w:val="22"/>
          <w:szCs w:val="22"/>
        </w:rPr>
        <w:t>1</w:t>
      </w:r>
      <w:r w:rsidR="00265534">
        <w:rPr>
          <w:sz w:val="22"/>
          <w:szCs w:val="22"/>
        </w:rPr>
        <w:t>,5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A72150">
        <w:rPr>
          <w:sz w:val="22"/>
          <w:szCs w:val="22"/>
        </w:rPr>
        <w:t>7</w:t>
      </w:r>
      <w:r w:rsidR="00265534">
        <w:rPr>
          <w:sz w:val="22"/>
          <w:szCs w:val="22"/>
        </w:rPr>
        <w:t>1,</w:t>
      </w:r>
      <w:r w:rsidR="00A72150">
        <w:rPr>
          <w:sz w:val="22"/>
          <w:szCs w:val="22"/>
        </w:rPr>
        <w:t>7</w:t>
      </w:r>
      <w:r w:rsidR="00883804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A72150">
        <w:rPr>
          <w:sz w:val="22"/>
          <w:szCs w:val="22"/>
        </w:rPr>
        <w:t>propadl</w:t>
      </w:r>
      <w:r w:rsidR="00B83EEE">
        <w:rPr>
          <w:sz w:val="22"/>
          <w:szCs w:val="22"/>
        </w:rPr>
        <w:t xml:space="preserve"> o </w:t>
      </w:r>
      <w:r w:rsidR="00A72150">
        <w:rPr>
          <w:sz w:val="22"/>
          <w:szCs w:val="22"/>
        </w:rPr>
        <w:t>11,4</w:t>
      </w:r>
      <w:r w:rsidR="00B83EEE">
        <w:rPr>
          <w:sz w:val="22"/>
          <w:szCs w:val="22"/>
        </w:rPr>
        <w:t xml:space="preserve"> %, posílil vývoz ostatních zakysaných mléčných výrobků o </w:t>
      </w:r>
      <w:r w:rsidR="00A72150">
        <w:rPr>
          <w:sz w:val="22"/>
          <w:szCs w:val="22"/>
        </w:rPr>
        <w:t>3,6</w:t>
      </w:r>
      <w:r w:rsidR="00B83EEE">
        <w:rPr>
          <w:sz w:val="22"/>
          <w:szCs w:val="22"/>
        </w:rPr>
        <w:t xml:space="preserve"> %. Vývoz čerstvého másla ve spotřebitelském balení se meziročně </w:t>
      </w:r>
      <w:r w:rsidR="00A72150">
        <w:rPr>
          <w:sz w:val="22"/>
          <w:szCs w:val="22"/>
        </w:rPr>
        <w:t>snížil o 21,3 %</w:t>
      </w:r>
      <w:r w:rsidR="00D24F63">
        <w:rPr>
          <w:sz w:val="22"/>
          <w:szCs w:val="22"/>
        </w:rPr>
        <w:t xml:space="preserve">, </w:t>
      </w:r>
      <w:r w:rsidR="00B83EEE"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 w:rsidR="00A72150">
        <w:rPr>
          <w:sz w:val="22"/>
          <w:szCs w:val="22"/>
        </w:rPr>
        <w:t>67,7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72395D">
        <w:rPr>
          <w:b/>
          <w:sz w:val="22"/>
          <w:szCs w:val="22"/>
        </w:rPr>
        <w:t>Dovozy ze tří zemí - z Německa (</w:t>
      </w:r>
      <w:r w:rsidR="002D63FB">
        <w:rPr>
          <w:b/>
          <w:sz w:val="22"/>
          <w:szCs w:val="22"/>
        </w:rPr>
        <w:t>41,9</w:t>
      </w:r>
      <w:r w:rsidRPr="0072395D">
        <w:rPr>
          <w:b/>
          <w:sz w:val="22"/>
          <w:szCs w:val="22"/>
        </w:rPr>
        <w:t xml:space="preserve"> %), Polska (</w:t>
      </w:r>
      <w:r w:rsidR="00CF3C41" w:rsidRPr="0072395D">
        <w:rPr>
          <w:b/>
          <w:sz w:val="22"/>
          <w:szCs w:val="22"/>
        </w:rPr>
        <w:t>27,</w:t>
      </w:r>
      <w:r w:rsidR="002D63FB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%) a Slovenska (</w:t>
      </w:r>
      <w:r w:rsidR="002D63FB">
        <w:rPr>
          <w:b/>
          <w:sz w:val="22"/>
          <w:szCs w:val="22"/>
        </w:rPr>
        <w:t>14,1</w:t>
      </w:r>
      <w:r w:rsidRPr="0072395D">
        <w:rPr>
          <w:b/>
          <w:sz w:val="22"/>
          <w:szCs w:val="22"/>
        </w:rPr>
        <w:t xml:space="preserve"> %) představují </w:t>
      </w:r>
      <w:r w:rsidR="002567B0" w:rsidRPr="0072395D">
        <w:rPr>
          <w:b/>
          <w:sz w:val="22"/>
          <w:szCs w:val="22"/>
        </w:rPr>
        <w:t xml:space="preserve">celkem </w:t>
      </w:r>
      <w:r w:rsidR="00CF3C41" w:rsidRPr="0072395D">
        <w:rPr>
          <w:b/>
          <w:sz w:val="22"/>
          <w:szCs w:val="22"/>
        </w:rPr>
        <w:t>8</w:t>
      </w:r>
      <w:r w:rsidR="008A5315">
        <w:rPr>
          <w:b/>
          <w:sz w:val="22"/>
          <w:szCs w:val="22"/>
        </w:rPr>
        <w:t>3</w:t>
      </w:r>
      <w:r w:rsidR="00CF3C41" w:rsidRPr="0072395D">
        <w:rPr>
          <w:b/>
          <w:sz w:val="22"/>
          <w:szCs w:val="22"/>
        </w:rPr>
        <w:t>,</w:t>
      </w:r>
      <w:r w:rsidR="002D63FB">
        <w:rPr>
          <w:b/>
          <w:sz w:val="22"/>
          <w:szCs w:val="22"/>
        </w:rPr>
        <w:t>4</w:t>
      </w:r>
      <w:r w:rsidR="00F82D6A" w:rsidRPr="0072395D">
        <w:rPr>
          <w:b/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 w:rsidR="002D63FB">
        <w:rPr>
          <w:sz w:val="22"/>
          <w:szCs w:val="22"/>
        </w:rPr>
        <w:t>květnu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>e 3</w:t>
      </w:r>
      <w:r w:rsidR="002D63FB">
        <w:rPr>
          <w:b/>
          <w:sz w:val="22"/>
          <w:szCs w:val="22"/>
        </w:rPr>
        <w:t>1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2D63FB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dochází k výraznému</w:t>
      </w:r>
      <w:r w:rsidR="00F82D6A">
        <w:rPr>
          <w:sz w:val="22"/>
          <w:szCs w:val="22"/>
        </w:rPr>
        <w:t xml:space="preserve"> </w:t>
      </w:r>
      <w:r w:rsidR="002B13BE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2D63FB">
        <w:rPr>
          <w:sz w:val="22"/>
          <w:szCs w:val="22"/>
        </w:rPr>
        <w:t>557,2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2D63FB">
        <w:rPr>
          <w:sz w:val="22"/>
          <w:szCs w:val="22"/>
        </w:rPr>
        <w:t>13,7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2D63FB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2D63FB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2D63FB">
        <w:rPr>
          <w:sz w:val="22"/>
          <w:szCs w:val="22"/>
        </w:rPr>
        <w:t>2 477</w:t>
      </w:r>
      <w:r>
        <w:rPr>
          <w:sz w:val="22"/>
          <w:szCs w:val="22"/>
        </w:rPr>
        <w:t xml:space="preserve"> t na celkových </w:t>
      </w:r>
      <w:r w:rsidR="002D63FB">
        <w:rPr>
          <w:sz w:val="22"/>
          <w:szCs w:val="22"/>
        </w:rPr>
        <w:t>33 158</w:t>
      </w:r>
      <w:r>
        <w:rPr>
          <w:sz w:val="22"/>
          <w:szCs w:val="22"/>
        </w:rPr>
        <w:t xml:space="preserve"> t. </w:t>
      </w:r>
      <w:r w:rsidRPr="008D5306">
        <w:rPr>
          <w:b/>
          <w:sz w:val="22"/>
          <w:szCs w:val="22"/>
          <w:u w:val="single"/>
        </w:rPr>
        <w:t xml:space="preserve">Toto </w:t>
      </w:r>
      <w:r w:rsidR="008D5306"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 w:rsidR="00CF3C41" w:rsidRPr="008D5306">
        <w:rPr>
          <w:b/>
          <w:sz w:val="22"/>
          <w:szCs w:val="22"/>
          <w:u w:val="single"/>
        </w:rPr>
        <w:t>6</w:t>
      </w:r>
      <w:r w:rsidR="00A82D18" w:rsidRPr="008D5306">
        <w:rPr>
          <w:b/>
          <w:sz w:val="22"/>
          <w:szCs w:val="22"/>
          <w:u w:val="single"/>
        </w:rPr>
        <w:t>3</w:t>
      </w:r>
      <w:r w:rsidR="00CF3C41" w:rsidRPr="008D5306">
        <w:rPr>
          <w:b/>
          <w:sz w:val="22"/>
          <w:szCs w:val="22"/>
          <w:u w:val="single"/>
        </w:rPr>
        <w:t>,</w:t>
      </w:r>
      <w:r w:rsidR="002D63FB" w:rsidRPr="008D5306">
        <w:rPr>
          <w:b/>
          <w:sz w:val="22"/>
          <w:szCs w:val="22"/>
          <w:u w:val="single"/>
        </w:rPr>
        <w:t>2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</w:t>
      </w:r>
      <w:r w:rsidR="002D63FB">
        <w:rPr>
          <w:sz w:val="22"/>
          <w:szCs w:val="22"/>
        </w:rPr>
        <w:t>květnu</w:t>
      </w:r>
      <w:r w:rsidR="00D24F63">
        <w:rPr>
          <w:sz w:val="22"/>
          <w:szCs w:val="22"/>
        </w:rPr>
        <w:t xml:space="preserve"> 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</w:t>
      </w:r>
      <w:r w:rsidRPr="002D63FB">
        <w:rPr>
          <w:i/>
          <w:sz w:val="22"/>
          <w:szCs w:val="22"/>
        </w:rPr>
        <w:t xml:space="preserve">(např. </w:t>
      </w:r>
      <w:r w:rsidR="002D63FB" w:rsidRPr="002D63FB">
        <w:rPr>
          <w:i/>
          <w:sz w:val="22"/>
          <w:szCs w:val="22"/>
        </w:rPr>
        <w:t>5 329</w:t>
      </w:r>
      <w:r w:rsidRPr="002D63FB">
        <w:rPr>
          <w:i/>
          <w:sz w:val="22"/>
          <w:szCs w:val="22"/>
        </w:rPr>
        <w:t xml:space="preserve"> t Eidamu za průměrnou dovozní cenu </w:t>
      </w:r>
      <w:r w:rsidR="00A82D18" w:rsidRPr="002D63FB">
        <w:rPr>
          <w:i/>
          <w:sz w:val="22"/>
          <w:szCs w:val="22"/>
        </w:rPr>
        <w:t>72,</w:t>
      </w:r>
      <w:r w:rsidR="002D63FB" w:rsidRPr="002D63FB">
        <w:rPr>
          <w:i/>
          <w:sz w:val="22"/>
          <w:szCs w:val="22"/>
        </w:rPr>
        <w:t>17</w:t>
      </w:r>
      <w:r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A82D18" w:rsidRPr="002D63FB">
        <w:rPr>
          <w:i/>
          <w:sz w:val="22"/>
          <w:szCs w:val="22"/>
          <w:u w:val="single"/>
        </w:rPr>
        <w:t>dubnu</w:t>
      </w:r>
      <w:r w:rsidR="006D2BE4" w:rsidRPr="002D63FB">
        <w:rPr>
          <w:i/>
          <w:sz w:val="22"/>
          <w:szCs w:val="22"/>
          <w:u w:val="single"/>
        </w:rPr>
        <w:t xml:space="preserve"> byla </w:t>
      </w:r>
      <w:r w:rsidR="00A82D18" w:rsidRPr="002D63FB">
        <w:rPr>
          <w:i/>
          <w:sz w:val="22"/>
          <w:szCs w:val="22"/>
          <w:u w:val="single"/>
        </w:rPr>
        <w:t>12</w:t>
      </w:r>
      <w:r w:rsidR="002D63FB" w:rsidRPr="002D63FB">
        <w:rPr>
          <w:i/>
          <w:sz w:val="22"/>
          <w:szCs w:val="22"/>
          <w:u w:val="single"/>
        </w:rPr>
        <w:t>0</w:t>
      </w:r>
      <w:r w:rsidR="00A82D18" w:rsidRPr="002D63FB">
        <w:rPr>
          <w:i/>
          <w:sz w:val="22"/>
          <w:szCs w:val="22"/>
          <w:u w:val="single"/>
        </w:rPr>
        <w:t>,</w:t>
      </w:r>
      <w:r w:rsidR="002D63FB" w:rsidRPr="002D63FB">
        <w:rPr>
          <w:i/>
          <w:sz w:val="22"/>
          <w:szCs w:val="22"/>
          <w:u w:val="single"/>
        </w:rPr>
        <w:t>45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2D63FB" w:rsidRPr="002D63FB">
        <w:rPr>
          <w:i/>
          <w:sz w:val="22"/>
          <w:szCs w:val="22"/>
        </w:rPr>
        <w:t>a dále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2D63FB" w:rsidRPr="002D63FB">
        <w:rPr>
          <w:i/>
          <w:sz w:val="22"/>
          <w:szCs w:val="22"/>
        </w:rPr>
        <w:t>5 903,5 t čerstvých sýrů a tvarohů za průměrnou dovozní cenu 45,06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>
        <w:rPr>
          <w:sz w:val="22"/>
          <w:szCs w:val="22"/>
        </w:rPr>
        <w:t>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 xml:space="preserve">(např.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2D63FB" w:rsidRPr="002D63FB">
        <w:rPr>
          <w:i/>
          <w:sz w:val="22"/>
          <w:szCs w:val="22"/>
          <w:u w:val="single"/>
        </w:rPr>
        <w:t>2 421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CA2381" w:rsidRPr="002D63FB">
        <w:rPr>
          <w:i/>
          <w:sz w:val="22"/>
          <w:szCs w:val="22"/>
          <w:u w:val="single"/>
        </w:rPr>
        <w:t>71,</w:t>
      </w:r>
      <w:r w:rsidR="002D63FB" w:rsidRPr="002D63FB">
        <w:rPr>
          <w:i/>
          <w:sz w:val="22"/>
          <w:szCs w:val="22"/>
          <w:u w:val="single"/>
        </w:rPr>
        <w:t>29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A82D18" w:rsidRPr="002D63FB">
        <w:rPr>
          <w:i/>
          <w:sz w:val="22"/>
          <w:szCs w:val="22"/>
          <w:u w:val="single"/>
        </w:rPr>
        <w:t>19</w:t>
      </w:r>
      <w:r w:rsidR="002D63FB" w:rsidRPr="002D63FB">
        <w:rPr>
          <w:i/>
          <w:sz w:val="22"/>
          <w:szCs w:val="22"/>
          <w:u w:val="single"/>
        </w:rPr>
        <w:t>7</w:t>
      </w:r>
      <w:r w:rsidR="00A82D18" w:rsidRPr="002D63FB">
        <w:rPr>
          <w:i/>
          <w:sz w:val="22"/>
          <w:szCs w:val="22"/>
          <w:u w:val="single"/>
        </w:rPr>
        <w:t>,7</w:t>
      </w:r>
      <w:r w:rsidR="002D63FB" w:rsidRPr="002D63FB">
        <w:rPr>
          <w:i/>
          <w:sz w:val="22"/>
          <w:szCs w:val="22"/>
          <w:u w:val="single"/>
        </w:rPr>
        <w:t>7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2D63FB" w:rsidRPr="002D63FB">
        <w:rPr>
          <w:i/>
          <w:sz w:val="22"/>
          <w:szCs w:val="22"/>
        </w:rPr>
        <w:t>2 430</w:t>
      </w:r>
      <w:r w:rsidR="00DF1492" w:rsidRPr="002D63FB">
        <w:rPr>
          <w:i/>
          <w:sz w:val="22"/>
          <w:szCs w:val="22"/>
        </w:rPr>
        <w:t xml:space="preserve"> t za </w:t>
      </w:r>
      <w:r w:rsidR="00CA2381" w:rsidRPr="002D63FB">
        <w:rPr>
          <w:i/>
          <w:sz w:val="22"/>
          <w:szCs w:val="22"/>
        </w:rPr>
        <w:t>7</w:t>
      </w:r>
      <w:r w:rsidR="002D63FB" w:rsidRPr="002D63FB">
        <w:rPr>
          <w:i/>
          <w:sz w:val="22"/>
          <w:szCs w:val="22"/>
        </w:rPr>
        <w:t>6</w:t>
      </w:r>
      <w:r w:rsidR="00CA2381" w:rsidRPr="002D63FB">
        <w:rPr>
          <w:i/>
          <w:sz w:val="22"/>
          <w:szCs w:val="22"/>
        </w:rPr>
        <w:t>,</w:t>
      </w:r>
      <w:r w:rsidR="002D63FB" w:rsidRPr="002D63FB">
        <w:rPr>
          <w:i/>
          <w:sz w:val="22"/>
          <w:szCs w:val="22"/>
        </w:rPr>
        <w:t>79</w:t>
      </w:r>
      <w:r w:rsidR="00DF1492" w:rsidRPr="002D63FB">
        <w:rPr>
          <w:i/>
          <w:sz w:val="22"/>
          <w:szCs w:val="22"/>
        </w:rPr>
        <w:t xml:space="preserve"> Kč/kg</w:t>
      </w:r>
      <w:r w:rsidR="00CA2381" w:rsidRPr="002D63FB">
        <w:rPr>
          <w:i/>
          <w:sz w:val="22"/>
          <w:szCs w:val="22"/>
        </w:rPr>
        <w:t xml:space="preserve">, Camembert – </w:t>
      </w:r>
      <w:r w:rsidR="00A82D18" w:rsidRPr="002D63FB">
        <w:rPr>
          <w:i/>
          <w:sz w:val="22"/>
          <w:szCs w:val="22"/>
        </w:rPr>
        <w:t xml:space="preserve">1 </w:t>
      </w:r>
      <w:r w:rsidR="002D63FB" w:rsidRPr="002D63FB">
        <w:rPr>
          <w:i/>
          <w:sz w:val="22"/>
          <w:szCs w:val="22"/>
        </w:rPr>
        <w:t>699</w:t>
      </w:r>
      <w:r w:rsidR="00CA2381" w:rsidRPr="002D63FB">
        <w:rPr>
          <w:i/>
          <w:sz w:val="22"/>
          <w:szCs w:val="22"/>
        </w:rPr>
        <w:t xml:space="preserve"> t za </w:t>
      </w:r>
      <w:r w:rsidR="00A82D18" w:rsidRPr="002D63FB">
        <w:rPr>
          <w:i/>
          <w:sz w:val="22"/>
          <w:szCs w:val="22"/>
        </w:rPr>
        <w:t>93,</w:t>
      </w:r>
      <w:r w:rsidR="002D63FB" w:rsidRPr="002D63FB">
        <w:rPr>
          <w:i/>
          <w:sz w:val="22"/>
          <w:szCs w:val="22"/>
        </w:rPr>
        <w:t>36</w:t>
      </w:r>
      <w:r w:rsidR="00CA2381" w:rsidRPr="002D63FB">
        <w:rPr>
          <w:i/>
          <w:sz w:val="22"/>
          <w:szCs w:val="22"/>
        </w:rPr>
        <w:t xml:space="preserve"> Kč/kg)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A82D18">
        <w:rPr>
          <w:sz w:val="22"/>
          <w:szCs w:val="22"/>
        </w:rPr>
        <w:t xml:space="preserve">1 </w:t>
      </w:r>
      <w:r w:rsidR="002D63FB">
        <w:rPr>
          <w:sz w:val="22"/>
          <w:szCs w:val="22"/>
        </w:rPr>
        <w:t>766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2D63FB">
        <w:rPr>
          <w:sz w:val="22"/>
          <w:szCs w:val="22"/>
        </w:rPr>
        <w:t>9,8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 Německa, Polska</w:t>
      </w:r>
      <w:r w:rsidR="008D5306">
        <w:rPr>
          <w:sz w:val="22"/>
          <w:szCs w:val="22"/>
        </w:rPr>
        <w:t>, Slovenska</w:t>
      </w:r>
      <w:r w:rsidR="00DF1492">
        <w:rPr>
          <w:sz w:val="22"/>
          <w:szCs w:val="22"/>
        </w:rPr>
        <w:t xml:space="preserve"> </w:t>
      </w:r>
      <w:r w:rsidR="002D63FB">
        <w:rPr>
          <w:sz w:val="22"/>
          <w:szCs w:val="22"/>
        </w:rPr>
        <w:t>a Rakouska</w:t>
      </w:r>
      <w:r w:rsidR="00CA2381">
        <w:rPr>
          <w:sz w:val="22"/>
          <w:szCs w:val="22"/>
        </w:rPr>
        <w:t xml:space="preserve">. </w:t>
      </w:r>
      <w:r w:rsidR="00DF1492" w:rsidRPr="008D5306">
        <w:rPr>
          <w:b/>
          <w:sz w:val="22"/>
          <w:szCs w:val="22"/>
          <w:u w:val="single"/>
        </w:rPr>
        <w:t xml:space="preserve">Dovozy másla v objemu </w:t>
      </w:r>
      <w:r w:rsidR="008D5306" w:rsidRPr="008D5306">
        <w:rPr>
          <w:b/>
          <w:sz w:val="22"/>
          <w:szCs w:val="22"/>
          <w:u w:val="single"/>
        </w:rPr>
        <w:t>8 038</w:t>
      </w:r>
      <w:r w:rsidR="00DF1492" w:rsidRPr="008D5306">
        <w:rPr>
          <w:b/>
          <w:sz w:val="22"/>
          <w:szCs w:val="22"/>
          <w:u w:val="single"/>
        </w:rPr>
        <w:t xml:space="preserve"> t </w:t>
      </w:r>
      <w:r w:rsidR="00EF2BEC" w:rsidRPr="008D5306">
        <w:rPr>
          <w:b/>
          <w:sz w:val="22"/>
          <w:szCs w:val="22"/>
          <w:u w:val="single"/>
        </w:rPr>
        <w:t>v</w:t>
      </w:r>
      <w:r w:rsidR="00CA2381" w:rsidRPr="008D5306">
        <w:rPr>
          <w:b/>
          <w:sz w:val="22"/>
          <w:szCs w:val="22"/>
          <w:u w:val="single"/>
        </w:rPr>
        <w:t> </w:t>
      </w:r>
      <w:r w:rsidR="00EF2BEC" w:rsidRPr="008D5306">
        <w:rPr>
          <w:b/>
          <w:sz w:val="22"/>
          <w:szCs w:val="22"/>
          <w:u w:val="single"/>
        </w:rPr>
        <w:t>lednu</w:t>
      </w:r>
      <w:r w:rsidR="00CA2381" w:rsidRPr="008D5306">
        <w:rPr>
          <w:b/>
          <w:sz w:val="22"/>
          <w:szCs w:val="22"/>
          <w:u w:val="single"/>
        </w:rPr>
        <w:t xml:space="preserve"> a</w:t>
      </w:r>
      <w:r w:rsidR="00AB1FB4" w:rsidRPr="008D5306">
        <w:rPr>
          <w:b/>
          <w:sz w:val="22"/>
          <w:szCs w:val="22"/>
          <w:u w:val="single"/>
        </w:rPr>
        <w:t>ž</w:t>
      </w:r>
      <w:r w:rsidR="00CA2381" w:rsidRPr="008D5306">
        <w:rPr>
          <w:b/>
          <w:sz w:val="22"/>
          <w:szCs w:val="22"/>
          <w:u w:val="single"/>
        </w:rPr>
        <w:t xml:space="preserve"> </w:t>
      </w:r>
      <w:r w:rsidR="008D5306" w:rsidRPr="008D5306">
        <w:rPr>
          <w:b/>
          <w:sz w:val="22"/>
          <w:szCs w:val="22"/>
          <w:u w:val="single"/>
        </w:rPr>
        <w:t>květnu</w:t>
      </w:r>
      <w:r w:rsidR="00EF2BEC" w:rsidRPr="008D5306">
        <w:rPr>
          <w:b/>
          <w:sz w:val="22"/>
          <w:szCs w:val="22"/>
          <w:u w:val="single"/>
        </w:rPr>
        <w:t xml:space="preserve"> 2012 představují </w:t>
      </w:r>
      <w:r w:rsidR="008D5306" w:rsidRPr="008D5306">
        <w:rPr>
          <w:b/>
          <w:sz w:val="22"/>
          <w:szCs w:val="22"/>
          <w:u w:val="single"/>
        </w:rPr>
        <w:t>49,3</w:t>
      </w:r>
      <w:r w:rsidR="00DF1492" w:rsidRPr="008D5306">
        <w:rPr>
          <w:b/>
          <w:sz w:val="22"/>
          <w:szCs w:val="22"/>
          <w:u w:val="single"/>
        </w:rPr>
        <w:t xml:space="preserve"> % podílu z domácí výroby másla</w:t>
      </w:r>
      <w:r w:rsidR="00DF1492" w:rsidRPr="008D5306">
        <w:rPr>
          <w:sz w:val="22"/>
          <w:szCs w:val="22"/>
          <w:u w:val="single"/>
        </w:rPr>
        <w:t>.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</w:t>
      </w:r>
      <w:r w:rsidR="008D5306">
        <w:rPr>
          <w:sz w:val="22"/>
          <w:szCs w:val="22"/>
        </w:rPr>
        <w:t>květnu</w:t>
      </w:r>
      <w:r w:rsidR="00CA2381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8D5306">
        <w:rPr>
          <w:sz w:val="22"/>
          <w:szCs w:val="22"/>
        </w:rPr>
        <w:t>3 359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9</w:t>
      </w:r>
      <w:r w:rsidR="008D5306">
        <w:rPr>
          <w:sz w:val="22"/>
          <w:szCs w:val="22"/>
        </w:rPr>
        <w:t>0</w:t>
      </w:r>
      <w:r w:rsidR="00A82D18">
        <w:rPr>
          <w:sz w:val="22"/>
          <w:szCs w:val="22"/>
        </w:rPr>
        <w:t>,</w:t>
      </w:r>
      <w:r w:rsidR="008D5306">
        <w:rPr>
          <w:sz w:val="22"/>
          <w:szCs w:val="22"/>
        </w:rPr>
        <w:t>87</w:t>
      </w:r>
      <w:r w:rsidR="00DF1492">
        <w:rPr>
          <w:sz w:val="22"/>
          <w:szCs w:val="22"/>
        </w:rPr>
        <w:t xml:space="preserve"> Kč/kg), Polska (</w:t>
      </w:r>
      <w:r w:rsidR="008D5306">
        <w:rPr>
          <w:sz w:val="22"/>
          <w:szCs w:val="22"/>
        </w:rPr>
        <w:t>2 470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7</w:t>
      </w:r>
      <w:r w:rsidR="008D5306">
        <w:rPr>
          <w:sz w:val="22"/>
          <w:szCs w:val="22"/>
        </w:rPr>
        <w:t>3</w:t>
      </w:r>
      <w:r w:rsidR="00A82D18">
        <w:rPr>
          <w:sz w:val="22"/>
          <w:szCs w:val="22"/>
        </w:rPr>
        <w:t>,</w:t>
      </w:r>
      <w:r w:rsidR="008D5306">
        <w:rPr>
          <w:sz w:val="22"/>
          <w:szCs w:val="22"/>
        </w:rPr>
        <w:t>11</w:t>
      </w:r>
      <w:r w:rsidR="00DF1492">
        <w:rPr>
          <w:sz w:val="22"/>
          <w:szCs w:val="22"/>
        </w:rPr>
        <w:t xml:space="preserve"> Kč/kg) a z</w:t>
      </w:r>
      <w:r w:rsidR="00AB1FB4">
        <w:rPr>
          <w:sz w:val="22"/>
          <w:szCs w:val="22"/>
        </w:rPr>
        <w:t>e</w:t>
      </w:r>
      <w:r w:rsidR="00DF1492">
        <w:rPr>
          <w:sz w:val="22"/>
          <w:szCs w:val="22"/>
        </w:rPr>
        <w:t> </w:t>
      </w:r>
      <w:r w:rsidR="00AB1FB4">
        <w:rPr>
          <w:sz w:val="22"/>
          <w:szCs w:val="22"/>
        </w:rPr>
        <w:t>Slovenska</w:t>
      </w:r>
      <w:r w:rsidR="00DF1492">
        <w:rPr>
          <w:sz w:val="22"/>
          <w:szCs w:val="22"/>
        </w:rPr>
        <w:t xml:space="preserve"> (</w:t>
      </w:r>
      <w:r w:rsidR="008D5306">
        <w:rPr>
          <w:sz w:val="22"/>
          <w:szCs w:val="22"/>
        </w:rPr>
        <w:t>1 036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68,</w:t>
      </w:r>
      <w:r w:rsidR="008D5306">
        <w:rPr>
          <w:sz w:val="22"/>
          <w:szCs w:val="22"/>
        </w:rPr>
        <w:t>8</w:t>
      </w:r>
      <w:r w:rsidR="00A82D18">
        <w:rPr>
          <w:sz w:val="22"/>
          <w:szCs w:val="22"/>
        </w:rPr>
        <w:t>7</w:t>
      </w:r>
      <w:r w:rsidR="00436DBA">
        <w:rPr>
          <w:sz w:val="22"/>
          <w:szCs w:val="22"/>
        </w:rPr>
        <w:t xml:space="preserve"> Kč/kg), spotřebitelská cena ČR v</w:t>
      </w:r>
      <w:r w:rsidR="00AB1FB4">
        <w:rPr>
          <w:sz w:val="22"/>
          <w:szCs w:val="22"/>
        </w:rPr>
        <w:t> </w:t>
      </w:r>
      <w:r w:rsidR="008D5306">
        <w:rPr>
          <w:sz w:val="22"/>
          <w:szCs w:val="22"/>
        </w:rPr>
        <w:t>květnu</w:t>
      </w:r>
      <w:r w:rsidR="00AB1FB4">
        <w:rPr>
          <w:sz w:val="22"/>
          <w:szCs w:val="22"/>
        </w:rPr>
        <w:t xml:space="preserve"> 2012</w:t>
      </w:r>
      <w:r w:rsidR="00436DBA">
        <w:rPr>
          <w:sz w:val="22"/>
          <w:szCs w:val="22"/>
        </w:rPr>
        <w:t xml:space="preserve"> byla </w:t>
      </w:r>
      <w:r w:rsidR="00A82D18">
        <w:rPr>
          <w:sz w:val="22"/>
          <w:szCs w:val="22"/>
        </w:rPr>
        <w:t>13</w:t>
      </w:r>
      <w:r w:rsidR="008D5306">
        <w:rPr>
          <w:sz w:val="22"/>
          <w:szCs w:val="22"/>
        </w:rPr>
        <w:t>0</w:t>
      </w:r>
      <w:r w:rsidR="00A82D18">
        <w:rPr>
          <w:sz w:val="22"/>
          <w:szCs w:val="22"/>
        </w:rPr>
        <w:t>,</w:t>
      </w:r>
      <w:r w:rsidR="008D5306">
        <w:rPr>
          <w:sz w:val="22"/>
          <w:szCs w:val="22"/>
        </w:rPr>
        <w:t>97</w:t>
      </w:r>
      <w:r w:rsidR="00436DBA">
        <w:rPr>
          <w:sz w:val="22"/>
          <w:szCs w:val="22"/>
        </w:rPr>
        <w:t xml:space="preserve"> Kč/kg.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FC3506" w:rsidP="00C203E0">
      <w:pPr>
        <w:ind w:left="284"/>
        <w:jc w:val="both"/>
        <w:rPr>
          <w:sz w:val="22"/>
          <w:szCs w:val="22"/>
        </w:rPr>
      </w:pPr>
      <w:r w:rsidRPr="00FC3506">
        <w:rPr>
          <w:noProof/>
          <w:sz w:val="22"/>
          <w:szCs w:val="22"/>
        </w:rPr>
        <w:drawing>
          <wp:inline distT="0" distB="0" distL="0" distR="0">
            <wp:extent cx="5972810" cy="3860165"/>
            <wp:effectExtent l="19050" t="0" r="27940" b="698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lastRenderedPageBreak/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39 588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41 439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CF1A4D" w:rsidRDefault="00AB0983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204 105</w:t>
            </w: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93864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AB0983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93864">
              <w:rPr>
                <w:i/>
                <w:sz w:val="18"/>
                <w:szCs w:val="18"/>
              </w:rPr>
              <w:t>7</w:t>
            </w:r>
            <w:r w:rsidR="00AB0983">
              <w:rPr>
                <w:i/>
                <w:sz w:val="18"/>
                <w:szCs w:val="18"/>
              </w:rPr>
              <w:t>0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CB" w:rsidRDefault="007362CB" w:rsidP="00CC65A3">
      <w:pPr>
        <w:pStyle w:val="POZNMKA"/>
      </w:pPr>
      <w:r>
        <w:separator/>
      </w:r>
    </w:p>
  </w:endnote>
  <w:endnote w:type="continuationSeparator" w:id="0">
    <w:p w:rsidR="007362CB" w:rsidRDefault="007362C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B" w:rsidRDefault="007502D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79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795B" w:rsidRDefault="0011795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5B" w:rsidRDefault="0011795B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7502D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7502D8" w:rsidRPr="00697EEE">
      <w:rPr>
        <w:sz w:val="20"/>
      </w:rPr>
      <w:fldChar w:fldCharType="separate"/>
    </w:r>
    <w:r w:rsidR="00F15245">
      <w:rPr>
        <w:noProof/>
        <w:sz w:val="20"/>
      </w:rPr>
      <w:t>7</w:t>
    </w:r>
    <w:r w:rsidR="007502D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CB" w:rsidRDefault="007362CB" w:rsidP="00CC65A3">
      <w:pPr>
        <w:pStyle w:val="POZNMKA"/>
      </w:pPr>
      <w:r>
        <w:separator/>
      </w:r>
    </w:p>
  </w:footnote>
  <w:footnote w:type="continuationSeparator" w:id="0">
    <w:p w:rsidR="007362CB" w:rsidRDefault="007362C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3C63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52EC9"/>
    <w:rsid w:val="0005309F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4764"/>
    <w:rsid w:val="00086B4B"/>
    <w:rsid w:val="00086DC1"/>
    <w:rsid w:val="00093864"/>
    <w:rsid w:val="00093FC1"/>
    <w:rsid w:val="00095002"/>
    <w:rsid w:val="00095191"/>
    <w:rsid w:val="0009794F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D007A"/>
    <w:rsid w:val="000D02C3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6D95"/>
    <w:rsid w:val="00107C56"/>
    <w:rsid w:val="00110D86"/>
    <w:rsid w:val="00114F7A"/>
    <w:rsid w:val="00116195"/>
    <w:rsid w:val="0011795B"/>
    <w:rsid w:val="00117A88"/>
    <w:rsid w:val="00120728"/>
    <w:rsid w:val="0012088B"/>
    <w:rsid w:val="00124352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4ECC"/>
    <w:rsid w:val="00145FC0"/>
    <w:rsid w:val="001478F0"/>
    <w:rsid w:val="001479E3"/>
    <w:rsid w:val="001514E2"/>
    <w:rsid w:val="00152BC8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A43F7"/>
    <w:rsid w:val="001A490F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5DF9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2020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5534"/>
    <w:rsid w:val="002662AE"/>
    <w:rsid w:val="00271160"/>
    <w:rsid w:val="002711C5"/>
    <w:rsid w:val="00271F22"/>
    <w:rsid w:val="00272382"/>
    <w:rsid w:val="002725B2"/>
    <w:rsid w:val="00276DF1"/>
    <w:rsid w:val="00281B69"/>
    <w:rsid w:val="00282125"/>
    <w:rsid w:val="002824C4"/>
    <w:rsid w:val="002847D2"/>
    <w:rsid w:val="00287047"/>
    <w:rsid w:val="002908B7"/>
    <w:rsid w:val="00291D3E"/>
    <w:rsid w:val="002A03B3"/>
    <w:rsid w:val="002A27D3"/>
    <w:rsid w:val="002A7068"/>
    <w:rsid w:val="002B0C7A"/>
    <w:rsid w:val="002B13BE"/>
    <w:rsid w:val="002B2318"/>
    <w:rsid w:val="002B2C35"/>
    <w:rsid w:val="002B3AAA"/>
    <w:rsid w:val="002B495D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6217"/>
    <w:rsid w:val="002D63FB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4C0"/>
    <w:rsid w:val="00341B13"/>
    <w:rsid w:val="0034523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9318D"/>
    <w:rsid w:val="00394C2C"/>
    <w:rsid w:val="00395423"/>
    <w:rsid w:val="00396A8C"/>
    <w:rsid w:val="003A1122"/>
    <w:rsid w:val="003A4142"/>
    <w:rsid w:val="003A42A4"/>
    <w:rsid w:val="003B47C3"/>
    <w:rsid w:val="003B710E"/>
    <w:rsid w:val="003C0B6C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476"/>
    <w:rsid w:val="00414B37"/>
    <w:rsid w:val="004151D2"/>
    <w:rsid w:val="004174AE"/>
    <w:rsid w:val="00422C1B"/>
    <w:rsid w:val="00424775"/>
    <w:rsid w:val="004249DB"/>
    <w:rsid w:val="00425178"/>
    <w:rsid w:val="00426E2A"/>
    <w:rsid w:val="00431C68"/>
    <w:rsid w:val="0043218B"/>
    <w:rsid w:val="00432CBE"/>
    <w:rsid w:val="004341FB"/>
    <w:rsid w:val="00435AEB"/>
    <w:rsid w:val="00436DBA"/>
    <w:rsid w:val="004376CA"/>
    <w:rsid w:val="00441866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FA2"/>
    <w:rsid w:val="004D2086"/>
    <w:rsid w:val="004D2EA6"/>
    <w:rsid w:val="004D2F1D"/>
    <w:rsid w:val="004D409F"/>
    <w:rsid w:val="004E1BB4"/>
    <w:rsid w:val="004E25FB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D9E"/>
    <w:rsid w:val="005D0A69"/>
    <w:rsid w:val="005D2893"/>
    <w:rsid w:val="005D3E9E"/>
    <w:rsid w:val="005D4285"/>
    <w:rsid w:val="005D7D18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35EB7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54521"/>
    <w:rsid w:val="00663301"/>
    <w:rsid w:val="00666C78"/>
    <w:rsid w:val="00672F03"/>
    <w:rsid w:val="00673DE1"/>
    <w:rsid w:val="00674588"/>
    <w:rsid w:val="006753A3"/>
    <w:rsid w:val="0068003E"/>
    <w:rsid w:val="006809E5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A5C71"/>
    <w:rsid w:val="006B0C38"/>
    <w:rsid w:val="006B2128"/>
    <w:rsid w:val="006B4B37"/>
    <w:rsid w:val="006B64D0"/>
    <w:rsid w:val="006B7492"/>
    <w:rsid w:val="006C226C"/>
    <w:rsid w:val="006C37CF"/>
    <w:rsid w:val="006C5047"/>
    <w:rsid w:val="006C652D"/>
    <w:rsid w:val="006C749E"/>
    <w:rsid w:val="006D0D39"/>
    <w:rsid w:val="006D1AFE"/>
    <w:rsid w:val="006D2BE4"/>
    <w:rsid w:val="006D685D"/>
    <w:rsid w:val="006E05BA"/>
    <w:rsid w:val="006E0E85"/>
    <w:rsid w:val="006E457B"/>
    <w:rsid w:val="006E4AE1"/>
    <w:rsid w:val="006E55A3"/>
    <w:rsid w:val="006E6529"/>
    <w:rsid w:val="006E770F"/>
    <w:rsid w:val="006F331D"/>
    <w:rsid w:val="006F3459"/>
    <w:rsid w:val="006F4E94"/>
    <w:rsid w:val="006F6071"/>
    <w:rsid w:val="00703221"/>
    <w:rsid w:val="00704398"/>
    <w:rsid w:val="00710E31"/>
    <w:rsid w:val="00711C22"/>
    <w:rsid w:val="00712004"/>
    <w:rsid w:val="007120D1"/>
    <w:rsid w:val="007179FC"/>
    <w:rsid w:val="0072124F"/>
    <w:rsid w:val="007213A1"/>
    <w:rsid w:val="00722318"/>
    <w:rsid w:val="007223D1"/>
    <w:rsid w:val="0072395D"/>
    <w:rsid w:val="00724BC3"/>
    <w:rsid w:val="007277E0"/>
    <w:rsid w:val="00732A66"/>
    <w:rsid w:val="00732EE7"/>
    <w:rsid w:val="00734413"/>
    <w:rsid w:val="007355C4"/>
    <w:rsid w:val="00735893"/>
    <w:rsid w:val="007362CB"/>
    <w:rsid w:val="007371A4"/>
    <w:rsid w:val="00737668"/>
    <w:rsid w:val="007407BC"/>
    <w:rsid w:val="00741FA5"/>
    <w:rsid w:val="00742144"/>
    <w:rsid w:val="007432FB"/>
    <w:rsid w:val="00743984"/>
    <w:rsid w:val="00744D67"/>
    <w:rsid w:val="007457B8"/>
    <w:rsid w:val="00746768"/>
    <w:rsid w:val="007502D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2A6"/>
    <w:rsid w:val="007632A6"/>
    <w:rsid w:val="007657DE"/>
    <w:rsid w:val="007747CF"/>
    <w:rsid w:val="007747FA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3970"/>
    <w:rsid w:val="007B426C"/>
    <w:rsid w:val="007B5101"/>
    <w:rsid w:val="007B53DC"/>
    <w:rsid w:val="007B55A5"/>
    <w:rsid w:val="007B5B71"/>
    <w:rsid w:val="007C27F2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3C0"/>
    <w:rsid w:val="00844D1D"/>
    <w:rsid w:val="0084538A"/>
    <w:rsid w:val="008457DD"/>
    <w:rsid w:val="008477C0"/>
    <w:rsid w:val="008541BB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91AD2"/>
    <w:rsid w:val="00892320"/>
    <w:rsid w:val="00893D43"/>
    <w:rsid w:val="0089464E"/>
    <w:rsid w:val="00896AD9"/>
    <w:rsid w:val="008974DA"/>
    <w:rsid w:val="008A0BF6"/>
    <w:rsid w:val="008A3EBB"/>
    <w:rsid w:val="008A5315"/>
    <w:rsid w:val="008B10C6"/>
    <w:rsid w:val="008B19B1"/>
    <w:rsid w:val="008B7A8A"/>
    <w:rsid w:val="008C0C77"/>
    <w:rsid w:val="008C5B94"/>
    <w:rsid w:val="008C71D8"/>
    <w:rsid w:val="008C7B77"/>
    <w:rsid w:val="008C7EDD"/>
    <w:rsid w:val="008D0207"/>
    <w:rsid w:val="008D2024"/>
    <w:rsid w:val="008D27FE"/>
    <w:rsid w:val="008D48DF"/>
    <w:rsid w:val="008D5306"/>
    <w:rsid w:val="008D577C"/>
    <w:rsid w:val="008D593B"/>
    <w:rsid w:val="008E3B84"/>
    <w:rsid w:val="00901331"/>
    <w:rsid w:val="00902DCF"/>
    <w:rsid w:val="0090709A"/>
    <w:rsid w:val="00910C7E"/>
    <w:rsid w:val="009167C6"/>
    <w:rsid w:val="0091769E"/>
    <w:rsid w:val="009212F5"/>
    <w:rsid w:val="00923D6B"/>
    <w:rsid w:val="00924FCA"/>
    <w:rsid w:val="00932AE2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D0A"/>
    <w:rsid w:val="00956FF7"/>
    <w:rsid w:val="009574AB"/>
    <w:rsid w:val="00962D0E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19DE"/>
    <w:rsid w:val="0099270D"/>
    <w:rsid w:val="009975E5"/>
    <w:rsid w:val="00997AE8"/>
    <w:rsid w:val="009A018E"/>
    <w:rsid w:val="009A0AD0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4BB"/>
    <w:rsid w:val="009D06C4"/>
    <w:rsid w:val="009D1466"/>
    <w:rsid w:val="009D18AE"/>
    <w:rsid w:val="009D2FBA"/>
    <w:rsid w:val="009D638D"/>
    <w:rsid w:val="009E0B32"/>
    <w:rsid w:val="009E28AE"/>
    <w:rsid w:val="009E2910"/>
    <w:rsid w:val="009E5E40"/>
    <w:rsid w:val="009E607F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098F"/>
    <w:rsid w:val="00A232BD"/>
    <w:rsid w:val="00A23B7C"/>
    <w:rsid w:val="00A276AF"/>
    <w:rsid w:val="00A3205E"/>
    <w:rsid w:val="00A33711"/>
    <w:rsid w:val="00A343B7"/>
    <w:rsid w:val="00A360FF"/>
    <w:rsid w:val="00A37A89"/>
    <w:rsid w:val="00A37B54"/>
    <w:rsid w:val="00A37E38"/>
    <w:rsid w:val="00A4214E"/>
    <w:rsid w:val="00A42EB1"/>
    <w:rsid w:val="00A449CB"/>
    <w:rsid w:val="00A47E37"/>
    <w:rsid w:val="00A47E4A"/>
    <w:rsid w:val="00A50806"/>
    <w:rsid w:val="00A50895"/>
    <w:rsid w:val="00A50C58"/>
    <w:rsid w:val="00A553BD"/>
    <w:rsid w:val="00A61276"/>
    <w:rsid w:val="00A612D8"/>
    <w:rsid w:val="00A61974"/>
    <w:rsid w:val="00A62D5E"/>
    <w:rsid w:val="00A65B3F"/>
    <w:rsid w:val="00A67E64"/>
    <w:rsid w:val="00A72150"/>
    <w:rsid w:val="00A7307D"/>
    <w:rsid w:val="00A74525"/>
    <w:rsid w:val="00A7656F"/>
    <w:rsid w:val="00A80247"/>
    <w:rsid w:val="00A81110"/>
    <w:rsid w:val="00A82D18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2C99"/>
    <w:rsid w:val="00B130CC"/>
    <w:rsid w:val="00B14E1E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1D41"/>
    <w:rsid w:val="00B338B3"/>
    <w:rsid w:val="00B4000A"/>
    <w:rsid w:val="00B4112B"/>
    <w:rsid w:val="00B42775"/>
    <w:rsid w:val="00B43AF0"/>
    <w:rsid w:val="00B43C9C"/>
    <w:rsid w:val="00B456D7"/>
    <w:rsid w:val="00B46D93"/>
    <w:rsid w:val="00B5114E"/>
    <w:rsid w:val="00B53721"/>
    <w:rsid w:val="00B54EA5"/>
    <w:rsid w:val="00B5645D"/>
    <w:rsid w:val="00B57AB3"/>
    <w:rsid w:val="00B62650"/>
    <w:rsid w:val="00B6586F"/>
    <w:rsid w:val="00B67573"/>
    <w:rsid w:val="00B725E1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23F2"/>
    <w:rsid w:val="00BE722E"/>
    <w:rsid w:val="00BF138A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47EC"/>
    <w:rsid w:val="00C27A66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3062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76FE6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C8F"/>
    <w:rsid w:val="00CA233D"/>
    <w:rsid w:val="00CA2381"/>
    <w:rsid w:val="00CA2B80"/>
    <w:rsid w:val="00CA409D"/>
    <w:rsid w:val="00CA462A"/>
    <w:rsid w:val="00CA494E"/>
    <w:rsid w:val="00CA4D99"/>
    <w:rsid w:val="00CA68AB"/>
    <w:rsid w:val="00CA6EF3"/>
    <w:rsid w:val="00CB047D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3413"/>
    <w:rsid w:val="00D07E65"/>
    <w:rsid w:val="00D12A12"/>
    <w:rsid w:val="00D162D9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1A53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57306"/>
    <w:rsid w:val="00D624D2"/>
    <w:rsid w:val="00D63791"/>
    <w:rsid w:val="00D63C56"/>
    <w:rsid w:val="00D65B00"/>
    <w:rsid w:val="00D66B6A"/>
    <w:rsid w:val="00D67408"/>
    <w:rsid w:val="00D6778D"/>
    <w:rsid w:val="00D70536"/>
    <w:rsid w:val="00D715FE"/>
    <w:rsid w:val="00D7276F"/>
    <w:rsid w:val="00D74EE6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6354"/>
    <w:rsid w:val="00D967DC"/>
    <w:rsid w:val="00D970DD"/>
    <w:rsid w:val="00DA02B4"/>
    <w:rsid w:val="00DA1297"/>
    <w:rsid w:val="00DA525A"/>
    <w:rsid w:val="00DA5938"/>
    <w:rsid w:val="00DB632D"/>
    <w:rsid w:val="00DB754C"/>
    <w:rsid w:val="00DC2929"/>
    <w:rsid w:val="00DC2EB0"/>
    <w:rsid w:val="00DC5191"/>
    <w:rsid w:val="00DC6137"/>
    <w:rsid w:val="00DC6E33"/>
    <w:rsid w:val="00DD1175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26EB9"/>
    <w:rsid w:val="00E312F2"/>
    <w:rsid w:val="00E321BE"/>
    <w:rsid w:val="00E32833"/>
    <w:rsid w:val="00E329E2"/>
    <w:rsid w:val="00E34EB1"/>
    <w:rsid w:val="00E40F98"/>
    <w:rsid w:val="00E43F1B"/>
    <w:rsid w:val="00E46121"/>
    <w:rsid w:val="00E46D45"/>
    <w:rsid w:val="00E51EAF"/>
    <w:rsid w:val="00E5465E"/>
    <w:rsid w:val="00E54C35"/>
    <w:rsid w:val="00E54FEE"/>
    <w:rsid w:val="00E608C4"/>
    <w:rsid w:val="00E6172E"/>
    <w:rsid w:val="00E641DE"/>
    <w:rsid w:val="00E64D0B"/>
    <w:rsid w:val="00E64FE2"/>
    <w:rsid w:val="00E65FBD"/>
    <w:rsid w:val="00E73C54"/>
    <w:rsid w:val="00E75A3C"/>
    <w:rsid w:val="00E773FC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A0CF1"/>
    <w:rsid w:val="00EB1470"/>
    <w:rsid w:val="00EB15D1"/>
    <w:rsid w:val="00EB4140"/>
    <w:rsid w:val="00EB48F4"/>
    <w:rsid w:val="00EB4FA6"/>
    <w:rsid w:val="00EC0614"/>
    <w:rsid w:val="00EC26FE"/>
    <w:rsid w:val="00ED126D"/>
    <w:rsid w:val="00ED5E4D"/>
    <w:rsid w:val="00ED758A"/>
    <w:rsid w:val="00EE5038"/>
    <w:rsid w:val="00EF16AB"/>
    <w:rsid w:val="00EF2BEC"/>
    <w:rsid w:val="00EF5015"/>
    <w:rsid w:val="00EF596D"/>
    <w:rsid w:val="00F017D7"/>
    <w:rsid w:val="00F02916"/>
    <w:rsid w:val="00F0325D"/>
    <w:rsid w:val="00F03765"/>
    <w:rsid w:val="00F051A1"/>
    <w:rsid w:val="00F11C62"/>
    <w:rsid w:val="00F12067"/>
    <w:rsid w:val="00F12897"/>
    <w:rsid w:val="00F12F31"/>
    <w:rsid w:val="00F136A9"/>
    <w:rsid w:val="00F15245"/>
    <w:rsid w:val="00F21922"/>
    <w:rsid w:val="00F22A42"/>
    <w:rsid w:val="00F256A5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3A82"/>
    <w:rsid w:val="00F444FF"/>
    <w:rsid w:val="00F45757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788F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20FA"/>
    <w:rsid w:val="00FC34C8"/>
    <w:rsid w:val="00FC3506"/>
    <w:rsid w:val="00FC35E4"/>
    <w:rsid w:val="00FC4A93"/>
    <w:rsid w:val="00FD17B2"/>
    <w:rsid w:val="00FD1979"/>
    <w:rsid w:val="00FD1F71"/>
    <w:rsid w:val="00FD2DF5"/>
    <w:rsid w:val="00FD64FA"/>
    <w:rsid w:val="00FD6689"/>
    <w:rsid w:val="00FE101B"/>
    <w:rsid w:val="00FE352E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96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072E-2"/>
                  <c:y val="3.8015270298383412E-2"/>
                </c:manualLayout>
              </c:layout>
              <c:showVal val="1"/>
            </c:dLbl>
            <c:dLbl>
              <c:idx val="1"/>
              <c:layout>
                <c:manualLayout>
                  <c:x val="-4.4336822953949542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158E-2"/>
                  <c:y val="4.4687536009218792E-2"/>
                </c:manualLayout>
              </c:layout>
              <c:showVal val="1"/>
            </c:dLbl>
            <c:dLbl>
              <c:idx val="4"/>
              <c:layout>
                <c:manualLayout>
                  <c:x val="-6.647578143641171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8921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813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8802E-2"/>
                  <c:y val="4.5827539850202131E-2"/>
                </c:manualLayout>
              </c:layout>
              <c:showVal val="1"/>
            </c:dLbl>
            <c:dLbl>
              <c:idx val="10"/>
              <c:layout>
                <c:manualLayout>
                  <c:x val="-7.0099170842281566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7328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352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505E-2"/>
                </c:manualLayout>
              </c:layout>
              <c:showVal val="1"/>
            </c:dLbl>
            <c:dLbl>
              <c:idx val="3"/>
              <c:layout>
                <c:manualLayout>
                  <c:x val="-7.2298824862801703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1525E-2"/>
                  <c:y val="-3.7211446130209505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0481E-2"/>
                </c:manualLayout>
              </c:layout>
              <c:showVal val="1"/>
            </c:dLbl>
            <c:dLbl>
              <c:idx val="6"/>
              <c:layout>
                <c:manualLayout>
                  <c:x val="-7.0934293724648448E-2"/>
                  <c:y val="-3.9155239741373964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477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3354E-2"/>
                </c:manualLayout>
              </c:layout>
              <c:showVal val="1"/>
            </c:dLbl>
            <c:dLbl>
              <c:idx val="9"/>
              <c:layout>
                <c:manualLayout>
                  <c:x val="-6.22998687664039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114E-2"/>
                  <c:y val="-3.9491709877728882E-2"/>
                </c:manualLayout>
              </c:layout>
              <c:showVal val="1"/>
            </c:dLbl>
            <c:dLbl>
              <c:idx val="11"/>
              <c:layout>
                <c:manualLayout>
                  <c:x val="-7.0487204724409794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23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110008576"/>
        <c:axId val="95678848"/>
      </c:lineChart>
      <c:catAx>
        <c:axId val="1100085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5678848"/>
        <c:crosses val="autoZero"/>
        <c:auto val="1"/>
        <c:lblAlgn val="ctr"/>
        <c:lblOffset val="100"/>
      </c:catAx>
      <c:valAx>
        <c:axId val="95678848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0008576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184855995437169"/>
          <c:w val="0.85447586646821261"/>
          <c:h val="0.77744426650795961"/>
        </c:manualLayout>
      </c:layout>
      <c:lineChart>
        <c:grouping val="standard"/>
        <c:ser>
          <c:idx val="0"/>
          <c:order val="0"/>
          <c:tx>
            <c:strRef>
              <c:f>List1!$H$146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List1!$G$147:$G$271</c:f>
              <c:strCache>
                <c:ptCount val="12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</c:strCache>
            </c:strRef>
          </c:cat>
          <c:val>
            <c:numRef>
              <c:f>List1!$H$147:$H$271</c:f>
              <c:numCache>
                <c:formatCode>General</c:formatCode>
                <c:ptCount val="125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</c:numCache>
            </c:numRef>
          </c:val>
        </c:ser>
        <c:ser>
          <c:idx val="1"/>
          <c:order val="1"/>
          <c:tx>
            <c:strRef>
              <c:f>List1!$I$146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List1!$G$147:$G$271</c:f>
              <c:strCache>
                <c:ptCount val="12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</c:strCache>
            </c:strRef>
          </c:cat>
          <c:val>
            <c:numRef>
              <c:f>List1!$I$147:$I$271</c:f>
              <c:numCache>
                <c:formatCode>General</c:formatCode>
                <c:ptCount val="125"/>
                <c:pt idx="0">
                  <c:v>11.9</c:v>
                </c:pt>
                <c:pt idx="1">
                  <c:v>11.9</c:v>
                </c:pt>
                <c:pt idx="2">
                  <c:v>11.860000000000008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10.860000000000008</c:v>
                </c:pt>
                <c:pt idx="31">
                  <c:v>10.860000000000008</c:v>
                </c:pt>
                <c:pt idx="32">
                  <c:v>10.860000000000008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</c:numCache>
            </c:numRef>
          </c:val>
        </c:ser>
        <c:ser>
          <c:idx val="2"/>
          <c:order val="2"/>
          <c:tx>
            <c:strRef>
              <c:f>List1!$J$146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List1!$G$147:$G$271</c:f>
              <c:strCache>
                <c:ptCount val="12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</c:strCache>
            </c:strRef>
          </c:cat>
          <c:val>
            <c:numRef>
              <c:f>List1!$J$147:$J$271</c:f>
              <c:numCache>
                <c:formatCode>General</c:formatCode>
                <c:ptCount val="125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17.110000000000017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</c:numCache>
            </c:numRef>
          </c:val>
        </c:ser>
        <c:marker val="1"/>
        <c:axId val="104093568"/>
        <c:axId val="104095104"/>
      </c:lineChart>
      <c:catAx>
        <c:axId val="104093568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04095104"/>
        <c:crosses val="autoZero"/>
        <c:auto val="1"/>
        <c:lblAlgn val="ctr"/>
        <c:lblOffset val="100"/>
      </c:catAx>
      <c:valAx>
        <c:axId val="104095104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04093568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13"/>
          <c:y val="0.95423949254437301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dubnu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r>
              <a:rPr lang="en-US" sz="900"/>
              <a:t>(Pramen: Evropská komise , Milk Market Situation, </a:t>
            </a:r>
            <a:r>
              <a:rPr lang="cs-CZ" sz="900"/>
              <a:t>21 June 2012)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558"/>
          <c:y val="0.14447740350745969"/>
          <c:w val="0.82924124649860675"/>
          <c:h val="0.65401487521898305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Dánsko</c:v>
                </c:pt>
                <c:pt idx="8">
                  <c:v>Nizozemsko</c:v>
                </c:pt>
                <c:pt idx="9">
                  <c:v>Spojené království</c:v>
                </c:pt>
                <c:pt idx="10">
                  <c:v>Vážený průměr EU-27</c:v>
                </c:pt>
                <c:pt idx="11">
                  <c:v>Lucembursko</c:v>
                </c:pt>
                <c:pt idx="12">
                  <c:v>Německo</c:v>
                </c:pt>
                <c:pt idx="13">
                  <c:v>Slovinsko</c:v>
                </c:pt>
                <c:pt idx="14">
                  <c:v>Estonsko</c:v>
                </c:pt>
                <c:pt idx="15">
                  <c:v>Portugalsko</c:v>
                </c:pt>
                <c:pt idx="16">
                  <c:v>Irsko</c:v>
                </c:pt>
                <c:pt idx="17">
                  <c:v>Španělsko</c:v>
                </c:pt>
                <c:pt idx="18">
                  <c:v>Česká republika</c:v>
                </c:pt>
                <c:pt idx="19">
                  <c:v>Slovensko</c:v>
                </c:pt>
                <c:pt idx="20">
                  <c:v>Francie</c:v>
                </c:pt>
                <c:pt idx="21">
                  <c:v>Maďarsko</c:v>
                </c:pt>
                <c:pt idx="22">
                  <c:v>Lotyšsko</c:v>
                </c:pt>
                <c:pt idx="23">
                  <c:v>Bulharsko</c:v>
                </c:pt>
                <c:pt idx="24">
                  <c:v>Belgie</c:v>
                </c:pt>
                <c:pt idx="25">
                  <c:v>Polsko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52.1</c:v>
                </c:pt>
                <c:pt idx="1">
                  <c:v>41.449999999999996</c:v>
                </c:pt>
                <c:pt idx="2">
                  <c:v>47.01</c:v>
                </c:pt>
                <c:pt idx="3" formatCode="0.00">
                  <c:v>40.86</c:v>
                </c:pt>
                <c:pt idx="4" formatCode="0.00">
                  <c:v>38.379999999999995</c:v>
                </c:pt>
                <c:pt idx="5" formatCode="0.00">
                  <c:v>37.96</c:v>
                </c:pt>
                <c:pt idx="6" formatCode="0.00">
                  <c:v>34.15</c:v>
                </c:pt>
                <c:pt idx="7" formatCode="0.00">
                  <c:v>34.5</c:v>
                </c:pt>
                <c:pt idx="8" formatCode="0.00">
                  <c:v>36</c:v>
                </c:pt>
                <c:pt idx="9" formatCode="0.00">
                  <c:v>29.06</c:v>
                </c:pt>
                <c:pt idx="10" formatCode="0.00">
                  <c:v>33</c:v>
                </c:pt>
                <c:pt idx="11" formatCode="0.00">
                  <c:v>32.04</c:v>
                </c:pt>
                <c:pt idx="12" formatCode="0.00">
                  <c:v>34.200000000000003</c:v>
                </c:pt>
                <c:pt idx="13" formatCode="0.00">
                  <c:v>30.110000000000017</c:v>
                </c:pt>
                <c:pt idx="14" formatCode="0.00">
                  <c:v>32.9</c:v>
                </c:pt>
                <c:pt idx="15" formatCode="0.00">
                  <c:v>30.650000000000016</c:v>
                </c:pt>
                <c:pt idx="16" formatCode="0.00">
                  <c:v>32.15</c:v>
                </c:pt>
                <c:pt idx="17" formatCode="0.00">
                  <c:v>30.58</c:v>
                </c:pt>
                <c:pt idx="18" formatCode="#,##0.00">
                  <c:v>33</c:v>
                </c:pt>
                <c:pt idx="19" formatCode="0.00">
                  <c:v>31.79</c:v>
                </c:pt>
                <c:pt idx="20" formatCode="0.00">
                  <c:v>30.41</c:v>
                </c:pt>
                <c:pt idx="21" formatCode="0.00">
                  <c:v>32.15</c:v>
                </c:pt>
                <c:pt idx="22" formatCode="0.00">
                  <c:v>30.47</c:v>
                </c:pt>
                <c:pt idx="23" formatCode="0.00">
                  <c:v>32.49</c:v>
                </c:pt>
                <c:pt idx="24" formatCode="0.00">
                  <c:v>32.65</c:v>
                </c:pt>
                <c:pt idx="25" formatCode="0.00">
                  <c:v>30.24</c:v>
                </c:pt>
                <c:pt idx="26" formatCode="0.00">
                  <c:v>29.27</c:v>
                </c:pt>
                <c:pt idx="27" formatCode="0.00">
                  <c:v>30.439999999999987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0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Dánsko</c:v>
                </c:pt>
                <c:pt idx="8">
                  <c:v>Nizozemsko</c:v>
                </c:pt>
                <c:pt idx="9">
                  <c:v>Spojené království</c:v>
                </c:pt>
                <c:pt idx="10">
                  <c:v>Vážený průměr EU-27</c:v>
                </c:pt>
                <c:pt idx="11">
                  <c:v>Lucembursko</c:v>
                </c:pt>
                <c:pt idx="12">
                  <c:v>Německo</c:v>
                </c:pt>
                <c:pt idx="13">
                  <c:v>Slovinsko</c:v>
                </c:pt>
                <c:pt idx="14">
                  <c:v>Estonsko</c:v>
                </c:pt>
                <c:pt idx="15">
                  <c:v>Portugalsko</c:v>
                </c:pt>
                <c:pt idx="16">
                  <c:v>Irsko</c:v>
                </c:pt>
                <c:pt idx="17">
                  <c:v>Španělsko</c:v>
                </c:pt>
                <c:pt idx="18">
                  <c:v>Česká republika</c:v>
                </c:pt>
                <c:pt idx="19">
                  <c:v>Slovensko</c:v>
                </c:pt>
                <c:pt idx="20">
                  <c:v>Francie</c:v>
                </c:pt>
                <c:pt idx="21">
                  <c:v>Maďarsko</c:v>
                </c:pt>
                <c:pt idx="22">
                  <c:v>Lotyšsko</c:v>
                </c:pt>
                <c:pt idx="23">
                  <c:v>Bulharsko</c:v>
                </c:pt>
                <c:pt idx="24">
                  <c:v>Belgie</c:v>
                </c:pt>
                <c:pt idx="25">
                  <c:v>Polsko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0.00</c:formatCode>
                <c:ptCount val="28"/>
                <c:pt idx="0">
                  <c:v>53.21</c:v>
                </c:pt>
                <c:pt idx="1">
                  <c:v>45.03</c:v>
                </c:pt>
                <c:pt idx="2" formatCode="General">
                  <c:v>43.92</c:v>
                </c:pt>
                <c:pt idx="3">
                  <c:v>42.92</c:v>
                </c:pt>
                <c:pt idx="4">
                  <c:v>39.630000000000003</c:v>
                </c:pt>
                <c:pt idx="5">
                  <c:v>35.11</c:v>
                </c:pt>
                <c:pt idx="6">
                  <c:v>34.78</c:v>
                </c:pt>
                <c:pt idx="7">
                  <c:v>34</c:v>
                </c:pt>
                <c:pt idx="8">
                  <c:v>33.75</c:v>
                </c:pt>
                <c:pt idx="9">
                  <c:v>32.96</c:v>
                </c:pt>
                <c:pt idx="10" formatCode="#,##0.00">
                  <c:v>32.300000000000004</c:v>
                </c:pt>
                <c:pt idx="11">
                  <c:v>32.300000000000004</c:v>
                </c:pt>
                <c:pt idx="12">
                  <c:v>31.95</c:v>
                </c:pt>
                <c:pt idx="13">
                  <c:v>31.439999999999987</c:v>
                </c:pt>
                <c:pt idx="14">
                  <c:v>31.330000000000005</c:v>
                </c:pt>
                <c:pt idx="15">
                  <c:v>31.18</c:v>
                </c:pt>
                <c:pt idx="16">
                  <c:v>30.88</c:v>
                </c:pt>
                <c:pt idx="17">
                  <c:v>30.779999999999987</c:v>
                </c:pt>
                <c:pt idx="18" formatCode="#,##0.00">
                  <c:v>30.71</c:v>
                </c:pt>
                <c:pt idx="19">
                  <c:v>29.75</c:v>
                </c:pt>
                <c:pt idx="20">
                  <c:v>29.73</c:v>
                </c:pt>
                <c:pt idx="21">
                  <c:v>29.68</c:v>
                </c:pt>
                <c:pt idx="22">
                  <c:v>29.459999999999987</c:v>
                </c:pt>
                <c:pt idx="23">
                  <c:v>29.45</c:v>
                </c:pt>
                <c:pt idx="24">
                  <c:v>28.93</c:v>
                </c:pt>
                <c:pt idx="25">
                  <c:v>28.79</c:v>
                </c:pt>
                <c:pt idx="26" formatCode="General">
                  <c:v>27.19</c:v>
                </c:pt>
                <c:pt idx="27">
                  <c:v>27.01</c:v>
                </c:pt>
              </c:numCache>
            </c:numRef>
          </c:val>
        </c:ser>
        <c:axId val="95881088"/>
        <c:axId val="95882624"/>
      </c:barChart>
      <c:catAx>
        <c:axId val="958810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5882624"/>
        <c:crosses val="autoZero"/>
        <c:auto val="1"/>
        <c:lblAlgn val="ctr"/>
        <c:lblOffset val="100"/>
      </c:catAx>
      <c:valAx>
        <c:axId val="95882624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5881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373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List1!$G$41:$G$137</c:f>
              <c:numCache>
                <c:formatCode>mmm/yy</c:formatCode>
                <c:ptCount val="97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</c:numCache>
            </c:numRef>
          </c:cat>
          <c:val>
            <c:numRef>
              <c:f>List1!$H$41:$H$137</c:f>
              <c:numCache>
                <c:formatCode>General</c:formatCode>
                <c:ptCount val="97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39588</c:v>
                </c:pt>
                <c:pt idx="96" formatCode="#,##0.00">
                  <c:v>41439</c:v>
                </c:pt>
              </c:numCache>
            </c:numRef>
          </c:val>
        </c:ser>
        <c:axId val="95924992"/>
        <c:axId val="95926528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List1!$G$41:$G$137</c:f>
              <c:numCache>
                <c:formatCode>mmm/yy</c:formatCode>
                <c:ptCount val="97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</c:numCache>
            </c:numRef>
          </c:cat>
          <c:val>
            <c:numRef>
              <c:f>List1!$I$41:$I$137</c:f>
              <c:numCache>
                <c:formatCode>General</c:formatCode>
                <c:ptCount val="97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8.5400000000000009</c:v>
                </c:pt>
                <c:pt idx="96" formatCode="#,##0.00">
                  <c:v>8.69</c:v>
                </c:pt>
              </c:numCache>
            </c:numRef>
          </c:val>
        </c:ser>
        <c:marker val="1"/>
        <c:axId val="95934720"/>
        <c:axId val="95932800"/>
      </c:lineChart>
      <c:dateAx>
        <c:axId val="9592499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95926528"/>
        <c:crosses val="autoZero"/>
        <c:auto val="1"/>
        <c:lblOffset val="100"/>
      </c:dateAx>
      <c:valAx>
        <c:axId val="959265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95924992"/>
        <c:crosses val="autoZero"/>
        <c:crossBetween val="between"/>
      </c:valAx>
      <c:valAx>
        <c:axId val="9593280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95934720"/>
        <c:crosses val="max"/>
        <c:crossBetween val="between"/>
      </c:valAx>
      <c:dateAx>
        <c:axId val="95934720"/>
        <c:scaling>
          <c:orientation val="minMax"/>
        </c:scaling>
        <c:delete val="1"/>
        <c:axPos val="b"/>
        <c:numFmt formatCode="mmm/yy" sourceLinked="1"/>
        <c:tickLblPos val="none"/>
        <c:crossAx val="95932800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AFBD-F8D5-475C-994A-8E2720FA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2012-07-11T12:10:00Z</cp:lastPrinted>
  <dcterms:created xsi:type="dcterms:W3CDTF">2012-07-12T08:01:00Z</dcterms:created>
  <dcterms:modified xsi:type="dcterms:W3CDTF">2012-07-12T08:01:00Z</dcterms:modified>
</cp:coreProperties>
</file>