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72" w:rsidRDefault="00090A72" w:rsidP="00090A72">
      <w:pPr>
        <w:jc w:val="both"/>
        <w:rPr>
          <w:b/>
          <w:sz w:val="24"/>
          <w:szCs w:val="24"/>
        </w:rPr>
      </w:pPr>
      <w:bookmarkStart w:id="0" w:name="OLE_LINK1"/>
      <w:bookmarkStart w:id="1" w:name="OLE_LINK2"/>
    </w:p>
    <w:p w:rsidR="00090A72" w:rsidRDefault="00090A72" w:rsidP="00090A72">
      <w:pPr>
        <w:jc w:val="both"/>
        <w:rPr>
          <w:b/>
          <w:sz w:val="24"/>
          <w:szCs w:val="24"/>
        </w:rPr>
      </w:pPr>
    </w:p>
    <w:p w:rsidR="00090A72" w:rsidRDefault="00090A72" w:rsidP="00090A72">
      <w:pPr>
        <w:jc w:val="both"/>
        <w:rPr>
          <w:b/>
          <w:sz w:val="24"/>
          <w:szCs w:val="24"/>
        </w:rPr>
      </w:pPr>
    </w:p>
    <w:p w:rsidR="00090A72" w:rsidRDefault="00090A72" w:rsidP="00090A72">
      <w:pPr>
        <w:jc w:val="both"/>
        <w:rPr>
          <w:b/>
          <w:sz w:val="24"/>
          <w:szCs w:val="24"/>
        </w:rPr>
      </w:pPr>
    </w:p>
    <w:p w:rsidR="00090A72" w:rsidRPr="00090A72" w:rsidRDefault="00090A72" w:rsidP="00090A72">
      <w:pPr>
        <w:jc w:val="both"/>
        <w:rPr>
          <w:caps/>
        </w:rPr>
      </w:pPr>
      <w:r w:rsidRPr="00090A72">
        <w:rPr>
          <w:caps/>
        </w:rPr>
        <w:t>Komentář k výsledkům statistického zjišťování Mlék (MZe) 6-01 za referenční rok 2016</w:t>
      </w:r>
    </w:p>
    <w:p w:rsidR="00090A72" w:rsidRPr="00090A72" w:rsidRDefault="00090A72" w:rsidP="00090A72">
      <w:pPr>
        <w:contextualSpacing/>
        <w:jc w:val="both"/>
      </w:pPr>
      <w:r w:rsidRPr="00090A72">
        <w:t xml:space="preserve">Statistické zjišťování o nákupu a užití mléka v České republice   je prováděno na základě Směrnice Rady 96/16/ES. Sledovaným (referenčním) obdobím je kalendářní rok. Šetření sleduje zdroje mléčné suroviny a polotovarů  zpracovávaných v mlékárenském průmyslu, výrobu  mlékárenských výrobků,  množství zpracovaného mléčného tuku, množství zpracovaných mléčných bílkovin a  množství zpracované mléčné plazmy vyjádřené ve formě plnotučného a odtučněného mléka.  </w:t>
      </w:r>
    </w:p>
    <w:p w:rsidR="00090A72" w:rsidRPr="00090A72" w:rsidRDefault="00090A72" w:rsidP="00090A72">
      <w:pPr>
        <w:contextualSpacing/>
        <w:jc w:val="both"/>
      </w:pPr>
      <w:r w:rsidRPr="00090A72">
        <w:t xml:space="preserve">Ve tříleté periodě je sledován trend koncentrace mlékárenského průmyslu na základě zařazení podniků do velikostních tříd podle ročního objemu nakoupeného mléka, ročního objemu zpracovaného mléka a ročního objemu výroby hlavních mlékárenských výrobků. 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numPr>
          <w:ilvl w:val="0"/>
          <w:numId w:val="1"/>
        </w:numPr>
        <w:contextualSpacing/>
        <w:jc w:val="both"/>
        <w:rPr>
          <w:b/>
        </w:rPr>
      </w:pPr>
      <w:r w:rsidRPr="00090A72">
        <w:rPr>
          <w:b/>
        </w:rPr>
        <w:t>Nákup mléka od producentů v České republice</w:t>
      </w:r>
    </w:p>
    <w:p w:rsidR="00090A72" w:rsidRPr="00090A72" w:rsidRDefault="00090A72" w:rsidP="00090A72">
      <w:pPr>
        <w:contextualSpacing/>
        <w:jc w:val="both"/>
      </w:pPr>
      <w:r w:rsidRPr="00090A72">
        <w:t xml:space="preserve">V roce 2016 bylo od producentů v ČR  nakoupeno   2 793 200  tun  syrového mléka.  Mléko dodávané tuzemskými producenty  obsahovalo celkem 106 480,94 tun tuku a 93 522,45 tun bílkovin. Trend objemu nákupu mléka je lineární  v časové řadě 2010 – 2016 (Graf č. 1), s přírůstkem +20,80% ve srovnání s bazickým rokem 2010. </w:t>
      </w:r>
    </w:p>
    <w:p w:rsidR="00090A72" w:rsidRPr="00090A72" w:rsidRDefault="00090A72" w:rsidP="00090A72">
      <w:pPr>
        <w:contextualSpacing/>
        <w:jc w:val="both"/>
      </w:pPr>
      <w:r w:rsidRPr="00090A72">
        <w:t>Celková bilance zahraničního obchodu ČR</w:t>
      </w:r>
      <w:r>
        <w:t xml:space="preserve"> s</w:t>
      </w:r>
      <w:r w:rsidRPr="00090A72">
        <w:t xml:space="preserve">   mléčnou surovinou byla v roce 2016 kladná (Graf č. 5), </w:t>
      </w:r>
      <w:r>
        <w:t>ale</w:t>
      </w:r>
      <w:r w:rsidRPr="00090A72">
        <w:t xml:space="preserve"> její hodnota poklesla pod úroveň roku 2012. Od roku 2015 přetrvává  převis nabídky mléčné </w:t>
      </w:r>
      <w:r w:rsidRPr="00090A72">
        <w:lastRenderedPageBreak/>
        <w:t xml:space="preserve">suroviny na evropském trhu, což v důsledku vedlo k propadu nákupní ceny mléka v ČR v roce 2016. Negativní trend vývoje nákupní ceny trval do července 2016. Evropská </w:t>
      </w:r>
      <w:r>
        <w:t>k</w:t>
      </w:r>
      <w:r w:rsidRPr="00090A72">
        <w:t xml:space="preserve">omise reagovala na disbalanci evropského mléčného trhu mimořádnými opatřeními na snížení produkce mléka. </w:t>
      </w:r>
    </w:p>
    <w:p w:rsidR="00090A72" w:rsidRPr="00090A72" w:rsidRDefault="00090A72" w:rsidP="00090A72">
      <w:pPr>
        <w:contextualSpacing/>
        <w:jc w:val="both"/>
        <w:rPr>
          <w:b/>
        </w:rPr>
      </w:pPr>
      <w:r w:rsidRPr="00090A72">
        <w:t xml:space="preserve">V zahraničním obchodu ČR vybranými mlékárenskými výrobky přetrvává záporné saldo, s výjimkou nezahuštěného mléka, sušeného mléka a </w:t>
      </w:r>
      <w:r>
        <w:t xml:space="preserve">sušené </w:t>
      </w:r>
      <w:r w:rsidRPr="00090A72">
        <w:t>smetany (Graf č. 5).</w:t>
      </w:r>
    </w:p>
    <w:p w:rsidR="00090A72" w:rsidRPr="00090A72" w:rsidRDefault="00090A72" w:rsidP="00090A72">
      <w:pPr>
        <w:contextualSpacing/>
        <w:jc w:val="both"/>
      </w:pPr>
      <w:r w:rsidRPr="00090A72">
        <w:t>Z</w:t>
      </w:r>
      <w:r>
        <w:t>e zemí EU</w:t>
      </w:r>
      <w:r w:rsidRPr="00090A72">
        <w:t xml:space="preserve"> a třetích zemí  bylo mlékárnami v ČR nakoupeno celkem 25 238 tun plnotučného a odstředěného mléka s celkovým obsahem tuku  160,618 tun, a 9 080 tun smetany s celkovým obsahem tuku 2 544,04 tun. V porovnání s rokem 2015 se nákup  smetany ze zahraničí zdvojnásobil (Graf č. 2). Obsah bílkovin nebyl sledován.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numPr>
          <w:ilvl w:val="0"/>
          <w:numId w:val="1"/>
        </w:numPr>
        <w:contextualSpacing/>
        <w:jc w:val="both"/>
      </w:pPr>
      <w:r w:rsidRPr="00090A72">
        <w:rPr>
          <w:b/>
        </w:rPr>
        <w:t>Užití mléka a výroba mlékárenských výrobků v mlékárnách v České republice</w:t>
      </w:r>
    </w:p>
    <w:p w:rsidR="00090A72" w:rsidRPr="00090A72" w:rsidRDefault="00090A72" w:rsidP="00090A72">
      <w:pPr>
        <w:contextualSpacing/>
        <w:jc w:val="both"/>
      </w:pPr>
      <w:r w:rsidRPr="00090A72">
        <w:t>Mlékárenská výroba je zjišťována v diverzifikaci jednotlivých  výrobků nebo hlavních kategorií</w:t>
      </w:r>
    </w:p>
    <w:p w:rsidR="00090A72" w:rsidRPr="00090A72" w:rsidRDefault="00090A72" w:rsidP="00090A72">
      <w:pPr>
        <w:contextualSpacing/>
        <w:jc w:val="both"/>
      </w:pPr>
      <w:r w:rsidRPr="00090A72">
        <w:t xml:space="preserve"> (Graf č. 3).</w:t>
      </w:r>
    </w:p>
    <w:p w:rsidR="00090A72" w:rsidRPr="00090A72" w:rsidRDefault="00090A72" w:rsidP="00090A72">
      <w:pPr>
        <w:contextualSpacing/>
        <w:jc w:val="both"/>
      </w:pPr>
    </w:p>
    <w:p w:rsidR="00090A72" w:rsidRDefault="00090A72" w:rsidP="00090A72">
      <w:pPr>
        <w:contextualSpacing/>
        <w:jc w:val="both"/>
      </w:pPr>
    </w:p>
    <w:p w:rsidR="00090A72" w:rsidRDefault="00090A72" w:rsidP="00090A72">
      <w:pPr>
        <w:contextualSpacing/>
        <w:jc w:val="both"/>
      </w:pPr>
    </w:p>
    <w:p w:rsidR="00090A72" w:rsidRDefault="00090A72" w:rsidP="00090A72">
      <w:pPr>
        <w:contextualSpacing/>
        <w:jc w:val="both"/>
      </w:pPr>
    </w:p>
    <w:p w:rsidR="00090A72" w:rsidRDefault="00090A72" w:rsidP="00090A72">
      <w:pPr>
        <w:contextualSpacing/>
        <w:jc w:val="both"/>
      </w:pPr>
    </w:p>
    <w:p w:rsid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Konzumní mléko</w:t>
      </w:r>
    </w:p>
    <w:p w:rsidR="00090A72" w:rsidRPr="00090A72" w:rsidRDefault="00090A72" w:rsidP="00090A72">
      <w:pPr>
        <w:contextualSpacing/>
        <w:jc w:val="both"/>
      </w:pPr>
      <w:r w:rsidRPr="00090A72">
        <w:t>V roce 2016 bylo vyrobeno 162 960 tun plnotučného mléka a 445 580  tun polotučného mléka</w:t>
      </w:r>
      <w:r w:rsidR="007B1509">
        <w:t xml:space="preserve"> ve spotřebitelském balení o objemu do 2 l</w:t>
      </w:r>
      <w:r w:rsidRPr="00090A72">
        <w:t>. Ve srovnání s rokem 2015 došlo k mírnému  nárůstu výroby u plnotučného mléka  o +8,09</w:t>
      </w:r>
      <w:r>
        <w:t>%</w:t>
      </w:r>
      <w:r w:rsidRPr="00090A72">
        <w:t>; ve srovnání s bazickým rokem 2010 (šestiletá časová řada) se výroba plnotučného mléka téměř zdvojnásobila (+93,49,1%). Naproti tomu výroba polotučného mléka meziročně poklesla o -12,91%</w:t>
      </w:r>
      <w:r w:rsidR="007B1509">
        <w:t>;</w:t>
      </w:r>
      <w:r w:rsidRPr="00090A72">
        <w:t xml:space="preserve"> od roku 2013 vykazuje trend trvalého poklesu. 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 xml:space="preserve">Podmáslí </w:t>
      </w:r>
    </w:p>
    <w:p w:rsidR="00090A72" w:rsidRPr="00090A72" w:rsidRDefault="00090A72" w:rsidP="00090A72">
      <w:pPr>
        <w:contextualSpacing/>
        <w:jc w:val="both"/>
      </w:pPr>
      <w:r w:rsidRPr="00090A72">
        <w:t xml:space="preserve">Neochuceného  podmáslí bylo vyrobeno 8 020 tun. Ve srovnání s rokem 2015 významně poklesl objem výroby o -10,54%. Ochucené podmáslí je zahrnuto ve skupině nápojů na bázi mléka. </w:t>
      </w:r>
    </w:p>
    <w:p w:rsidR="007B1509" w:rsidRDefault="007B1509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Smetana</w:t>
      </w:r>
    </w:p>
    <w:p w:rsidR="007B1509" w:rsidRDefault="00090A72" w:rsidP="00090A72">
      <w:pPr>
        <w:contextualSpacing/>
        <w:jc w:val="both"/>
      </w:pPr>
      <w:r w:rsidRPr="00090A72">
        <w:t xml:space="preserve">Výroba smetany  </w:t>
      </w:r>
      <w:r w:rsidR="007B1509">
        <w:t xml:space="preserve">ve spotřebitelském balení o objemu do 2 l </w:t>
      </w:r>
      <w:r w:rsidRPr="00090A72">
        <w:t xml:space="preserve"> se  v porovnání s rokem 2015 snížila  </w:t>
      </w:r>
    </w:p>
    <w:p w:rsidR="00090A72" w:rsidRPr="00090A72" w:rsidRDefault="00090A72" w:rsidP="00090A72">
      <w:pPr>
        <w:contextualSpacing/>
        <w:jc w:val="both"/>
      </w:pPr>
      <w:r w:rsidRPr="00090A72">
        <w:t xml:space="preserve">o -6,57%. Celkem bylo vyrobeno 57 390 tun konzumní smetany. 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Kysané výrobky celkem</w:t>
      </w:r>
    </w:p>
    <w:p w:rsidR="00090A72" w:rsidRDefault="00090A72" w:rsidP="00090A72">
      <w:pPr>
        <w:contextualSpacing/>
        <w:jc w:val="both"/>
      </w:pPr>
      <w:r w:rsidRPr="00090A72">
        <w:t xml:space="preserve">Skupina kysaných výrobků zahrnuje neochucené a ochucené mléčné výrobky s hodnotou pH 3,8 – 5,5, zejména jogurty, jogurtové nápoje, ostatní </w:t>
      </w:r>
      <w:r w:rsidR="007B1509">
        <w:t xml:space="preserve"> </w:t>
      </w:r>
      <w:r w:rsidRPr="00090A72">
        <w:t xml:space="preserve">fermentované mléko a podmáslí a  ostatní výrobky na </w:t>
      </w:r>
      <w:r w:rsidRPr="00090A72">
        <w:lastRenderedPageBreak/>
        <w:t>bázi bifidní kultury. U  této skupiny byl zaznamenán výrazný  meziroční pokles výroby o -35,26%. Celkem bylo vyrobeno 108 600 tun kysaných výrobků.</w:t>
      </w:r>
    </w:p>
    <w:p w:rsidR="007B1509" w:rsidRPr="00090A72" w:rsidRDefault="007B1509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Nápoje na bázi mléka</w:t>
      </w:r>
    </w:p>
    <w:p w:rsidR="00090A72" w:rsidRPr="00090A72" w:rsidRDefault="00090A72" w:rsidP="00090A72">
      <w:pPr>
        <w:contextualSpacing/>
        <w:jc w:val="both"/>
      </w:pPr>
      <w:r w:rsidRPr="00090A72">
        <w:t xml:space="preserve">Výroba nápojů na bázi mléka ve srovnání  s rokem 2015 vzrostla o +12,95%. Celkové množství vykazované za rok 2016 činí 9 330 tun. 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Ostatní čerstvé výrobky</w:t>
      </w:r>
    </w:p>
    <w:p w:rsidR="007B1509" w:rsidRDefault="00090A72" w:rsidP="00090A72">
      <w:pPr>
        <w:contextualSpacing/>
        <w:jc w:val="both"/>
      </w:pPr>
      <w:r w:rsidRPr="00090A72">
        <w:t xml:space="preserve">Skupina zahrnuje  dezerty, créme fraîche, mléčnou rýži, mléčnou krupici, pudinky, mražené krémy, šlehačkové výrobky. Výroba ostatních čerstvých výrobků se v porovnání  s rokem 2015 snížila </w:t>
      </w:r>
    </w:p>
    <w:p w:rsidR="00090A72" w:rsidRPr="00090A72" w:rsidRDefault="00090A72" w:rsidP="00090A72">
      <w:pPr>
        <w:contextualSpacing/>
        <w:jc w:val="both"/>
      </w:pPr>
      <w:r w:rsidRPr="00090A72">
        <w:t>o -3,06% a dosáhla hodnoty 31 580 tun. Od roku 2010 je v časové řadě zaznamenáván klesající trend výroby.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Zahuštěné mléko</w:t>
      </w:r>
    </w:p>
    <w:p w:rsidR="00090A72" w:rsidRPr="00090A72" w:rsidRDefault="00090A72" w:rsidP="00090A72">
      <w:pPr>
        <w:contextualSpacing/>
        <w:jc w:val="both"/>
      </w:pPr>
      <w:r w:rsidRPr="00090A72">
        <w:t xml:space="preserve">Výroba zahuštěného mléka v krátkodobém trendu 2010 - 2015 klesala, avšak v roce 2016 výroba  zahuštěného mléka celkem vykázala ve srovnání s rokem 2015 významný nárůst  o +24,96%. Objem výroby v roce 2016 tak  dosáhl  hodnoty 11 620 tun. </w:t>
      </w:r>
    </w:p>
    <w:p w:rsidR="00090A72" w:rsidRPr="00090A72" w:rsidRDefault="00090A72" w:rsidP="00090A72">
      <w:pPr>
        <w:contextualSpacing/>
        <w:jc w:val="both"/>
      </w:pPr>
    </w:p>
    <w:p w:rsidR="007B1509" w:rsidRDefault="007B1509" w:rsidP="00090A72">
      <w:pPr>
        <w:contextualSpacing/>
        <w:jc w:val="both"/>
      </w:pPr>
    </w:p>
    <w:p w:rsidR="007B1509" w:rsidRDefault="007B1509" w:rsidP="00090A72">
      <w:pPr>
        <w:contextualSpacing/>
        <w:jc w:val="both"/>
      </w:pPr>
    </w:p>
    <w:p w:rsidR="007B1509" w:rsidRDefault="007B1509" w:rsidP="00090A72">
      <w:pPr>
        <w:contextualSpacing/>
        <w:jc w:val="both"/>
      </w:pPr>
    </w:p>
    <w:p w:rsidR="007B1509" w:rsidRDefault="007B1509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Sušené mléko a výrobky ze sušeného mléka</w:t>
      </w:r>
    </w:p>
    <w:p w:rsidR="007B1509" w:rsidRDefault="00090A72" w:rsidP="00090A72">
      <w:pPr>
        <w:contextualSpacing/>
        <w:jc w:val="both"/>
      </w:pPr>
      <w:r w:rsidRPr="00090A72">
        <w:t>U skupiny sušených výrobků zahrnujících sušenou smetanu, sušené plnotučné mléko a sušené částečně odtučněné mléko byl zaznamenán, ve srovnání s rokem 2015,  významný nárůst výroby</w:t>
      </w:r>
    </w:p>
    <w:p w:rsidR="007B1509" w:rsidRDefault="00090A72" w:rsidP="00090A72">
      <w:pPr>
        <w:contextualSpacing/>
        <w:jc w:val="both"/>
      </w:pPr>
      <w:r w:rsidRPr="00090A72">
        <w:t xml:space="preserve"> o +16,76%. Souhrnně  bylo vyrobeno 14 250 tun. Sušeného odtučněného mléka bylo vyrobeno</w:t>
      </w:r>
    </w:p>
    <w:p w:rsidR="00090A72" w:rsidRPr="00090A72" w:rsidRDefault="00090A72" w:rsidP="00090A72">
      <w:pPr>
        <w:contextualSpacing/>
        <w:jc w:val="both"/>
      </w:pPr>
      <w:r w:rsidRPr="00090A72">
        <w:t xml:space="preserve"> 23 770 tun, ve srovnání s  rokem 2015 výroba mírně vzrostla o +0,87%.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Máslo a ostatní výrobky z mléčného tuku v přepočtu na máselný ekvivalent</w:t>
      </w:r>
    </w:p>
    <w:p w:rsidR="00090A72" w:rsidRPr="00090A72" w:rsidRDefault="00090A72" w:rsidP="00090A72">
      <w:pPr>
        <w:contextualSpacing/>
        <w:jc w:val="both"/>
      </w:pPr>
      <w:r w:rsidRPr="00090A72">
        <w:t>Výroba másla a ostatních  výrobků z mléčného tuku celkem v přepočtu na máselný ekvivalent vykazuje v porovnání s rokem 2015 znatelný pokles o -4,43%, z toho se výroba másla meziročně snížila o -1,79% a dosáhla hodnoty 23 980 tun.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Přírodní sýry včetně tvarohů celkem</w:t>
      </w:r>
    </w:p>
    <w:p w:rsidR="00090A72" w:rsidRPr="00090A72" w:rsidRDefault="00090A72" w:rsidP="00090A72">
      <w:pPr>
        <w:contextualSpacing/>
        <w:jc w:val="both"/>
      </w:pPr>
      <w:r w:rsidRPr="00090A72">
        <w:t>Ve srovnání s rokem 2015 významně vzrostla výroba přírodních sýrů celkem o +15,21%. U čerstvých sýrů a tvarohů byl zaznamenán meziroční nárůst o +24,897%, u měkkých sýrů objem výroby výrazně vzrostl o +76,74% a překonal tak maximální hodnotu z roku 2010 (v časové řadě 2010 – 2016, bazický rok = 2010). Celkem bylo v roce 2016 vyrobeno 141 720 tun přírodních sýrů, z toho 15 290 tun měkkých sýrů, 49 500 tun polotvrdých sýrů, 64 780 tun čerstvých sýrů a tvarohů.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Tavené sýry</w:t>
      </w:r>
    </w:p>
    <w:p w:rsidR="00090A72" w:rsidRPr="00090A72" w:rsidRDefault="00090A72" w:rsidP="00090A72">
      <w:pPr>
        <w:contextualSpacing/>
        <w:jc w:val="both"/>
      </w:pPr>
      <w:r w:rsidRPr="00090A72">
        <w:lastRenderedPageBreak/>
        <w:t>Výroba tavených sýrů meziročně výrazně poklesla o -24,07% a objem výroby  6 360 tun dosáhl minima v časové řadě od roku 2010. Ve srovnání s bazickým rokem 2010  poklesl  objem výroby na polovinu hodnoty srovnávacího roku.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numPr>
          <w:ilvl w:val="0"/>
          <w:numId w:val="1"/>
        </w:numPr>
        <w:contextualSpacing/>
        <w:jc w:val="both"/>
        <w:rPr>
          <w:b/>
        </w:rPr>
      </w:pPr>
      <w:r w:rsidRPr="00090A72">
        <w:rPr>
          <w:b/>
        </w:rPr>
        <w:t>Souhrn</w:t>
      </w:r>
    </w:p>
    <w:p w:rsidR="00090A72" w:rsidRPr="00090A72" w:rsidRDefault="00090A72" w:rsidP="00090A72">
      <w:pPr>
        <w:contextualSpacing/>
        <w:jc w:val="both"/>
      </w:pPr>
      <w:r w:rsidRPr="00090A72">
        <w:t xml:space="preserve">Porovnání bazickým indexem (báze=srovnávací rok 2010) v časové řadě 2010 – 2016 signalizuje přinejmenším stagnaci výroby u většiny mlékárenských výrobků, s výjimkou plnotučného mléka, sušeného mléka  a výrobků ze sušeného mléka, přírodních sýrů a tvarohů (Graf č. 4). </w:t>
      </w:r>
    </w:p>
    <w:p w:rsidR="00090A72" w:rsidRPr="00090A72" w:rsidRDefault="00090A72" w:rsidP="00090A72">
      <w:pPr>
        <w:contextualSpacing/>
        <w:jc w:val="both"/>
      </w:pPr>
      <w:r w:rsidRPr="00090A72">
        <w:t>V mlékárenském průmyslu bylo  v roce 2016 zpracováno 74% mléka, (dodaného producenty se sídlem na území ČR), formou finálních mlékárenských výrobků určených primárně pro český trh. Mimo území ČR bylo dodáno 26%  mléčné suroviny ve formě syrového mléka, tepelně ošetřeného plnotučného a odstředěného mléka.</w:t>
      </w:r>
      <w:r w:rsidRPr="00090A72" w:rsidDel="0017455E">
        <w:t xml:space="preserve"> </w:t>
      </w:r>
    </w:p>
    <w:p w:rsidR="007B1509" w:rsidRDefault="00090A72" w:rsidP="00090A72">
      <w:pPr>
        <w:contextualSpacing/>
        <w:jc w:val="both"/>
      </w:pPr>
      <w:r w:rsidRPr="00090A72">
        <w:t>Pro úplnost jsou statistické výstupy ročního šetření doplněny vybranými údaji z databáze zahraničního obchodu Českého statistického úřadu v časové řadě 2010 – 2016 (Graf č. 5). Vedle exportu plnotučného mléka převažuje kladné saldo v exportu  másla do Maďarska, Itálie a na Slovensko. Pokračuje pozitivní trend obchodu čerstvých sýrů  do Maďarska, Polska a na Slovensko.</w:t>
      </w:r>
    </w:p>
    <w:p w:rsidR="007B1509" w:rsidRDefault="007B1509" w:rsidP="00090A72">
      <w:pPr>
        <w:contextualSpacing/>
        <w:jc w:val="both"/>
      </w:pPr>
    </w:p>
    <w:p w:rsidR="007B1509" w:rsidRDefault="007B1509" w:rsidP="00090A72">
      <w:pPr>
        <w:contextualSpacing/>
        <w:jc w:val="both"/>
      </w:pPr>
    </w:p>
    <w:p w:rsidR="007B1509" w:rsidRDefault="007B1509" w:rsidP="00090A72">
      <w:pPr>
        <w:contextualSpacing/>
        <w:jc w:val="both"/>
      </w:pPr>
    </w:p>
    <w:p w:rsidR="007B1509" w:rsidRDefault="007B1509" w:rsidP="00090A72">
      <w:pPr>
        <w:contextualSpacing/>
        <w:jc w:val="both"/>
      </w:pPr>
    </w:p>
    <w:p w:rsidR="007B1509" w:rsidRDefault="007B1509" w:rsidP="00090A72">
      <w:pPr>
        <w:contextualSpacing/>
        <w:jc w:val="both"/>
      </w:pPr>
    </w:p>
    <w:p w:rsidR="007B1509" w:rsidRDefault="007B1509" w:rsidP="00090A72">
      <w:pPr>
        <w:contextualSpacing/>
        <w:jc w:val="both"/>
      </w:pPr>
    </w:p>
    <w:p w:rsidR="00090A72" w:rsidRPr="00090A72" w:rsidRDefault="007B1509" w:rsidP="00090A72">
      <w:pPr>
        <w:contextualSpacing/>
        <w:jc w:val="both"/>
      </w:pPr>
      <w:r>
        <w:t xml:space="preserve">U </w:t>
      </w:r>
      <w:r w:rsidR="00090A72" w:rsidRPr="00090A72">
        <w:t xml:space="preserve">ostatních sýrů převažuje vývoz do Maďarska, Itálie a na Slovensko. U tavených sýrů převažuje export do Maďarska, v letech 2013 - 2016 je zaznamenána kladná obchodní bilance rovněž u tavených sýrů obchodovaných se Slovenskem. Sušené mléko a smetana vykazují stabilně kladné obchodní saldo, (s výjimkou Belgie, Itálie a Slovinska). </w:t>
      </w:r>
    </w:p>
    <w:p w:rsidR="00090A72" w:rsidRDefault="00090A72" w:rsidP="00090A72">
      <w:pPr>
        <w:contextualSpacing/>
        <w:jc w:val="both"/>
      </w:pPr>
    </w:p>
    <w:p w:rsidR="007B1509" w:rsidRPr="00090A72" w:rsidRDefault="007B1509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  <w:r w:rsidRPr="00090A72">
        <w:t>Datum:</w:t>
      </w:r>
      <w:r w:rsidR="007B1509">
        <w:t xml:space="preserve"> </w:t>
      </w:r>
      <w:r w:rsidRPr="00090A72">
        <w:t>25. 4. 2017</w:t>
      </w:r>
    </w:p>
    <w:p w:rsidR="00090A72" w:rsidRPr="00090A72" w:rsidRDefault="00090A72" w:rsidP="00090A72">
      <w:pPr>
        <w:contextualSpacing/>
        <w:jc w:val="both"/>
      </w:pPr>
      <w:r w:rsidRPr="00090A72">
        <w:t>Zpracoval: Irena Fantová</w:t>
      </w: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contextualSpacing/>
        <w:jc w:val="both"/>
      </w:pPr>
    </w:p>
    <w:p w:rsidR="00090A72" w:rsidRPr="00090A72" w:rsidRDefault="00090A72" w:rsidP="00090A72">
      <w:pPr>
        <w:spacing w:before="100" w:beforeAutospacing="1" w:after="100" w:afterAutospacing="1" w:line="240" w:lineRule="auto"/>
        <w:contextualSpacing/>
        <w:jc w:val="both"/>
        <w:rPr>
          <w:rFonts w:ascii="Calibri" w:eastAsia="Calibri" w:hAnsi="Calibri" w:cs="Times New Roman"/>
        </w:rPr>
      </w:pPr>
    </w:p>
    <w:p w:rsidR="00090A72" w:rsidRPr="00090A72" w:rsidRDefault="00090A72" w:rsidP="00090A72">
      <w:pPr>
        <w:spacing w:before="100" w:beforeAutospacing="1" w:after="100" w:afterAutospacing="1" w:line="240" w:lineRule="auto"/>
        <w:contextualSpacing/>
        <w:jc w:val="both"/>
        <w:rPr>
          <w:rFonts w:ascii="Calibri" w:eastAsia="Calibri" w:hAnsi="Calibri" w:cs="Times New Roman"/>
        </w:rPr>
      </w:pPr>
    </w:p>
    <w:p w:rsidR="00090A72" w:rsidRDefault="00090A72" w:rsidP="00090A72">
      <w:pPr>
        <w:contextualSpacing/>
        <w:jc w:val="both"/>
      </w:pPr>
    </w:p>
    <w:p w:rsidR="00090A72" w:rsidRDefault="00090A72" w:rsidP="00090A72">
      <w:pPr>
        <w:contextualSpacing/>
        <w:jc w:val="both"/>
      </w:pPr>
    </w:p>
    <w:p w:rsidR="00090A72" w:rsidRDefault="00090A72" w:rsidP="00090A72">
      <w:pPr>
        <w:contextualSpacing/>
        <w:jc w:val="both"/>
      </w:pPr>
    </w:p>
    <w:p w:rsidR="00090A72" w:rsidRPr="001A6F53" w:rsidRDefault="00090A72" w:rsidP="00090A72">
      <w:pPr>
        <w:contextualSpacing/>
        <w:jc w:val="both"/>
      </w:pPr>
      <w:bookmarkStart w:id="2" w:name="_GoBack"/>
      <w:bookmarkEnd w:id="0"/>
      <w:bookmarkEnd w:id="1"/>
      <w:bookmarkEnd w:id="2"/>
    </w:p>
    <w:p w:rsidR="00252793" w:rsidRDefault="00252793" w:rsidP="00090A72">
      <w:pPr>
        <w:ind w:left="1134" w:right="1276"/>
        <w:contextualSpacing/>
        <w:jc w:val="both"/>
      </w:pPr>
    </w:p>
    <w:sectPr w:rsidR="00252793" w:rsidSect="00090A72">
      <w:headerReference w:type="default" r:id="rId8"/>
      <w:footerReference w:type="default" r:id="rId9"/>
      <w:pgSz w:w="11906" w:h="16838"/>
      <w:pgMar w:top="1417" w:right="1417" w:bottom="1417" w:left="1417" w:header="0" w:footer="2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A72" w:rsidRDefault="00090A72" w:rsidP="00654AFB">
      <w:pPr>
        <w:spacing w:after="0" w:line="240" w:lineRule="auto"/>
      </w:pPr>
      <w:r>
        <w:separator/>
      </w:r>
    </w:p>
  </w:endnote>
  <w:endnote w:type="continuationSeparator" w:id="0">
    <w:p w:rsidR="00090A72" w:rsidRDefault="00090A72" w:rsidP="006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72" w:rsidRDefault="00090A72">
    <w:pPr>
      <w:pStyle w:val="Zpa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AC44AB4" wp14:editId="3772B3A8">
          <wp:simplePos x="0" y="0"/>
          <wp:positionH relativeFrom="column">
            <wp:posOffset>371475</wp:posOffset>
          </wp:positionH>
          <wp:positionV relativeFrom="paragraph">
            <wp:posOffset>-179776</wp:posOffset>
          </wp:positionV>
          <wp:extent cx="445770" cy="933450"/>
          <wp:effectExtent l="304800" t="0" r="297180" b="0"/>
          <wp:wrapNone/>
          <wp:docPr id="4" name="Obrázek 3" descr="CM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Z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3647085">
                    <a:off x="0" y="0"/>
                    <a:ext cx="4457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6630CD2" wp14:editId="60EFB77E">
          <wp:simplePos x="0" y="0"/>
          <wp:positionH relativeFrom="column">
            <wp:posOffset>-1143000</wp:posOffset>
          </wp:positionH>
          <wp:positionV relativeFrom="paragraph">
            <wp:posOffset>-2622550</wp:posOffset>
          </wp:positionV>
          <wp:extent cx="1619250" cy="3390900"/>
          <wp:effectExtent l="19050" t="0" r="0" b="0"/>
          <wp:wrapNone/>
          <wp:docPr id="3" name="Obrázek 2" descr="C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9250" cy="3390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75F497E" wp14:editId="4D93561E">
          <wp:simplePos x="0" y="0"/>
          <wp:positionH relativeFrom="column">
            <wp:posOffset>6067425</wp:posOffset>
          </wp:positionH>
          <wp:positionV relativeFrom="paragraph">
            <wp:posOffset>-231775</wp:posOffset>
          </wp:positionV>
          <wp:extent cx="1495425" cy="3120390"/>
          <wp:effectExtent l="990600" t="0" r="962025" b="0"/>
          <wp:wrapNone/>
          <wp:docPr id="2" name="Obrázek 1" descr="C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M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 rot="18247450">
                    <a:off x="0" y="0"/>
                    <a:ext cx="1495425" cy="3120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150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571500</wp:posOffset>
              </wp:positionH>
              <wp:positionV relativeFrom="paragraph">
                <wp:posOffset>596900</wp:posOffset>
              </wp:positionV>
              <wp:extent cx="3181350" cy="1152525"/>
              <wp:effectExtent l="0" t="0" r="0" b="317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1152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A72" w:rsidRPr="00976B1C" w:rsidRDefault="00090A72" w:rsidP="00654AFB">
                          <w:pPr>
                            <w:spacing w:line="360" w:lineRule="auto"/>
                            <w:contextualSpacing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Těšnov 17, 117 05 Praha 1, Česká republika</w:t>
                          </w:r>
                        </w:p>
                        <w:p w:rsidR="00090A72" w:rsidRPr="00976B1C" w:rsidRDefault="00090A72" w:rsidP="00654AFB">
                          <w:pPr>
                            <w:spacing w:line="360" w:lineRule="auto"/>
                            <w:contextualSpacing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tel.: +420 221 811 111, fax: +420 224 810 478</w:t>
                          </w:r>
                        </w:p>
                        <w:p w:rsidR="00090A72" w:rsidRPr="00976B1C" w:rsidRDefault="00090A72" w:rsidP="00654AFB">
                          <w:pPr>
                            <w:spacing w:line="360" w:lineRule="auto"/>
                            <w:contextualSpacing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www.eagri.cz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pt;margin-top:47pt;width:250.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" filled="f" stroked="f">
              <v:textbox>
                <w:txbxContent>
                  <w:p w:rsidR="00090A72" w:rsidRPr="00976B1C" w:rsidRDefault="00090A72" w:rsidP="00654AFB">
                    <w:pPr>
                      <w:spacing w:line="360" w:lineRule="auto"/>
                      <w:contextualSpacing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>Těšnov 17, 117 05 Praha 1, Česká republika</w:t>
                    </w:r>
                  </w:p>
                  <w:p w:rsidR="00090A72" w:rsidRPr="00976B1C" w:rsidRDefault="00090A72" w:rsidP="00654AFB">
                    <w:pPr>
                      <w:spacing w:line="360" w:lineRule="auto"/>
                      <w:contextualSpacing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>tel.: +420 221 811 111, fax: +420 224 810 478</w:t>
                    </w:r>
                  </w:p>
                  <w:p w:rsidR="00090A72" w:rsidRPr="00976B1C" w:rsidRDefault="00090A72" w:rsidP="00654AFB">
                    <w:pPr>
                      <w:spacing w:line="360" w:lineRule="auto"/>
                      <w:contextualSpacing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>www.eagri.cz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A72" w:rsidRDefault="00090A72" w:rsidP="00654AFB">
      <w:pPr>
        <w:spacing w:after="0" w:line="240" w:lineRule="auto"/>
      </w:pPr>
      <w:r>
        <w:separator/>
      </w:r>
    </w:p>
  </w:footnote>
  <w:footnote w:type="continuationSeparator" w:id="0">
    <w:p w:rsidR="00090A72" w:rsidRDefault="00090A72" w:rsidP="006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72" w:rsidRDefault="00090A72" w:rsidP="00654AFB">
    <w:pPr>
      <w:pStyle w:val="Zhlav"/>
      <w:tabs>
        <w:tab w:val="left" w:pos="5387"/>
      </w:tabs>
      <w:ind w:left="1134" w:right="113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F43518" wp14:editId="46A59EA7">
          <wp:simplePos x="0" y="0"/>
          <wp:positionH relativeFrom="column">
            <wp:posOffset>3009900</wp:posOffset>
          </wp:positionH>
          <wp:positionV relativeFrom="paragraph">
            <wp:posOffset>0</wp:posOffset>
          </wp:positionV>
          <wp:extent cx="3427095" cy="1952625"/>
          <wp:effectExtent l="19050" t="0" r="1905" b="0"/>
          <wp:wrapSquare wrapText="bothSides"/>
          <wp:docPr id="1" name="Obrázek 0" descr="Logo MZe - bez Č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Ze - bez Č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7095" cy="195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90A72" w:rsidRDefault="00090A7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91A5A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D4319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hdrShapeDefaults>
    <o:shapedefaults v:ext="edit" spidmax="205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FB"/>
    <w:rsid w:val="00090A72"/>
    <w:rsid w:val="001D17E2"/>
    <w:rsid w:val="00252793"/>
    <w:rsid w:val="00654AFB"/>
    <w:rsid w:val="00757A46"/>
    <w:rsid w:val="007B1509"/>
    <w:rsid w:val="007C6F8C"/>
    <w:rsid w:val="00976B1C"/>
    <w:rsid w:val="00C67C88"/>
    <w:rsid w:val="00DC37CB"/>
    <w:rsid w:val="00F6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semiHidden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semiHidden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5981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Fantová Irena</cp:lastModifiedBy>
  <cp:revision>2</cp:revision>
  <dcterms:created xsi:type="dcterms:W3CDTF">2017-04-25T10:25:00Z</dcterms:created>
  <dcterms:modified xsi:type="dcterms:W3CDTF">2017-04-25T10:25:00Z</dcterms:modified>
</cp:coreProperties>
</file>