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79" w:rsidRDefault="001C2479" w:rsidP="00911ED8">
      <w:pPr>
        <w:pStyle w:val="Nadpis5"/>
        <w:jc w:val="center"/>
        <w:rPr>
          <w:sz w:val="22"/>
        </w:rPr>
      </w:pPr>
    </w:p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500AA">
        <w:rPr>
          <w:b/>
        </w:rPr>
        <w:t>0</w:t>
      </w:r>
      <w:r w:rsidR="00F13FE6">
        <w:rPr>
          <w:b/>
        </w:rPr>
        <w:t xml:space="preserve">. </w:t>
      </w:r>
      <w:r w:rsidR="00E4625A">
        <w:rPr>
          <w:b/>
        </w:rPr>
        <w:t>9</w:t>
      </w:r>
      <w:r w:rsidR="004D6581">
        <w:rPr>
          <w:b/>
        </w:rPr>
        <w:t>.</w:t>
      </w:r>
      <w:r w:rsidR="00F13FE6">
        <w:rPr>
          <w:b/>
        </w:rPr>
        <w:t xml:space="preserve"> 201</w:t>
      </w:r>
      <w:r w:rsidR="00D513D6">
        <w:rPr>
          <w:b/>
        </w:rPr>
        <w:t>9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9500AA">
        <w:t>0</w:t>
      </w:r>
      <w:r w:rsidR="00F13FE6">
        <w:t xml:space="preserve">. </w:t>
      </w:r>
      <w:r w:rsidR="00E4625A">
        <w:t>9</w:t>
      </w:r>
      <w:r w:rsidR="00F13FE6">
        <w:t>. 201</w:t>
      </w:r>
      <w:r w:rsidR="00D513D6">
        <w:t>9</w:t>
      </w:r>
      <w:r w:rsidRPr="00BF3F6A">
        <w:t xml:space="preserve"> oproti </w:t>
      </w:r>
      <w:r w:rsidR="00F13FE6">
        <w:t>3</w:t>
      </w:r>
      <w:r w:rsidR="009500AA">
        <w:t>0</w:t>
      </w:r>
      <w:r w:rsidR="00F13FE6">
        <w:t xml:space="preserve">. </w:t>
      </w:r>
      <w:r w:rsidR="00E4625A">
        <w:t>9</w:t>
      </w:r>
      <w:r w:rsidR="00F13FE6">
        <w:t>. 201</w:t>
      </w:r>
      <w:r w:rsidR="00D513D6">
        <w:t>8</w:t>
      </w:r>
      <w:r w:rsidRPr="00BF3F6A">
        <w:t xml:space="preserve"> </w:t>
      </w:r>
      <w:proofErr w:type="gramStart"/>
      <w:r w:rsidR="00E265BA">
        <w:t>vyšší</w:t>
      </w:r>
      <w:r w:rsidR="0090367D">
        <w:t xml:space="preserve"> </w:t>
      </w:r>
      <w:r w:rsidR="0080106D">
        <w:t xml:space="preserve"> </w:t>
      </w:r>
      <w:r w:rsidR="0080106D" w:rsidRPr="00BF3F6A">
        <w:t>o </w:t>
      </w:r>
      <w:r w:rsidR="00846447">
        <w:t>240,4</w:t>
      </w:r>
      <w:proofErr w:type="gramEnd"/>
      <w:r w:rsidR="009A2F4C">
        <w:t xml:space="preserve"> </w:t>
      </w:r>
      <w:r w:rsidRPr="00BF3F6A">
        <w:t>tis. tun (</w:t>
      </w:r>
      <w:r w:rsidR="00846447">
        <w:t>15</w:t>
      </w:r>
      <w:r w:rsidRPr="00BF3F6A">
        <w:t>,</w:t>
      </w:r>
      <w:r w:rsidR="00846447">
        <w:t>5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9A2F4C" w:rsidRPr="003D06E4">
        <w:rPr>
          <w:b/>
        </w:rPr>
        <w:t>pšenice 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846447">
        <w:t>236</w:t>
      </w:r>
      <w:r w:rsidR="009A2F4C" w:rsidRPr="003D06E4">
        <w:t>,</w:t>
      </w:r>
      <w:r w:rsidR="00846447">
        <w:t>7</w:t>
      </w:r>
      <w:r w:rsidR="009A2F4C" w:rsidRPr="003D06E4">
        <w:t xml:space="preserve"> tis. tun</w:t>
      </w:r>
      <w:r w:rsidR="009A2F4C">
        <w:t xml:space="preserve"> (</w:t>
      </w:r>
      <w:r w:rsidR="00846447">
        <w:t>27,5</w:t>
      </w:r>
      <w:r w:rsidR="009A2F4C">
        <w:t xml:space="preserve"> %), z toho </w:t>
      </w:r>
      <w:r w:rsidRPr="00BF3F6A">
        <w:t>u</w:t>
      </w:r>
      <w:r w:rsidR="00964667">
        <w:t xml:space="preserve"> </w:t>
      </w:r>
      <w:r w:rsidR="00D25560" w:rsidRPr="00BF3F6A">
        <w:rPr>
          <w:b/>
        </w:rPr>
        <w:t>pšenice potravinářské</w:t>
      </w:r>
      <w:r w:rsidR="00D25560" w:rsidRPr="00BF3F6A">
        <w:t xml:space="preserve"> o </w:t>
      </w:r>
      <w:r w:rsidR="00846447">
        <w:t>9</w:t>
      </w:r>
      <w:r w:rsidR="0080106D">
        <w:t>,</w:t>
      </w:r>
      <w:r w:rsidR="00846447">
        <w:t>3</w:t>
      </w:r>
      <w:r w:rsidR="00D25560" w:rsidRPr="00BF3F6A">
        <w:t xml:space="preserve"> tis. tun </w:t>
      </w:r>
      <w:r w:rsidR="00D25560">
        <w:t>(</w:t>
      </w:r>
      <w:r w:rsidR="00846447">
        <w:t>2</w:t>
      </w:r>
      <w:r w:rsidR="0080106D">
        <w:t>,</w:t>
      </w:r>
      <w:r w:rsidR="00846447">
        <w:t>0</w:t>
      </w:r>
      <w:r w:rsidR="009A2F4C">
        <w:t xml:space="preserve"> </w:t>
      </w:r>
      <w:r w:rsidR="00D25560">
        <w:t>%)</w:t>
      </w:r>
      <w:r w:rsidR="00846447">
        <w:t xml:space="preserve"> a</w:t>
      </w:r>
      <w:r w:rsidR="00E265BA" w:rsidRPr="00E265BA">
        <w:t xml:space="preserve"> </w:t>
      </w:r>
      <w:r w:rsidR="00963B80">
        <w:t xml:space="preserve">dále </w:t>
      </w:r>
      <w:r w:rsidR="008B00EA">
        <w:t xml:space="preserve">u </w:t>
      </w:r>
      <w:r w:rsidR="00E265BA">
        <w:t>j</w:t>
      </w:r>
      <w:r w:rsidR="00E265BA" w:rsidRPr="00591818">
        <w:rPr>
          <w:b/>
        </w:rPr>
        <w:t>ečmene celkem</w:t>
      </w:r>
      <w:r w:rsidR="00E265BA">
        <w:t xml:space="preserve"> o </w:t>
      </w:r>
      <w:r w:rsidR="00846447">
        <w:t>44</w:t>
      </w:r>
      <w:r w:rsidR="00E265BA">
        <w:t>,</w:t>
      </w:r>
      <w:r w:rsidR="00846447">
        <w:t>2</w:t>
      </w:r>
      <w:r w:rsidR="00E265BA">
        <w:t xml:space="preserve"> tis.</w:t>
      </w:r>
      <w:r w:rsidR="00DF08FB">
        <w:t xml:space="preserve"> </w:t>
      </w:r>
      <w:r w:rsidR="00E265BA">
        <w:t>tun (</w:t>
      </w:r>
      <w:r w:rsidR="00846447">
        <w:t>8</w:t>
      </w:r>
      <w:r w:rsidR="00E265BA">
        <w:t>,6 %)</w:t>
      </w:r>
      <w:r w:rsidR="00846447">
        <w:t xml:space="preserve">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>u  </w:t>
      </w:r>
      <w:r w:rsidR="009A2F4C" w:rsidRPr="00A83A05">
        <w:rPr>
          <w:b/>
        </w:rPr>
        <w:t>kukuřice</w:t>
      </w:r>
      <w:r w:rsidR="009A2F4C" w:rsidRPr="00A83A05">
        <w:t xml:space="preserve"> o </w:t>
      </w:r>
      <w:r w:rsidR="00DF08FB">
        <w:t>36</w:t>
      </w:r>
      <w:r w:rsidR="00846447">
        <w:t>,</w:t>
      </w:r>
      <w:r w:rsidR="00DF08FB">
        <w:t>0</w:t>
      </w:r>
      <w:r w:rsidR="009A2F4C" w:rsidRPr="00A83A05">
        <w:t xml:space="preserve"> tis. tun (</w:t>
      </w:r>
      <w:r w:rsidR="00DF08FB">
        <w:t>45,4</w:t>
      </w:r>
      <w:r w:rsidR="009A2F4C">
        <w:t xml:space="preserve"> </w:t>
      </w:r>
      <w:r w:rsidR="009A2F4C" w:rsidRPr="00A83A05">
        <w:t>%)</w:t>
      </w:r>
      <w:r w:rsidR="00846447">
        <w:t xml:space="preserve">, u </w:t>
      </w:r>
      <w:r w:rsidR="00846447" w:rsidRPr="00846447">
        <w:rPr>
          <w:b/>
          <w:color w:val="000000" w:themeColor="text1"/>
        </w:rPr>
        <w:t>ječmene sladovnického</w:t>
      </w:r>
      <w:r w:rsidR="00846447">
        <w:t xml:space="preserve"> o 25,0 tis. tun (</w:t>
      </w:r>
      <w:proofErr w:type="gramStart"/>
      <w:r w:rsidR="00846447">
        <w:t>7,7%)</w:t>
      </w:r>
      <w:r w:rsidR="0071079E">
        <w:t xml:space="preserve"> </w:t>
      </w:r>
      <w:r w:rsidR="009A2F4C" w:rsidRPr="00A83A05">
        <w:t xml:space="preserve"> </w:t>
      </w:r>
      <w:r w:rsidR="009A2F4C">
        <w:t>a</w:t>
      </w:r>
      <w:r w:rsidR="009A2F4C" w:rsidRPr="00A83A05">
        <w:t> u </w:t>
      </w:r>
      <w:r w:rsidR="009A2F4C" w:rsidRPr="00A83A05">
        <w:rPr>
          <w:b/>
        </w:rPr>
        <w:t>ostatních</w:t>
      </w:r>
      <w:proofErr w:type="gramEnd"/>
      <w:r w:rsidR="009A2F4C" w:rsidRPr="00A83A05">
        <w:rPr>
          <w:b/>
        </w:rPr>
        <w:t xml:space="preserve"> obilovin</w:t>
      </w:r>
      <w:r w:rsidR="009A2F4C" w:rsidRPr="00A83A05">
        <w:t xml:space="preserve"> o </w:t>
      </w:r>
      <w:r w:rsidR="0071079E">
        <w:t>4</w:t>
      </w:r>
      <w:r w:rsidR="009A2F4C" w:rsidRPr="00A83A05">
        <w:t>,</w:t>
      </w:r>
      <w:r w:rsidR="0071079E">
        <w:t>4</w:t>
      </w:r>
      <w:r w:rsidR="009A2F4C" w:rsidRPr="00A83A05">
        <w:t xml:space="preserve"> tis. tun (</w:t>
      </w:r>
      <w:r w:rsidR="0071079E">
        <w:t>4</w:t>
      </w:r>
      <w:r w:rsidR="009A2F4C" w:rsidRPr="00A83A05">
        <w:t>,</w:t>
      </w:r>
      <w:r w:rsidR="0071079E">
        <w:t>4</w:t>
      </w:r>
      <w:r w:rsidR="009A2F4C" w:rsidRPr="00A83A05">
        <w:t xml:space="preserve"> </w:t>
      </w:r>
      <w:r w:rsidR="009A2F4C">
        <w:t xml:space="preserve">%).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500AA">
        <w:rPr>
          <w:bCs/>
        </w:rPr>
        <w:t>0</w:t>
      </w:r>
      <w:r w:rsidR="00F13FE6">
        <w:rPr>
          <w:bCs/>
        </w:rPr>
        <w:t xml:space="preserve">. </w:t>
      </w:r>
      <w:r w:rsidR="00E4625A">
        <w:rPr>
          <w:bCs/>
        </w:rPr>
        <w:t>9</w:t>
      </w:r>
      <w:r w:rsidR="00F13FE6">
        <w:rPr>
          <w:bCs/>
        </w:rPr>
        <w:t>. 201</w:t>
      </w:r>
      <w:r w:rsidR="00D513D6">
        <w:rPr>
          <w:bCs/>
        </w:rPr>
        <w:t>9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500AA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E4625A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D513D6">
        <w:rPr>
          <w:bCs/>
        </w:rPr>
        <w:t>8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71079E">
        <w:t>111,9</w:t>
      </w:r>
      <w:r w:rsidR="00D03263" w:rsidRPr="00BF3F6A">
        <w:t xml:space="preserve"> tis. tun (</w:t>
      </w:r>
      <w:r w:rsidR="0071079E">
        <w:t>16</w:t>
      </w:r>
      <w:r w:rsidR="0080106D">
        <w:t>,</w:t>
      </w:r>
      <w:r w:rsidR="0071079E">
        <w:t>3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9500AA">
        <w:rPr>
          <w:b/>
        </w:rPr>
        <w:t>0</w:t>
      </w:r>
      <w:r w:rsidR="00F13FE6">
        <w:rPr>
          <w:b/>
        </w:rPr>
        <w:t xml:space="preserve">. </w:t>
      </w:r>
      <w:r w:rsidR="00E4625A">
        <w:rPr>
          <w:b/>
        </w:rPr>
        <w:t>9</w:t>
      </w:r>
      <w:r w:rsidR="00F13FE6">
        <w:rPr>
          <w:b/>
        </w:rPr>
        <w:t>. 201</w:t>
      </w:r>
      <w:r w:rsidR="00D513D6">
        <w:rPr>
          <w:b/>
        </w:rPr>
        <w:t>9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9500AA">
        <w:t>0</w:t>
      </w:r>
      <w:r w:rsidR="00F13FE6">
        <w:t>.</w:t>
      </w:r>
      <w:r w:rsidR="00B76C47">
        <w:t> </w:t>
      </w:r>
      <w:r w:rsidR="00E4625A">
        <w:t>9</w:t>
      </w:r>
      <w:r w:rsidR="00F13FE6">
        <w:t>.</w:t>
      </w:r>
      <w:r w:rsidR="00B76C47">
        <w:t> </w:t>
      </w:r>
      <w:r w:rsidR="00F13FE6">
        <w:t>201</w:t>
      </w:r>
      <w:r w:rsidR="00D513D6">
        <w:t xml:space="preserve">9 </w:t>
      </w:r>
      <w:r w:rsidRPr="00BF3F6A">
        <w:t xml:space="preserve">oproti </w:t>
      </w:r>
      <w:r w:rsidR="00F13FE6">
        <w:t>3</w:t>
      </w:r>
      <w:r w:rsidR="009500AA">
        <w:t>0</w:t>
      </w:r>
      <w:r w:rsidR="00F13FE6">
        <w:t xml:space="preserve">. </w:t>
      </w:r>
      <w:r w:rsidR="00E4625A">
        <w:t>9</w:t>
      </w:r>
      <w:r w:rsidR="00F13FE6">
        <w:t>. 201</w:t>
      </w:r>
      <w:r w:rsidR="00537C6B">
        <w:t>8</w:t>
      </w:r>
      <w:r w:rsidR="003D17F3">
        <w:t xml:space="preserve"> </w:t>
      </w:r>
      <w:r w:rsidR="00537C6B">
        <w:t xml:space="preserve">vyšší </w:t>
      </w:r>
      <w:r w:rsidRPr="00BF3F6A">
        <w:t>o</w:t>
      </w:r>
      <w:r w:rsidR="00DF08FB">
        <w:t xml:space="preserve"> 11,4</w:t>
      </w:r>
      <w:r w:rsidRPr="00BF3F6A">
        <w:t xml:space="preserve"> tis. tun (</w:t>
      </w:r>
      <w:r w:rsidR="00DF08FB">
        <w:t>24</w:t>
      </w:r>
      <w:r w:rsidR="0080106D">
        <w:t>,</w:t>
      </w:r>
      <w:r w:rsidR="00DF08FB">
        <w:t>6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537C6B">
        <w:t>vyšší</w:t>
      </w:r>
      <w:r w:rsidRPr="00BF3F6A">
        <w:t xml:space="preserve"> konečná</w:t>
      </w:r>
      <w:r w:rsidR="00DF08FB">
        <w:t xml:space="preserve"> </w:t>
      </w:r>
      <w:r w:rsidRPr="00BF3F6A">
        <w:t xml:space="preserve">zásoba pšenice potravinářské o </w:t>
      </w:r>
      <w:r w:rsidR="00DF08FB">
        <w:t>1</w:t>
      </w:r>
      <w:r w:rsidR="003E5D3E">
        <w:t>2</w:t>
      </w:r>
      <w:r w:rsidR="0080106D">
        <w:t>,</w:t>
      </w:r>
      <w:r w:rsidR="00DF08FB">
        <w:t>0</w:t>
      </w:r>
      <w:r w:rsidRPr="00BF3F6A">
        <w:t xml:space="preserve"> tis. tun (</w:t>
      </w:r>
      <w:r w:rsidR="00DF08FB">
        <w:t>14,4</w:t>
      </w:r>
      <w:r w:rsidRPr="00BF3F6A">
        <w:t xml:space="preserve"> %)</w:t>
      </w:r>
      <w:r w:rsidR="00DF08FB">
        <w:t xml:space="preserve">,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</w:t>
      </w:r>
      <w:r w:rsidR="00DF08FB">
        <w:t>u</w:t>
      </w:r>
      <w:r w:rsidRPr="00BF3F6A">
        <w:t xml:space="preserve">žití </w:t>
      </w:r>
      <w:r w:rsidR="003E5D3E">
        <w:t xml:space="preserve">o </w:t>
      </w:r>
      <w:r w:rsidR="00DF08FB">
        <w:t>0,6</w:t>
      </w:r>
      <w:r w:rsidRPr="00BF3F6A">
        <w:t xml:space="preserve"> tis. tun (</w:t>
      </w:r>
      <w:r w:rsidR="00DF08FB">
        <w:t>5</w:t>
      </w:r>
      <w:r w:rsidR="00846B3A">
        <w:t>,</w:t>
      </w:r>
      <w:r w:rsidR="00DF08FB">
        <w:t>7</w:t>
      </w:r>
      <w:r w:rsidR="00FC0FAC">
        <w:t> </w:t>
      </w:r>
      <w:r w:rsidRPr="00BF3F6A">
        <w:t>%)</w:t>
      </w:r>
      <w:r w:rsidR="00DF08FB">
        <w:t xml:space="preserve"> a</w:t>
      </w:r>
      <w:r w:rsidR="0080106D">
        <w:t xml:space="preserve"> obilovin</w:t>
      </w:r>
      <w:r w:rsidR="00963B80">
        <w:t xml:space="preserve"> celkem</w:t>
      </w:r>
      <w:r w:rsidR="0080106D">
        <w:t xml:space="preserve"> </w:t>
      </w:r>
      <w:r w:rsidR="00DF08FB">
        <w:t>o 12,6 tis. tun (13,4%)</w:t>
      </w:r>
      <w:r w:rsidR="00FD17E5">
        <w:t>.</w:t>
      </w:r>
      <w:bookmarkStart w:id="0" w:name="_GoBack"/>
      <w:bookmarkEnd w:id="0"/>
      <w:r w:rsidR="00DF08FB">
        <w:t xml:space="preserve">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C24D3A">
        <w:t xml:space="preserve">vyšší </w:t>
      </w:r>
      <w:r w:rsidRPr="00BF3F6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DF08FB">
        <w:t>7</w:t>
      </w:r>
      <w:r w:rsidRPr="00B76C47">
        <w:t>,</w:t>
      </w:r>
      <w:r w:rsidR="00DF08FB">
        <w:t>6</w:t>
      </w:r>
      <w:r w:rsidR="0000779C" w:rsidRPr="00B76C47">
        <w:t xml:space="preserve"> tis. tun (</w:t>
      </w:r>
      <w:r w:rsidR="00DF08FB">
        <w:t>8</w:t>
      </w:r>
      <w:r w:rsidR="00601DA6" w:rsidRPr="00B76C47">
        <w:t>,</w:t>
      </w:r>
      <w:r w:rsidR="00DF08FB">
        <w:t>2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B77575">
        <w:t xml:space="preserve"> nárůstu </w:t>
      </w:r>
      <w:r w:rsidR="00912F4F" w:rsidRPr="00B76C47">
        <w:t xml:space="preserve"> konečných</w:t>
      </w:r>
      <w:r w:rsidR="00B77575">
        <w:t xml:space="preserve"> </w:t>
      </w:r>
      <w:r w:rsidR="00F816B9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B77575">
        <w:t>213,2</w:t>
      </w:r>
      <w:r w:rsidRPr="00BF3F6A">
        <w:t xml:space="preserve"> tis. tun (</w:t>
      </w:r>
      <w:r w:rsidR="00B77575">
        <w:t>17,1</w:t>
      </w:r>
      <w:r w:rsidRPr="00BF3F6A">
        <w:t> %), z</w:t>
      </w:r>
      <w:r w:rsidR="00933B17">
        <w:t xml:space="preserve"> </w:t>
      </w:r>
      <w:proofErr w:type="gramStart"/>
      <w:r w:rsidRPr="00BF3F6A">
        <w:t xml:space="preserve">toho </w:t>
      </w:r>
      <w:r w:rsidR="00F12127">
        <w:t>u</w:t>
      </w:r>
      <w:r w:rsidR="00DD5D33">
        <w:t xml:space="preserve"> </w:t>
      </w:r>
      <w:r w:rsidR="00B77575">
        <w:t xml:space="preserve"> pšenice</w:t>
      </w:r>
      <w:proofErr w:type="gramEnd"/>
      <w:r w:rsidR="00B77575">
        <w:t xml:space="preserve"> </w:t>
      </w:r>
      <w:r w:rsidR="00313C53" w:rsidRPr="00BF3F6A">
        <w:t>celkem</w:t>
      </w:r>
      <w:r w:rsidR="000502C7">
        <w:t xml:space="preserve"> o </w:t>
      </w:r>
      <w:r w:rsidR="00B77575">
        <w:t>213</w:t>
      </w:r>
      <w:r w:rsidR="00ED131B">
        <w:t>,</w:t>
      </w:r>
      <w:r w:rsidR="00B77575">
        <w:t>0</w:t>
      </w:r>
      <w:r w:rsidR="000502C7">
        <w:t xml:space="preserve"> tis. tun (</w:t>
      </w:r>
      <w:r w:rsidR="00B77575">
        <w:t>29</w:t>
      </w:r>
      <w:r w:rsidR="00912F4F">
        <w:t>,</w:t>
      </w:r>
      <w:r w:rsidR="00B77575">
        <w:t>5</w:t>
      </w:r>
      <w:r w:rsidR="005C5928">
        <w:t xml:space="preserve"> </w:t>
      </w:r>
      <w:r w:rsidR="000502C7">
        <w:t>%)</w:t>
      </w:r>
      <w:r w:rsidR="00F12127">
        <w:t xml:space="preserve"> </w:t>
      </w:r>
      <w:r w:rsidR="00B77575">
        <w:t xml:space="preserve">a u ječmene celkem o 34,8 tis. tun (9,0 %). Pokles </w:t>
      </w:r>
      <w:r w:rsidR="00D454EA">
        <w:t xml:space="preserve">byl naopak identifikován u pšenice </w:t>
      </w:r>
      <w:r w:rsidR="00561ABC" w:rsidRPr="00561ABC">
        <w:t xml:space="preserve">potravinářské </w:t>
      </w:r>
      <w:r w:rsidR="00D454EA">
        <w:t>o </w:t>
      </w:r>
      <w:r w:rsidR="00B77575">
        <w:t>6,8</w:t>
      </w:r>
      <w:r w:rsidR="00561ABC" w:rsidRPr="00561ABC">
        <w:t xml:space="preserve"> tis. tun (</w:t>
      </w:r>
      <w:r w:rsidR="00B77575">
        <w:t>1</w:t>
      </w:r>
      <w:r w:rsidR="00561ABC" w:rsidRPr="00561ABC">
        <w:t>,</w:t>
      </w:r>
      <w:r w:rsidR="00F52942">
        <w:t>8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> </w:t>
      </w:r>
      <w:r w:rsidR="001C4E35">
        <w:t>poklesu</w:t>
      </w:r>
      <w:r w:rsidR="00776E5B">
        <w:t xml:space="preserve"> </w:t>
      </w:r>
      <w:r w:rsidRPr="00BF3F6A">
        <w:t xml:space="preserve">konečné zásoby obilovin o </w:t>
      </w:r>
      <w:r w:rsidR="0025379D">
        <w:t>6</w:t>
      </w:r>
      <w:r w:rsidR="00912F4F">
        <w:t>,</w:t>
      </w:r>
      <w:r w:rsidR="0025379D">
        <w:t>8</w:t>
      </w:r>
      <w:r w:rsidRPr="00BF3F6A">
        <w:t xml:space="preserve"> tis. tun (</w:t>
      </w:r>
      <w:r w:rsidR="0025379D">
        <w:t>9</w:t>
      </w:r>
      <w:r w:rsidR="00912F4F">
        <w:t>,</w:t>
      </w:r>
      <w:r w:rsidR="0025379D">
        <w:t>7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</w:t>
    </w:r>
    <w:r w:rsidR="00C6044A">
      <w:rPr>
        <w:b/>
      </w:rPr>
      <w:t>9</w:t>
    </w:r>
    <w:r w:rsidRPr="00F040ED">
      <w:rPr>
        <w:b/>
      </w:rPr>
      <w:t xml:space="preserve"> – 3</w:t>
    </w:r>
    <w:r w:rsidR="002F23DB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4C6BBA">
      <w:rPr>
        <w:b/>
      </w:rPr>
      <w:t>9</w:t>
    </w:r>
    <w:r w:rsidR="002F23DB">
      <w:rPr>
        <w:b/>
      </w:rPr>
      <w:t>.</w:t>
    </w:r>
    <w:r w:rsidRPr="00F040ED">
      <w:rPr>
        <w:b/>
      </w:rPr>
      <w:t xml:space="preserve"> 201</w:t>
    </w:r>
    <w:r w:rsidR="001935DA">
      <w:rPr>
        <w:b/>
      </w:rPr>
      <w:t>9</w:t>
    </w:r>
  </w:p>
  <w:p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2033E"/>
    <w:rsid w:val="0002400D"/>
    <w:rsid w:val="000478DD"/>
    <w:rsid w:val="000502C7"/>
    <w:rsid w:val="000568F1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591A"/>
    <w:rsid w:val="0016785D"/>
    <w:rsid w:val="0017170F"/>
    <w:rsid w:val="00191D17"/>
    <w:rsid w:val="001935DA"/>
    <w:rsid w:val="00193EAE"/>
    <w:rsid w:val="00194AB5"/>
    <w:rsid w:val="001954F5"/>
    <w:rsid w:val="001C2479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5379D"/>
    <w:rsid w:val="00255AF7"/>
    <w:rsid w:val="00260248"/>
    <w:rsid w:val="0027318B"/>
    <w:rsid w:val="00276FB6"/>
    <w:rsid w:val="00295AB9"/>
    <w:rsid w:val="002C6009"/>
    <w:rsid w:val="002D063C"/>
    <w:rsid w:val="002D3FBA"/>
    <w:rsid w:val="002D6BF7"/>
    <w:rsid w:val="002F23DB"/>
    <w:rsid w:val="003103A4"/>
    <w:rsid w:val="00313C53"/>
    <w:rsid w:val="003520AC"/>
    <w:rsid w:val="00354764"/>
    <w:rsid w:val="00354E0C"/>
    <w:rsid w:val="00375A88"/>
    <w:rsid w:val="00393484"/>
    <w:rsid w:val="0039405E"/>
    <w:rsid w:val="00394D50"/>
    <w:rsid w:val="003C2956"/>
    <w:rsid w:val="003C574C"/>
    <w:rsid w:val="003D06E4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C6BBA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1079E"/>
    <w:rsid w:val="007310B4"/>
    <w:rsid w:val="0073257D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6447"/>
    <w:rsid w:val="00846B3A"/>
    <w:rsid w:val="00847EC3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B01207"/>
    <w:rsid w:val="00B25C3B"/>
    <w:rsid w:val="00B5199E"/>
    <w:rsid w:val="00B566EE"/>
    <w:rsid w:val="00B63506"/>
    <w:rsid w:val="00B66DFB"/>
    <w:rsid w:val="00B76C47"/>
    <w:rsid w:val="00B77575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92B14"/>
    <w:rsid w:val="00C97FB7"/>
    <w:rsid w:val="00CA14B7"/>
    <w:rsid w:val="00CA429A"/>
    <w:rsid w:val="00CA4C68"/>
    <w:rsid w:val="00CB503C"/>
    <w:rsid w:val="00CB64C7"/>
    <w:rsid w:val="00D03263"/>
    <w:rsid w:val="00D25560"/>
    <w:rsid w:val="00D31E98"/>
    <w:rsid w:val="00D32F57"/>
    <w:rsid w:val="00D43E35"/>
    <w:rsid w:val="00D454EA"/>
    <w:rsid w:val="00D513D6"/>
    <w:rsid w:val="00D67324"/>
    <w:rsid w:val="00D759B2"/>
    <w:rsid w:val="00D80BA6"/>
    <w:rsid w:val="00D86A92"/>
    <w:rsid w:val="00D87871"/>
    <w:rsid w:val="00D92312"/>
    <w:rsid w:val="00D92C0B"/>
    <w:rsid w:val="00D95B48"/>
    <w:rsid w:val="00DA6DED"/>
    <w:rsid w:val="00DB111F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17E5"/>
    <w:rsid w:val="00FD5F7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DA84-EE08-4EE9-8CFD-75C446C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2731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59</cp:revision>
  <cp:lastPrinted>2019-11-20T10:57:00Z</cp:lastPrinted>
  <dcterms:created xsi:type="dcterms:W3CDTF">2018-09-25T07:46:00Z</dcterms:created>
  <dcterms:modified xsi:type="dcterms:W3CDTF">2019-11-20T11:18:00Z</dcterms:modified>
</cp:coreProperties>
</file>